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22, 2016</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Amendment No. 7</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to</w:t>
      </w:r>
    </w:p>
    <w:p>
      <w:pPr>
        <w:jc w:val="center"/>
        <w:spacing w:after="0"/>
        <w:rPr>
          <w:sz w:val="20"/>
          <w:szCs w:val="20"/>
          <w:color w:val="auto"/>
        </w:rPr>
      </w:pPr>
      <w:r>
        <w:rPr>
          <w:rFonts w:ascii="Arial" w:cs="Arial" w:eastAsia="Arial" w:hAnsi="Arial"/>
          <w:sz w:val="27"/>
          <w:szCs w:val="27"/>
          <w:b w:val="1"/>
          <w:bCs w:val="1"/>
          <w:color w:val="auto"/>
        </w:rPr>
        <w:t>FORM F-1</w:t>
      </w:r>
    </w:p>
    <w:p>
      <w:pPr>
        <w:jc w:val="center"/>
        <w:spacing w:after="0"/>
        <w:rPr>
          <w:sz w:val="20"/>
          <w:szCs w:val="20"/>
          <w:color w:val="auto"/>
        </w:rPr>
      </w:pPr>
      <w:r>
        <w:rPr>
          <w:rFonts w:ascii="Arial" w:cs="Arial" w:eastAsia="Arial" w:hAnsi="Arial"/>
          <w:sz w:val="27"/>
          <w:szCs w:val="27"/>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6"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2"/>
              </w:rPr>
              <w:t>Switzerland</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00" w:type="dxa"/>
            <w:vAlign w:val="bottom"/>
          </w:tcPr>
          <w:p>
            <w:pPr>
              <w:jc w:val="center"/>
              <w:ind w:left="98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Andrea Pfeifer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EPFL Innovation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Building B</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1015 Lausanne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+41 21 345 91 21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tbl>
      <w:tblPr>
        <w:tblLayout w:type="fixed"/>
        <w:tblInd w:w="190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National Corporate Research, Ltd.</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1"/>
              </w:rPr>
              <w:t>10 East 40th Street, 10th Floor</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New York, New York 10016</w:t>
            </w:r>
          </w:p>
        </w:tc>
      </w:tr>
      <w:tr>
        <w:trPr>
          <w:trHeight w:val="194"/>
        </w:trPr>
        <w:tc>
          <w:tcPr>
            <w:tcW w:w="2620" w:type="dxa"/>
            <w:vAlign w:val="bottom"/>
          </w:tcPr>
          <w:p>
            <w:pPr>
              <w:spacing w:after="0"/>
              <w:rPr>
                <w:sz w:val="16"/>
                <w:szCs w:val="16"/>
                <w:color w:val="auto"/>
              </w:rPr>
            </w:pPr>
          </w:p>
        </w:tc>
        <w:tc>
          <w:tcPr>
            <w:tcW w:w="2380" w:type="dxa"/>
            <w:vAlign w:val="bottom"/>
          </w:tcPr>
          <w:p>
            <w:pPr>
              <w:jc w:val="center"/>
              <w:ind w:left="160"/>
              <w:spacing w:after="0"/>
              <w:rPr>
                <w:sz w:val="20"/>
                <w:szCs w:val="20"/>
                <w:color w:val="auto"/>
              </w:rPr>
            </w:pPr>
            <w:r>
              <w:rPr>
                <w:rFonts w:ascii="Arial" w:cs="Arial" w:eastAsia="Arial" w:hAnsi="Arial"/>
                <w:sz w:val="16"/>
                <w:szCs w:val="16"/>
                <w:b w:val="1"/>
                <w:bCs w:val="1"/>
                <w:color w:val="auto"/>
                <w:w w:val="93"/>
              </w:rPr>
              <w:t>(800) 221-0102</w:t>
            </w:r>
          </w:p>
        </w:tc>
        <w:tc>
          <w:tcPr>
            <w:tcW w:w="2520" w:type="dxa"/>
            <w:vAlign w:val="bottom"/>
          </w:tcPr>
          <w:p>
            <w:pPr>
              <w:spacing w:after="0"/>
              <w:rPr>
                <w:sz w:val="16"/>
                <w:szCs w:val="16"/>
                <w:color w:val="auto"/>
              </w:rPr>
            </w:pPr>
          </w:p>
        </w:tc>
      </w:tr>
      <w:tr>
        <w:trPr>
          <w:trHeight w:val="186"/>
        </w:trPr>
        <w:tc>
          <w:tcPr>
            <w:tcW w:w="752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91"/>
              </w:rPr>
              <w:t>(Name, address, including zip code, and telephone number, including area code, of agent for service)</w:t>
            </w:r>
          </w:p>
        </w:tc>
      </w:tr>
      <w:tr>
        <w:trPr>
          <w:trHeight w:val="174"/>
        </w:trPr>
        <w:tc>
          <w:tcPr>
            <w:tcW w:w="26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r>
      <w:tr>
        <w:trPr>
          <w:trHeight w:val="265"/>
        </w:trPr>
        <w:tc>
          <w:tcPr>
            <w:tcW w:w="2620" w:type="dxa"/>
            <w:vAlign w:val="bottom"/>
          </w:tcPr>
          <w:p>
            <w:pPr>
              <w:spacing w:after="0"/>
              <w:rPr>
                <w:sz w:val="23"/>
                <w:szCs w:val="23"/>
                <w:color w:val="auto"/>
              </w:rPr>
            </w:pPr>
          </w:p>
        </w:tc>
        <w:tc>
          <w:tcPr>
            <w:tcW w:w="4900" w:type="dxa"/>
            <w:vAlign w:val="bottom"/>
            <w:gridSpan w:val="2"/>
          </w:tcPr>
          <w:p>
            <w:pPr>
              <w:jc w:val="center"/>
              <w:ind w:right="2419"/>
              <w:spacing w:after="0"/>
              <w:rPr>
                <w:sz w:val="20"/>
                <w:szCs w:val="20"/>
                <w:color w:val="auto"/>
              </w:rPr>
            </w:pPr>
            <w:r>
              <w:rPr>
                <w:rFonts w:ascii="Arial" w:cs="Arial" w:eastAsia="Arial" w:hAnsi="Arial"/>
                <w:sz w:val="14"/>
                <w:szCs w:val="14"/>
                <w:b w:val="1"/>
                <w:bCs w:val="1"/>
                <w:i w:val="1"/>
                <w:iCs w:val="1"/>
                <w:color w:val="auto"/>
                <w:w w:val="87"/>
              </w:rPr>
              <w:t>Copies to:</w:t>
            </w:r>
          </w:p>
        </w:tc>
      </w:tr>
      <w:tr>
        <w:trPr>
          <w:trHeight w:val="241"/>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2"/>
              </w:rPr>
              <w:t>Richard D. Truesdell, Jr.</w:t>
            </w:r>
          </w:p>
        </w:tc>
        <w:tc>
          <w:tcPr>
            <w:tcW w:w="2380" w:type="dxa"/>
            <w:vAlign w:val="bottom"/>
          </w:tcPr>
          <w:p>
            <w:pPr>
              <w:spacing w:after="0"/>
              <w:rPr>
                <w:sz w:val="20"/>
                <w:szCs w:val="20"/>
                <w:color w:val="auto"/>
              </w:rPr>
            </w:pPr>
          </w:p>
        </w:tc>
        <w:tc>
          <w:tcPr>
            <w:tcW w:w="25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Mitchell S. Bloom</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1"/>
              </w:rPr>
              <w:t>Derek J. Dostal</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9"/>
              </w:rPr>
              <w:t>Arthur R. McGivern</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Davis Polk &amp; Wardwell LLP</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0"/>
              </w:rPr>
              <w:t>450 Lexington Avenue</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0"/>
              </w:rPr>
              <w:t>Exchange Place</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New York, NY 10017</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53 State Street</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3"/>
              </w:rPr>
              <w:t>(212) 450-4000</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Boston, MA 02109</w:t>
            </w:r>
          </w:p>
        </w:tc>
      </w:tr>
      <w:tr>
        <w:trPr>
          <w:trHeight w:val="210"/>
        </w:trPr>
        <w:tc>
          <w:tcPr>
            <w:tcW w:w="2620" w:type="dxa"/>
            <w:vAlign w:val="bottom"/>
          </w:tcPr>
          <w:p>
            <w:pPr>
              <w:spacing w:after="0"/>
              <w:rPr>
                <w:sz w:val="18"/>
                <w:szCs w:val="18"/>
                <w:color w:val="auto"/>
              </w:rPr>
            </w:pPr>
          </w:p>
        </w:tc>
        <w:tc>
          <w:tcPr>
            <w:tcW w:w="4900" w:type="dxa"/>
            <w:vAlign w:val="bottom"/>
            <w:gridSpan w:val="2"/>
          </w:tcPr>
          <w:p>
            <w:pPr>
              <w:jc w:val="center"/>
              <w:ind w:left="3280"/>
              <w:spacing w:after="0"/>
              <w:rPr>
                <w:sz w:val="20"/>
                <w:szCs w:val="20"/>
                <w:color w:val="auto"/>
              </w:rPr>
            </w:pPr>
            <w:r>
              <w:rPr>
                <w:rFonts w:ascii="Arial" w:cs="Arial" w:eastAsia="Arial" w:hAnsi="Arial"/>
                <w:sz w:val="16"/>
                <w:szCs w:val="16"/>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2" w:lineRule="exact"/>
        <w:rPr>
          <w:sz w:val="24"/>
          <w:szCs w:val="24"/>
          <w:color w:val="auto"/>
        </w:rPr>
      </w:pPr>
    </w:p>
    <w:p>
      <w:pPr>
        <w:ind w:right="18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sole purpose of this Amendment No. 7 to the Company’s Registration Statement on Form F-1 is to amend the exhibit index and to file exhibit 5.1. Accordingly, this Amendment No. 7 consists only of the facing page, this explanatory note, Part II, including the signature page and the exhibit index, and the exhibit filed herewith. This Amendment No. 7 does not contain a copy of the prospectus that was included in Amendment No. 6 to the Company’s Registration Statement on Form F-1 and is not intended to amend or delete any part of the prospectus.</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October 23,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078" w:val="left"/>
        </w:tabs>
        <w:numPr>
          <w:ilvl w:val="0"/>
          <w:numId w:val="1"/>
        </w:numPr>
        <w:rPr>
          <w:rFonts w:ascii="Arial" w:cs="Arial" w:eastAsia="Arial" w:hAnsi="Arial"/>
          <w:sz w:val="18"/>
          <w:szCs w:val="18"/>
          <w:color w:val="auto"/>
        </w:rPr>
      </w:pPr>
      <w:r>
        <w:rPr>
          <w:rFonts w:ascii="Arial" w:cs="Arial" w:eastAsia="Arial" w:hAnsi="Arial"/>
          <w:sz w:val="18"/>
          <w:szCs w:val="18"/>
          <w:color w:val="auto"/>
        </w:rPr>
        <w:t>From January 1, 2013 through August 31, 2016, the registrant issued options to purchase 963,000 shares of its common stock to its employees and directors with an exercise price of CHF 0.14548 per share.</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078" w:val="left"/>
        </w:tabs>
        <w:numPr>
          <w:ilvl w:val="0"/>
          <w:numId w:val="1"/>
        </w:numPr>
        <w:rPr>
          <w:rFonts w:ascii="Arial" w:cs="Arial" w:eastAsia="Arial" w:hAnsi="Arial"/>
          <w:sz w:val="18"/>
          <w:szCs w:val="18"/>
          <w:color w:val="auto"/>
        </w:rPr>
      </w:pPr>
      <w:r>
        <w:rPr>
          <w:rFonts w:ascii="Arial" w:cs="Arial" w:eastAsia="Arial" w:hAnsi="Arial"/>
          <w:sz w:val="18"/>
          <w:szCs w:val="18"/>
          <w:color w:val="auto"/>
        </w:rPr>
        <w:t>From January 1, 2013 through August 31, 2016, a total of 2,246,250 options were exercised by the registrant’s employees and directors for aggregate consideration of CHF 326,784.</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 w:name="page4"/>
    <w:bookmarkEnd w:id="3"/>
    <w:p>
      <w:pPr>
        <w:ind w:left="1080" w:hanging="177"/>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15, 2016, the registrant issued 1,401,792 shares of preferred stock for an aggregate subscription amount of $13.5 million.</w:t>
      </w:r>
    </w:p>
    <w:p>
      <w:pPr>
        <w:spacing w:after="0" w:line="128" w:lineRule="exact"/>
        <w:rPr>
          <w:rFonts w:ascii="Arial" w:cs="Arial" w:eastAsia="Arial" w:hAnsi="Arial"/>
          <w:sz w:val="17"/>
          <w:szCs w:val="17"/>
          <w:color w:val="auto"/>
        </w:rPr>
      </w:pPr>
    </w:p>
    <w:p>
      <w:pPr>
        <w:ind w:left="460" w:right="560" w:firstLine="443"/>
        <w:spacing w:after="0" w:line="277" w:lineRule="auto"/>
        <w:tabs>
          <w:tab w:leader="none" w:pos="107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September 22, 2016.</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Pavey</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George Pavey</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0"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2016 in the capacities indicated:</w:t>
      </w:r>
    </w:p>
    <w:p>
      <w:pPr>
        <w:sectPr>
          <w:pgSz w:w="11900" w:h="16838" w:orient="portrait"/>
          <w:cols w:equalWidth="0" w:num="1">
            <w:col w:w="11100"/>
          </w:cols>
          <w:pgMar w:left="240" w:top="274" w:right="5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3"/>
              </w:rPr>
              <w:t>Andrea Pfeifer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George Pavey</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Jean-Fabien Monin</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Administrative Officer (principal operating</w:t>
            </w: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4"/>
            <w:vMerge w:val="continue"/>
          </w:tcPr>
          <w:p>
            <w:pPr>
              <w:spacing w:after="0"/>
              <w:rPr>
                <w:sz w:val="17"/>
                <w:szCs w:val="17"/>
                <w:color w:val="auto"/>
              </w:rPr>
            </w:pPr>
          </w:p>
        </w:tc>
        <w:tc>
          <w:tcPr>
            <w:tcW w:w="3920" w:type="dxa"/>
            <w:vAlign w:val="bottom"/>
            <w:gridSpan w:val="3"/>
          </w:tcPr>
          <w:p>
            <w:pPr>
              <w:jc w:val="center"/>
              <w:ind w:left="131"/>
              <w:spacing w:after="0" w:line="203" w:lineRule="exact"/>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Jean-Fabien Monin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1"/>
              </w:rPr>
              <w:t>Chairman and 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Martin Velasco</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Detlev Riesner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Mathias Hothum</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Friedrich von Bohlen und Halbach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Peter Bollman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Authorized Representative in the United States</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2"/>
              </w:rPr>
              <w:t>Colleen A. DeVries</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SVP of National Corporate Research, Ltd</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0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Andrea Pfeifer</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20"/>
              <w:spacing w:after="0"/>
              <w:rPr>
                <w:sz w:val="20"/>
                <w:szCs w:val="20"/>
                <w:color w:val="auto"/>
              </w:rPr>
            </w:pPr>
            <w:r>
              <w:rPr>
                <w:rFonts w:ascii="Arial" w:cs="Arial" w:eastAsia="Arial" w:hAnsi="Arial"/>
                <w:sz w:val="18"/>
                <w:szCs w:val="18"/>
                <w:color w:val="auto"/>
                <w:w w:val="87"/>
              </w:rPr>
              <w:t>/s/ George Pavey</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George Pavey</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22, 2016</w:t>
      </w:r>
    </w:p>
    <w:p>
      <w:pPr>
        <w:spacing w:after="0" w:line="2298" w:lineRule="exact"/>
        <w:rPr>
          <w:sz w:val="20"/>
          <w:szCs w:val="20"/>
          <w:color w:val="auto"/>
        </w:rPr>
      </w:pPr>
    </w:p>
    <w:p>
      <w:pPr>
        <w:sectPr>
          <w:pgSz w:w="11900" w:h="16838" w:orient="portrait"/>
          <w:cols w:equalWidth="0" w:num="2">
            <w:col w:w="9000" w:space="660"/>
            <w:col w:w="1440"/>
          </w:cols>
          <w:pgMar w:left="240" w:top="274" w:right="559" w:bottom="1440" w:gutter="0" w:footer="0" w:header="0"/>
          <w:type w:val="continuous"/>
        </w:sectPr>
      </w:pP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100"/>
          </w:cols>
          <w:pgMar w:left="240" w:top="274" w:right="559" w:bottom="1440" w:gutter="0" w:footer="0" w:header="0"/>
          <w:type w:val="continuous"/>
        </w:sectPr>
      </w:pPr>
    </w:p>
    <w:bookmarkStart w:id="6" w:name="page7"/>
    <w:bookmarkEnd w:id="6"/>
    <w:p>
      <w:pPr>
        <w:ind w:left="5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documents are filed as part of this registration statement:</w:t>
      </w:r>
    </w:p>
    <w:p>
      <w:pPr>
        <w:spacing w:after="0" w:line="117" w:lineRule="exact"/>
        <w:rPr>
          <w:sz w:val="20"/>
          <w:szCs w:val="20"/>
          <w:color w:val="auto"/>
        </w:rPr>
      </w:pPr>
    </w:p>
    <w:p>
      <w:pPr>
        <w:ind w:left="132"/>
        <w:spacing w:after="0"/>
        <w:tabs>
          <w:tab w:leader="none" w:pos="89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117" w:lineRule="exact"/>
        <w:rPr>
          <w:sz w:val="20"/>
          <w:szCs w:val="20"/>
          <w:color w:val="auto"/>
        </w:rPr>
      </w:pPr>
    </w:p>
    <w:p>
      <w:pPr>
        <w:ind w:left="132"/>
        <w:spacing w:after="0"/>
        <w:tabs>
          <w:tab w:leader="none" w:pos="89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Form of Articles of Association*</w:t>
      </w:r>
    </w:p>
    <w:p>
      <w:pPr>
        <w:spacing w:after="0" w:line="117" w:lineRule="exact"/>
        <w:rPr>
          <w:sz w:val="20"/>
          <w:szCs w:val="20"/>
          <w:color w:val="auto"/>
        </w:rPr>
      </w:pPr>
    </w:p>
    <w:p>
      <w:pPr>
        <w:ind w:left="132"/>
        <w:spacing w:after="0"/>
        <w:tabs>
          <w:tab w:leader="none" w:pos="89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Registration Rights Agreement*</w:t>
      </w:r>
    </w:p>
    <w:p>
      <w:pPr>
        <w:spacing w:after="0" w:line="117" w:lineRule="exact"/>
        <w:rPr>
          <w:sz w:val="20"/>
          <w:szCs w:val="20"/>
          <w:color w:val="auto"/>
        </w:rPr>
      </w:pPr>
    </w:p>
    <w:p>
      <w:pPr>
        <w:ind w:left="132"/>
        <w:spacing w:after="0"/>
        <w:tabs>
          <w:tab w:leader="none" w:pos="89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Vischer AG, Swiss counsel of AC Immune SA, as to the validity of the common shares</w:t>
      </w:r>
    </w:p>
    <w:p>
      <w:pPr>
        <w:spacing w:after="0" w:line="117" w:lineRule="exact"/>
        <w:rPr>
          <w:sz w:val="20"/>
          <w:szCs w:val="20"/>
          <w:color w:val="auto"/>
        </w:rPr>
      </w:pPr>
    </w:p>
    <w:p>
      <w:pPr>
        <w:ind w:left="132"/>
        <w:spacing w:after="0"/>
        <w:tabs>
          <w:tab w:leader="none" w:pos="89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Vischer AG, Swiss counsel of AC Immune SA, as to Swiss tax matters*</w:t>
      </w:r>
    </w:p>
    <w:p>
      <w:pPr>
        <w:spacing w:after="0" w:line="117" w:lineRule="exact"/>
        <w:rPr>
          <w:sz w:val="20"/>
          <w:szCs w:val="20"/>
          <w:color w:val="auto"/>
        </w:rPr>
      </w:pPr>
    </w:p>
    <w:p>
      <w:pPr>
        <w:ind w:left="132"/>
        <w:spacing w:after="0"/>
        <w:tabs>
          <w:tab w:leader="none" w:pos="89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Opinion of Davis Polk &amp; Wardwell LLP as to U.S. tax matters*</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November 6, 2006#*</w:t>
      </w:r>
    </w:p>
    <w:p>
      <w:pPr>
        <w:spacing w:after="0" w:line="117" w:lineRule="exact"/>
        <w:rPr>
          <w:sz w:val="20"/>
          <w:szCs w:val="20"/>
          <w:color w:val="auto"/>
        </w:rPr>
      </w:pPr>
    </w:p>
    <w:p>
      <w:pPr>
        <w:ind w:left="912" w:hanging="872"/>
        <w:spacing w:after="0" w:line="277" w:lineRule="auto"/>
        <w:tabs>
          <w:tab w:leader="none" w:pos="89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the Research Collaboration and License Agreement between AC Immune SA Corporation and Genentech, Inc. dated May 7, 2015#*</w:t>
      </w:r>
    </w:p>
    <w:p>
      <w:pPr>
        <w:spacing w:after="0" w:line="62"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June 15, 2012#*</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License and Collaboration Agreement between Piramal Imaging Ltd., Piramal Imaging SA and AC Immune SA, dated May 9, 2014#*</w:t>
      </w:r>
    </w:p>
    <w:p>
      <w:pPr>
        <w:spacing w:after="0" w:line="117" w:lineRule="exact"/>
        <w:rPr>
          <w:sz w:val="20"/>
          <w:szCs w:val="20"/>
          <w:color w:val="auto"/>
        </w:rPr>
      </w:pPr>
    </w:p>
    <w:p>
      <w:pPr>
        <w:ind w:left="912" w:hanging="872"/>
        <w:spacing w:after="0" w:line="277" w:lineRule="auto"/>
        <w:tabs>
          <w:tab w:leader="none" w:pos="89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License, Development and Commercialization Agreement between Janssen Pharmaceuticals, Inc. and AC Immune SA, dated December 24, 2014#*</w:t>
      </w:r>
    </w:p>
    <w:p>
      <w:pPr>
        <w:spacing w:after="0" w:line="62"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Indemnity Agreement*</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AC Immune SA 2013 Equity Incentive Plan*</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Subscription Agreement among Fidelity entities and AC Immune SA, dated October 16, 2015*</w:t>
      </w:r>
    </w:p>
    <w:p>
      <w:pPr>
        <w:spacing w:after="0" w:line="131"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Subscription Agreement among Temasek entities and AC Immune SA, dated October 16, 2015*</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AG*</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Vischer AG, Swiss counsel of AC Immune SA (included in Exhibit 5.1)</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Vischer AG, Swiss counsel of AC Immune SA (included in Exhibit 8.1)*</w:t>
      </w:r>
    </w:p>
    <w:p>
      <w:pPr>
        <w:spacing w:after="0" w:line="117" w:lineRule="exact"/>
        <w:rPr>
          <w:sz w:val="20"/>
          <w:szCs w:val="20"/>
          <w:color w:val="auto"/>
        </w:rPr>
      </w:pPr>
    </w:p>
    <w:p>
      <w:pPr>
        <w:ind w:left="52"/>
        <w:spacing w:after="0"/>
        <w:tabs>
          <w:tab w:leader="none" w:pos="892"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7"/>
          <w:szCs w:val="17"/>
          <w:color w:val="auto"/>
        </w:rPr>
        <w:t>Consent of Davis Polk &amp; Wardwell LLP (included in 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8" w:right="5420" w:firstLine="8"/>
        <w:spacing w:after="0" w:line="277" w:lineRule="auto"/>
        <w:tabs>
          <w:tab w:leader="none" w:pos="438"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in redacted form subject to a Request for Confidential Treatment. * Previously filed.</w:t>
      </w:r>
    </w:p>
    <w:p>
      <w:pPr>
        <w:spacing w:after="0" w:line="103"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92"/>
          </w:cols>
          <w:pgMar w:left="248" w:top="270" w:right="65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VISCHER Ltd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Basel</w:t>
      </w:r>
    </w:p>
    <w:p>
      <w:pPr>
        <w:spacing w:after="0" w:line="226" w:lineRule="auto"/>
        <w:rPr>
          <w:sz w:val="20"/>
          <w:szCs w:val="20"/>
          <w:color w:val="auto"/>
        </w:rPr>
      </w:pPr>
      <w:r>
        <w:rPr>
          <w:rFonts w:ascii="Arial" w:cs="Arial" w:eastAsia="Arial" w:hAnsi="Arial"/>
          <w:sz w:val="14"/>
          <w:szCs w:val="14"/>
          <w:color w:val="auto"/>
        </w:rPr>
        <w:t>Aeschenvorstadt 4</w:t>
      </w:r>
    </w:p>
    <w:p>
      <w:pPr>
        <w:spacing w:after="0" w:line="222" w:lineRule="auto"/>
        <w:rPr>
          <w:sz w:val="20"/>
          <w:szCs w:val="20"/>
          <w:color w:val="auto"/>
        </w:rPr>
      </w:pPr>
      <w:r>
        <w:rPr>
          <w:rFonts w:ascii="Arial" w:cs="Arial" w:eastAsia="Arial" w:hAnsi="Arial"/>
          <w:sz w:val="14"/>
          <w:szCs w:val="14"/>
          <w:color w:val="auto"/>
        </w:rPr>
        <w:t>CH-4010 Basel</w:t>
      </w:r>
    </w:p>
    <w:p>
      <w:pPr>
        <w:spacing w:after="0" w:line="221" w:lineRule="auto"/>
        <w:rPr>
          <w:sz w:val="20"/>
          <w:szCs w:val="20"/>
          <w:color w:val="auto"/>
        </w:rPr>
      </w:pPr>
      <w:r>
        <w:rPr>
          <w:rFonts w:ascii="Arial" w:cs="Arial" w:eastAsia="Arial" w:hAnsi="Arial"/>
          <w:sz w:val="14"/>
          <w:szCs w:val="14"/>
          <w:color w:val="auto"/>
        </w:rPr>
        <w:t>Switzerland</w:t>
      </w:r>
    </w:p>
    <w:p>
      <w:pPr>
        <w:spacing w:after="0"/>
        <w:rPr>
          <w:sz w:val="20"/>
          <w:szCs w:val="20"/>
          <w:color w:val="auto"/>
        </w:rPr>
      </w:pPr>
      <w:r>
        <w:rPr>
          <w:rFonts w:ascii="Arial" w:cs="Arial" w:eastAsia="Arial" w:hAnsi="Arial"/>
          <w:sz w:val="12"/>
          <w:szCs w:val="12"/>
          <w:color w:val="auto"/>
        </w:rPr>
        <w:t>Phone +41 58 211 33 00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33 10</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Zurich</w:t>
      </w:r>
    </w:p>
    <w:p>
      <w:pPr>
        <w:spacing w:after="0" w:line="226" w:lineRule="auto"/>
        <w:rPr>
          <w:sz w:val="20"/>
          <w:szCs w:val="20"/>
          <w:color w:val="auto"/>
        </w:rPr>
      </w:pPr>
      <w:r>
        <w:rPr>
          <w:rFonts w:ascii="Arial" w:cs="Arial" w:eastAsia="Arial" w:hAnsi="Arial"/>
          <w:sz w:val="14"/>
          <w:szCs w:val="14"/>
          <w:color w:val="auto"/>
        </w:rPr>
        <w:t>Schützengasse 1</w:t>
      </w:r>
    </w:p>
    <w:p>
      <w:pPr>
        <w:spacing w:after="0" w:line="222" w:lineRule="auto"/>
        <w:rPr>
          <w:sz w:val="20"/>
          <w:szCs w:val="20"/>
          <w:color w:val="auto"/>
        </w:rPr>
      </w:pPr>
      <w:r>
        <w:rPr>
          <w:rFonts w:ascii="Arial" w:cs="Arial" w:eastAsia="Arial" w:hAnsi="Arial"/>
          <w:sz w:val="14"/>
          <w:szCs w:val="14"/>
          <w:color w:val="auto"/>
        </w:rPr>
        <w:t>CH-8021 Zurich</w:t>
      </w:r>
    </w:p>
    <w:p>
      <w:pPr>
        <w:spacing w:after="0" w:line="221" w:lineRule="auto"/>
        <w:rPr>
          <w:sz w:val="20"/>
          <w:szCs w:val="20"/>
          <w:color w:val="auto"/>
        </w:rPr>
      </w:pPr>
      <w:r>
        <w:rPr>
          <w:rFonts w:ascii="Arial" w:cs="Arial" w:eastAsia="Arial" w:hAnsi="Arial"/>
          <w:sz w:val="14"/>
          <w:szCs w:val="14"/>
          <w:color w:val="auto"/>
        </w:rPr>
        <w:t>Switzerland</w:t>
      </w:r>
    </w:p>
    <w:p>
      <w:pPr>
        <w:spacing w:after="0"/>
        <w:rPr>
          <w:sz w:val="20"/>
          <w:szCs w:val="20"/>
          <w:color w:val="auto"/>
        </w:rPr>
      </w:pPr>
      <w:r>
        <w:rPr>
          <w:rFonts w:ascii="Arial" w:cs="Arial" w:eastAsia="Arial" w:hAnsi="Arial"/>
          <w:sz w:val="12"/>
          <w:szCs w:val="12"/>
          <w:color w:val="auto"/>
        </w:rPr>
        <w:t>Phone +41 58 211 34 00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34 10</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Civil Law Notaries in</w:t>
      </w:r>
    </w:p>
    <w:p>
      <w:pPr>
        <w:spacing w:after="0"/>
        <w:rPr>
          <w:sz w:val="20"/>
          <w:szCs w:val="20"/>
          <w:color w:val="auto"/>
        </w:rPr>
      </w:pPr>
      <w:r>
        <w:rPr>
          <w:rFonts w:ascii="Arial" w:cs="Arial" w:eastAsia="Arial" w:hAnsi="Arial"/>
          <w:sz w:val="14"/>
          <w:szCs w:val="14"/>
          <w:color w:val="auto"/>
        </w:rPr>
        <w:t>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1015 Lausanne</w:t>
      </w:r>
    </w:p>
    <w:p>
      <w:pPr>
        <w:spacing w:after="0" w:line="319" w:lineRule="exact"/>
        <w:rPr>
          <w:sz w:val="20"/>
          <w:szCs w:val="20"/>
          <w:color w:val="auto"/>
        </w:rPr>
      </w:pPr>
    </w:p>
    <w:p>
      <w:pPr>
        <w:ind w:left="2"/>
        <w:spacing w:after="0"/>
        <w:rPr>
          <w:sz w:val="20"/>
          <w:szCs w:val="20"/>
          <w:color w:val="auto"/>
        </w:rPr>
      </w:pPr>
      <w:r>
        <w:rPr>
          <w:rFonts w:ascii="Arial" w:cs="Arial" w:eastAsia="Arial" w:hAnsi="Arial"/>
          <w:sz w:val="18"/>
          <w:szCs w:val="18"/>
          <w:color w:val="auto"/>
        </w:rPr>
        <w:t>Basel, 22 September 2016</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AC Immune SA – Registration Statement on Form F-1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Dear Sir or Madam,</w:t>
      </w:r>
    </w:p>
    <w:p>
      <w:pPr>
        <w:spacing w:after="0" w:line="221" w:lineRule="exact"/>
        <w:rPr>
          <w:sz w:val="20"/>
          <w:szCs w:val="20"/>
          <w:color w:val="auto"/>
        </w:rPr>
      </w:pPr>
    </w:p>
    <w:p>
      <w:pPr>
        <w:ind w:left="2" w:right="20"/>
        <w:spacing w:after="0" w:line="272" w:lineRule="auto"/>
        <w:rPr>
          <w:sz w:val="20"/>
          <w:szCs w:val="20"/>
          <w:color w:val="auto"/>
        </w:rPr>
      </w:pPr>
      <w:r>
        <w:rPr>
          <w:rFonts w:ascii="Arial" w:cs="Arial" w:eastAsia="Arial" w:hAnsi="Arial"/>
          <w:sz w:val="17"/>
          <w:szCs w:val="17"/>
          <w:color w:val="auto"/>
        </w:rPr>
        <w:t>This opinion is being rendered at the request of AC Immune SA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Amendment No. 7 to the registration statement on Form F-1 filed with the U.S. Securities and Exchange Commission on 31 May 2016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offer and sale of such number of common shares of CHF 0.02 par value each of the Company as authorized by the Shareholders Resolution (as defined below), including, if and to the extent such option is exercised, any additional shares with a nominal value of CHF 0.02 each to be sold to the underwriters pursuant to the over-allotment option granted by the Company to the underwriters (together the ”</w:t>
      </w:r>
      <w:r>
        <w:rPr>
          <w:rFonts w:ascii="Arial" w:cs="Arial" w:eastAsia="Arial" w:hAnsi="Arial"/>
          <w:sz w:val="17"/>
          <w:szCs w:val="17"/>
          <w:b w:val="1"/>
          <w:bCs w:val="1"/>
          <w:color w:val="auto"/>
        </w:rPr>
        <w:t>Shares</w:t>
      </w:r>
      <w:r>
        <w:rPr>
          <w:rFonts w:ascii="Arial" w:cs="Arial" w:eastAsia="Arial" w:hAnsi="Arial"/>
          <w:sz w:val="17"/>
          <w:szCs w:val="17"/>
          <w:color w:val="auto"/>
        </w:rPr>
        <w:t>”). As such counsel, we have been requested to render an opinion as to certain matters of Swiss law.</w:t>
      </w:r>
    </w:p>
    <w:p>
      <w:pPr>
        <w:spacing w:after="0" w:line="321" w:lineRule="exact"/>
        <w:rPr>
          <w:sz w:val="20"/>
          <w:szCs w:val="20"/>
          <w:color w:val="auto"/>
        </w:rPr>
      </w:pPr>
    </w:p>
    <w:p>
      <w:pPr>
        <w:ind w:left="462" w:hanging="462"/>
        <w:spacing w:after="0"/>
        <w:tabs>
          <w:tab w:leader="none" w:pos="46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229" w:lineRule="exact"/>
        <w:rPr>
          <w:sz w:val="20"/>
          <w:szCs w:val="20"/>
          <w:color w:val="auto"/>
        </w:rPr>
      </w:pPr>
    </w:p>
    <w:p>
      <w:pPr>
        <w:ind w:left="2" w:right="18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1" w:lineRule="exact"/>
        <w:rPr>
          <w:sz w:val="20"/>
          <w:szCs w:val="20"/>
          <w:color w:val="auto"/>
        </w:rPr>
      </w:pPr>
    </w:p>
    <w:p>
      <w:pPr>
        <w:ind w:left="2" w:right="14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the purpose of giving this opinion, we have only examined the following documents:</w:t>
      </w:r>
    </w:p>
    <w:p>
      <w:pPr>
        <w:spacing w:after="0" w:line="131" w:lineRule="exact"/>
        <w:rPr>
          <w:sz w:val="20"/>
          <w:szCs w:val="20"/>
          <w:color w:val="auto"/>
        </w:rPr>
      </w:pPr>
    </w:p>
    <w:p>
      <w:pPr>
        <w:ind w:left="462" w:hanging="462"/>
        <w:spacing w:after="0"/>
        <w:tabs>
          <w:tab w:leader="none" w:pos="462"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pdf copy of the Registration Statement;</w:t>
      </w:r>
    </w:p>
    <w:p>
      <w:pPr>
        <w:sectPr>
          <w:pgSz w:w="11900" w:h="16838" w:orient="portrait"/>
          <w:cols w:equalWidth="0" w:num="2">
            <w:col w:w="1798" w:space="720"/>
            <w:col w:w="8782"/>
          </w:cols>
          <w:pgMar w:left="240" w:top="175"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rPr>
              <w:t>22 September 2016</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00"/>
        </w:trPr>
        <w:tc>
          <w:tcPr>
            <w:tcW w:w="1360" w:type="dxa"/>
            <w:vAlign w:val="bottom"/>
          </w:tcPr>
          <w:p>
            <w:pPr>
              <w:spacing w:after="0"/>
              <w:rPr>
                <w:sz w:val="20"/>
                <w:szCs w:val="20"/>
                <w:color w:val="auto"/>
              </w:rPr>
            </w:pPr>
            <w:r>
              <w:rPr>
                <w:rFonts w:ascii="Arial" w:cs="Arial" w:eastAsia="Arial" w:hAnsi="Arial"/>
                <w:sz w:val="14"/>
                <w:szCs w:val="14"/>
                <w:color w:val="auto"/>
              </w:rPr>
              <w:t>VISCHER</w:t>
            </w:r>
          </w:p>
        </w:tc>
        <w:tc>
          <w:tcPr>
            <w:tcW w:w="1460" w:type="dxa"/>
            <w:vAlign w:val="bottom"/>
          </w:tcPr>
          <w:p>
            <w:pPr>
              <w:ind w:left="1160"/>
              <w:spacing w:after="0"/>
              <w:rPr>
                <w:sz w:val="20"/>
                <w:szCs w:val="20"/>
                <w:color w:val="auto"/>
              </w:rPr>
            </w:pPr>
            <w:r>
              <w:rPr>
                <w:rFonts w:ascii="Arial" w:cs="Arial" w:eastAsia="Arial" w:hAnsi="Arial"/>
                <w:sz w:val="18"/>
                <w:szCs w:val="18"/>
                <w:color w:val="auto"/>
              </w:rPr>
              <w:t>b)</w:t>
            </w:r>
          </w:p>
        </w:tc>
        <w:tc>
          <w:tcPr>
            <w:tcW w:w="8380" w:type="dxa"/>
            <w:vAlign w:val="bottom"/>
          </w:tcPr>
          <w:p>
            <w:pPr>
              <w:ind w:left="160"/>
              <w:spacing w:after="0"/>
              <w:rPr>
                <w:sz w:val="20"/>
                <w:szCs w:val="20"/>
                <w:color w:val="auto"/>
              </w:rPr>
            </w:pPr>
            <w:r>
              <w:rPr>
                <w:rFonts w:ascii="Arial" w:cs="Arial" w:eastAsia="Arial" w:hAnsi="Arial"/>
                <w:sz w:val="18"/>
                <w:szCs w:val="18"/>
                <w:color w:val="auto"/>
                <w:w w:val="97"/>
              </w:rPr>
              <w:t>an original copy of the notarized articles of association (</w:t>
            </w:r>
            <w:r>
              <w:rPr>
                <w:rFonts w:ascii="Arial" w:cs="Arial" w:eastAsia="Arial" w:hAnsi="Arial"/>
                <w:sz w:val="18"/>
                <w:szCs w:val="18"/>
                <w:i w:val="1"/>
                <w:iCs w:val="1"/>
                <w:color w:val="auto"/>
                <w:w w:val="97"/>
              </w:rPr>
              <w:t>Statuten</w:t>
            </w:r>
            <w:r>
              <w:rPr>
                <w:rFonts w:ascii="Arial" w:cs="Arial" w:eastAsia="Arial" w:hAnsi="Arial"/>
                <w:sz w:val="18"/>
                <w:szCs w:val="18"/>
                <w:color w:val="auto"/>
                <w:w w:val="97"/>
              </w:rPr>
              <w:t>) of the Company dated 25 May 2016 (the</w:t>
            </w:r>
          </w:p>
        </w:tc>
        <w:tc>
          <w:tcPr>
            <w:tcW w:w="2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as filed with the Commercial Register of the Canton of Vaud;</w:t>
            </w:r>
          </w:p>
        </w:tc>
        <w:tc>
          <w:tcPr>
            <w:tcW w:w="220" w:type="dxa"/>
            <w:vAlign w:val="bottom"/>
          </w:tcPr>
          <w:p>
            <w:pPr>
              <w:spacing w:after="0"/>
              <w:rPr>
                <w:sz w:val="20"/>
                <w:szCs w:val="20"/>
                <w:color w:val="auto"/>
              </w:rPr>
            </w:pPr>
          </w:p>
        </w:tc>
      </w:tr>
      <w:tr>
        <w:trPr>
          <w:trHeight w:val="319"/>
        </w:trPr>
        <w:tc>
          <w:tcPr>
            <w:tcW w:w="1360" w:type="dxa"/>
            <w:vAlign w:val="bottom"/>
          </w:tcPr>
          <w:p>
            <w:pPr>
              <w:spacing w:after="0"/>
              <w:rPr>
                <w:sz w:val="24"/>
                <w:szCs w:val="24"/>
                <w:color w:val="auto"/>
              </w:rPr>
            </w:pPr>
          </w:p>
        </w:tc>
        <w:tc>
          <w:tcPr>
            <w:tcW w:w="1460" w:type="dxa"/>
            <w:vAlign w:val="bottom"/>
          </w:tcPr>
          <w:p>
            <w:pPr>
              <w:ind w:left="1160"/>
              <w:spacing w:after="0"/>
              <w:rPr>
                <w:sz w:val="20"/>
                <w:szCs w:val="20"/>
                <w:color w:val="auto"/>
              </w:rPr>
            </w:pPr>
            <w:r>
              <w:rPr>
                <w:rFonts w:ascii="Arial" w:cs="Arial" w:eastAsia="Arial" w:hAnsi="Arial"/>
                <w:sz w:val="18"/>
                <w:szCs w:val="18"/>
                <w:color w:val="auto"/>
              </w:rPr>
              <w:t>c)</w:t>
            </w:r>
          </w:p>
        </w:tc>
        <w:tc>
          <w:tcPr>
            <w:tcW w:w="8380" w:type="dxa"/>
            <w:vAlign w:val="bottom"/>
          </w:tcPr>
          <w:p>
            <w:pPr>
              <w:ind w:left="160"/>
              <w:spacing w:after="0"/>
              <w:rPr>
                <w:sz w:val="20"/>
                <w:szCs w:val="20"/>
                <w:color w:val="auto"/>
              </w:rPr>
            </w:pPr>
            <w:r>
              <w:rPr>
                <w:rFonts w:ascii="Arial" w:cs="Arial" w:eastAsia="Arial" w:hAnsi="Arial"/>
                <w:sz w:val="18"/>
                <w:szCs w:val="18"/>
                <w:color w:val="auto"/>
                <w:w w:val="94"/>
              </w:rPr>
              <w:t>an excerpt from the Commercial Register of the Canton of Vaud in respect of the Company, certified by such</w:t>
            </w:r>
          </w:p>
        </w:tc>
        <w:tc>
          <w:tcPr>
            <w:tcW w:w="2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Commercial Register to be up-to-date as of 30 May 2016 (the “</w:t>
            </w:r>
            <w:r>
              <w:rPr>
                <w:rFonts w:ascii="Arial" w:cs="Arial" w:eastAsia="Arial" w:hAnsi="Arial"/>
                <w:sz w:val="18"/>
                <w:szCs w:val="18"/>
                <w:b w:val="1"/>
                <w:bCs w:val="1"/>
                <w:color w:val="auto"/>
              </w:rPr>
              <w:t>Excerpt</w:t>
            </w:r>
            <w:r>
              <w:rPr>
                <w:rFonts w:ascii="Arial" w:cs="Arial" w:eastAsia="Arial" w:hAnsi="Arial"/>
                <w:sz w:val="18"/>
                <w:szCs w:val="18"/>
                <w:color w:val="auto"/>
              </w:rPr>
              <w:t>”); and</w:t>
            </w:r>
          </w:p>
        </w:tc>
        <w:tc>
          <w:tcPr>
            <w:tcW w:w="220" w:type="dxa"/>
            <w:vAlign w:val="bottom"/>
          </w:tcPr>
          <w:p>
            <w:pPr>
              <w:spacing w:after="0"/>
              <w:rPr>
                <w:sz w:val="20"/>
                <w:szCs w:val="20"/>
                <w:color w:val="auto"/>
              </w:rPr>
            </w:pPr>
          </w:p>
        </w:tc>
      </w:tr>
      <w:tr>
        <w:trPr>
          <w:trHeight w:val="319"/>
        </w:trPr>
        <w:tc>
          <w:tcPr>
            <w:tcW w:w="1360" w:type="dxa"/>
            <w:vAlign w:val="bottom"/>
          </w:tcPr>
          <w:p>
            <w:pPr>
              <w:spacing w:after="0"/>
              <w:rPr>
                <w:sz w:val="24"/>
                <w:szCs w:val="24"/>
                <w:color w:val="auto"/>
              </w:rPr>
            </w:pPr>
          </w:p>
        </w:tc>
        <w:tc>
          <w:tcPr>
            <w:tcW w:w="1460" w:type="dxa"/>
            <w:vAlign w:val="bottom"/>
          </w:tcPr>
          <w:p>
            <w:pPr>
              <w:ind w:left="1160"/>
              <w:spacing w:after="0"/>
              <w:rPr>
                <w:sz w:val="20"/>
                <w:szCs w:val="20"/>
                <w:color w:val="auto"/>
              </w:rPr>
            </w:pPr>
            <w:r>
              <w:rPr>
                <w:rFonts w:ascii="Arial" w:cs="Arial" w:eastAsia="Arial" w:hAnsi="Arial"/>
                <w:sz w:val="18"/>
                <w:szCs w:val="18"/>
                <w:color w:val="auto"/>
              </w:rPr>
              <w:t>d)</w:t>
            </w:r>
          </w:p>
        </w:tc>
        <w:tc>
          <w:tcPr>
            <w:tcW w:w="8380" w:type="dxa"/>
            <w:vAlign w:val="bottom"/>
          </w:tcPr>
          <w:p>
            <w:pPr>
              <w:ind w:left="160"/>
              <w:spacing w:after="0"/>
              <w:rPr>
                <w:sz w:val="20"/>
                <w:szCs w:val="20"/>
                <w:color w:val="auto"/>
              </w:rPr>
            </w:pPr>
            <w:r>
              <w:rPr>
                <w:rFonts w:ascii="Arial" w:cs="Arial" w:eastAsia="Arial" w:hAnsi="Arial"/>
                <w:sz w:val="18"/>
                <w:szCs w:val="18"/>
                <w:color w:val="auto"/>
                <w:w w:val="91"/>
              </w:rPr>
              <w:t>a pdf copy of the notarized resolution of the general meetings of the shareholders and of the holders of preferred</w:t>
            </w:r>
          </w:p>
        </w:tc>
        <w:tc>
          <w:tcPr>
            <w:tcW w:w="2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w w:val="99"/>
              </w:rPr>
              <w:t>shares of the Company, both dated 21 October 2015, as amended on 25 May 2016 (the ”</w:t>
            </w:r>
            <w:r>
              <w:rPr>
                <w:rFonts w:ascii="Arial" w:cs="Arial" w:eastAsia="Arial" w:hAnsi="Arial"/>
                <w:sz w:val="18"/>
                <w:szCs w:val="18"/>
                <w:b w:val="1"/>
                <w:bCs w:val="1"/>
                <w:color w:val="auto"/>
                <w:w w:val="99"/>
              </w:rPr>
              <w:t>Shareholders</w:t>
            </w:r>
          </w:p>
        </w:tc>
        <w:tc>
          <w:tcPr>
            <w:tcW w:w="220" w:type="dxa"/>
            <w:vAlign w:val="bottom"/>
          </w:tcPr>
          <w:p>
            <w:pPr>
              <w:spacing w:after="0"/>
              <w:rPr>
                <w:sz w:val="20"/>
                <w:szCs w:val="20"/>
                <w:color w:val="auto"/>
              </w:rPr>
            </w:pPr>
          </w:p>
        </w:tc>
      </w:tr>
    </w:tbl>
    <w:p>
      <w:pPr>
        <w:ind w:left="2980" w:right="38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w:t>
      </w:r>
      <w:r>
        <w:rPr>
          <w:rFonts w:ascii="Arial" w:cs="Arial" w:eastAsia="Arial" w:hAnsi="Arial"/>
          <w:sz w:val="18"/>
          <w:szCs w:val="18"/>
          <w:color w:val="auto"/>
        </w:rPr>
        <w:t>”) and regarding, among others, the authorization (the “</w:t>
      </w:r>
      <w:r>
        <w:rPr>
          <w:rFonts w:ascii="Arial" w:cs="Arial" w:eastAsia="Arial" w:hAnsi="Arial"/>
          <w:sz w:val="18"/>
          <w:szCs w:val="18"/>
          <w:b w:val="1"/>
          <w:bCs w:val="1"/>
          <w:color w:val="auto"/>
        </w:rPr>
        <w:t>Authorization</w:t>
      </w:r>
      <w:r>
        <w:rPr>
          <w:rFonts w:ascii="Arial" w:cs="Arial" w:eastAsia="Arial" w:hAnsi="Arial"/>
          <w:sz w:val="18"/>
          <w:szCs w:val="18"/>
          <w:color w:val="auto"/>
        </w:rPr>
        <w:t>”) granted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to (i) increase the share capital of the Company by an amount up to CHF 426’950 (the “</w:t>
      </w:r>
      <w:r>
        <w:rPr>
          <w:rFonts w:ascii="Arial" w:cs="Arial" w:eastAsia="Arial" w:hAnsi="Arial"/>
          <w:sz w:val="18"/>
          <w:szCs w:val="18"/>
          <w:b w:val="1"/>
          <w:bCs w:val="1"/>
          <w:color w:val="auto"/>
        </w:rPr>
        <w:t>Capital Increase</w:t>
      </w:r>
      <w:r>
        <w:rPr>
          <w:rFonts w:ascii="Arial" w:cs="Arial" w:eastAsia="Arial" w:hAnsi="Arial"/>
          <w:sz w:val="18"/>
          <w:szCs w:val="18"/>
          <w:color w:val="auto"/>
        </w:rPr>
        <w:t>”), (ii) issue up to 21’347’500 shares of a nominal value of CHF 0.02 each and (iii) adapt the Articles accordingly.</w:t>
      </w:r>
    </w:p>
    <w:p>
      <w:pPr>
        <w:spacing w:after="0" w:line="18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documents referred to above in paragraphs a) to d)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No documents have been reviewed by ourselves in connection with this opinion other than those listed above.</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Accordingly, our opinion is limited to the above Documents and their legal implications under Swiss law.</w:t>
      </w:r>
    </w:p>
    <w:p>
      <w:pPr>
        <w:spacing w:after="0" w:line="211" w:lineRule="exact"/>
        <w:rPr>
          <w:sz w:val="20"/>
          <w:szCs w:val="20"/>
          <w:color w:val="auto"/>
        </w:rPr>
      </w:pPr>
    </w:p>
    <w:p>
      <w:pPr>
        <w:ind w:left="2520" w:right="30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315" w:lineRule="exact"/>
        <w:rPr>
          <w:sz w:val="20"/>
          <w:szCs w:val="20"/>
          <w:color w:val="auto"/>
        </w:rPr>
      </w:pPr>
    </w:p>
    <w:p>
      <w:pPr>
        <w:ind w:left="2980" w:hanging="462"/>
        <w:spacing w:after="0"/>
        <w:tabs>
          <w:tab w:leader="none" w:pos="2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2980" w:right="300" w:hanging="462"/>
        <w:spacing w:after="0" w:line="277" w:lineRule="auto"/>
        <w:tabs>
          <w:tab w:leader="none" w:pos="2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75" w:lineRule="exact"/>
        <w:rPr>
          <w:rFonts w:ascii="Arial" w:cs="Arial" w:eastAsia="Arial" w:hAnsi="Arial"/>
          <w:sz w:val="18"/>
          <w:szCs w:val="18"/>
          <w:color w:val="auto"/>
        </w:rPr>
      </w:pPr>
    </w:p>
    <w:p>
      <w:pPr>
        <w:ind w:left="2980" w:right="300" w:hanging="462"/>
        <w:spacing w:after="0" w:line="277" w:lineRule="auto"/>
        <w:tabs>
          <w:tab w:leader="none" w:pos="2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w:t>
      </w:r>
    </w:p>
    <w:p>
      <w:pPr>
        <w:spacing w:after="0" w:line="75" w:lineRule="exact"/>
        <w:rPr>
          <w:rFonts w:ascii="Arial" w:cs="Arial" w:eastAsia="Arial" w:hAnsi="Arial"/>
          <w:sz w:val="18"/>
          <w:szCs w:val="18"/>
          <w:color w:val="auto"/>
        </w:rPr>
      </w:pPr>
    </w:p>
    <w:p>
      <w:pPr>
        <w:ind w:left="2980" w:right="500" w:hanging="462"/>
        <w:spacing w:after="0" w:line="277" w:lineRule="auto"/>
        <w:tabs>
          <w:tab w:leader="none" w:pos="2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Shareholders Resolution has been duly resolved in a meeting duly convened and has not been rescinded or amended and is in full force and effect;</w:t>
      </w:r>
    </w:p>
    <w:p>
      <w:pPr>
        <w:spacing w:after="0" w:line="75" w:lineRule="exact"/>
        <w:rPr>
          <w:rFonts w:ascii="Arial" w:cs="Arial" w:eastAsia="Arial" w:hAnsi="Arial"/>
          <w:sz w:val="18"/>
          <w:szCs w:val="18"/>
          <w:color w:val="auto"/>
        </w:rPr>
      </w:pPr>
    </w:p>
    <w:p>
      <w:pPr>
        <w:ind w:left="2980" w:hanging="462"/>
        <w:spacing w:after="0"/>
        <w:tabs>
          <w:tab w:leader="none" w:pos="2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Registration Statement has been duly filed by the Company;</w:t>
      </w:r>
    </w:p>
    <w:p>
      <w:pPr>
        <w:spacing w:after="0" w:line="130" w:lineRule="exact"/>
        <w:rPr>
          <w:rFonts w:ascii="Arial" w:cs="Arial" w:eastAsia="Arial" w:hAnsi="Arial"/>
          <w:sz w:val="18"/>
          <w:szCs w:val="18"/>
          <w:color w:val="auto"/>
        </w:rPr>
      </w:pPr>
    </w:p>
    <w:p>
      <w:pPr>
        <w:ind w:left="2980" w:right="140" w:hanging="462"/>
        <w:spacing w:after="0" w:line="308" w:lineRule="auto"/>
        <w:tabs>
          <w:tab w:leader="none" w:pos="2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Articles and the Excerpt are unchanged and correct as of the date hereof and no changes have been made which should have been or should be reflected in the Articles or the Excerpt as of the date hereof; and</w:t>
      </w:r>
    </w:p>
    <w:p>
      <w:pPr>
        <w:spacing w:after="0" w:line="51" w:lineRule="exact"/>
        <w:rPr>
          <w:rFonts w:ascii="Arial" w:cs="Arial" w:eastAsia="Arial" w:hAnsi="Arial"/>
          <w:sz w:val="17"/>
          <w:szCs w:val="17"/>
          <w:color w:val="auto"/>
        </w:rPr>
      </w:pPr>
    </w:p>
    <w:p>
      <w:pPr>
        <w:ind w:left="2980" w:right="140" w:hanging="462"/>
        <w:spacing w:after="0" w:line="277" w:lineRule="auto"/>
        <w:tabs>
          <w:tab w:leader="none" w:pos="2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Documents are true, complete and accurate.</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20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22 September 2016</w:t>
            </w:r>
          </w:p>
        </w:tc>
        <w:tc>
          <w:tcPr>
            <w:tcW w:w="40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2500" w:val="left"/>
          <w:tab w:leader="none" w:pos="2960" w:val="left"/>
        </w:tabs>
        <w:rPr>
          <w:sz w:val="20"/>
          <w:szCs w:val="20"/>
          <w:color w:val="auto"/>
        </w:rPr>
      </w:pPr>
      <w:r>
        <w:rPr>
          <w:rFonts w:ascii="Arial" w:cs="Arial" w:eastAsia="Arial" w:hAnsi="Arial"/>
          <w:sz w:val="29"/>
          <w:szCs w:val="29"/>
          <w:color w:val="auto"/>
          <w:vertAlign w:val="superscript"/>
        </w:rPr>
        <w:t>VISCHER</w:t>
      </w:r>
      <w:r>
        <w:rPr>
          <w:sz w:val="20"/>
          <w:szCs w:val="20"/>
          <w:color w:val="auto"/>
        </w:rPr>
        <w:tab/>
      </w:r>
      <w:r>
        <w:rPr>
          <w:rFonts w:ascii="Arial" w:cs="Arial" w:eastAsia="Arial" w:hAnsi="Arial"/>
          <w:sz w:val="18"/>
          <w:szCs w:val="18"/>
          <w:b w:val="1"/>
          <w:bCs w:val="1"/>
          <w:color w:val="auto"/>
        </w:rPr>
        <w:t>III.</w:t>
        <w:tab/>
        <w:t>OPINION</w:t>
      </w:r>
    </w:p>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Based upon the foregoing and subject to the qualifications set out below, we are of the opinion that:</w:t>
      </w:r>
    </w:p>
    <w:p>
      <w:pPr>
        <w:spacing w:after="0" w:line="131" w:lineRule="exact"/>
        <w:rPr>
          <w:sz w:val="20"/>
          <w:szCs w:val="20"/>
          <w:color w:val="auto"/>
        </w:rPr>
      </w:pPr>
    </w:p>
    <w:p>
      <w:pPr>
        <w:ind w:left="2980" w:right="200" w:hanging="460"/>
        <w:spacing w:after="0" w:line="259" w:lineRule="auto"/>
        <w:tabs>
          <w:tab w:leader="none" w:pos="2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to be issued in the Capital Increase, when sold and upon registration of the corresponding share capital increase into the Commercial Register of the Canton of Vaud, will be validly issued, fully paid-in (up to their nominal amount) and non-assessable (which term means when used herein that no further contributions have to be made by the holders of the Shares).</w:t>
      </w:r>
    </w:p>
    <w:p>
      <w:pPr>
        <w:spacing w:after="0" w:line="331" w:lineRule="exact"/>
        <w:rPr>
          <w:sz w:val="20"/>
          <w:szCs w:val="20"/>
          <w:color w:val="auto"/>
        </w:rPr>
      </w:pPr>
    </w:p>
    <w:p>
      <w:pPr>
        <w:ind w:left="2520"/>
        <w:spacing w:after="0"/>
        <w:tabs>
          <w:tab w:leader="none" w:pos="2960" w:val="left"/>
        </w:tabs>
        <w:rPr>
          <w:sz w:val="20"/>
          <w:szCs w:val="20"/>
          <w:color w:val="auto"/>
        </w:rPr>
      </w:pPr>
      <w:r>
        <w:rPr>
          <w:rFonts w:ascii="Arial" w:cs="Arial" w:eastAsia="Arial" w:hAnsi="Arial"/>
          <w:sz w:val="18"/>
          <w:szCs w:val="18"/>
          <w:b w:val="1"/>
          <w:bCs w:val="1"/>
          <w:color w:val="auto"/>
        </w:rPr>
        <w:t>IV.</w:t>
        <w:tab/>
        <w:t>QUALIFICATIONS</w:t>
      </w:r>
    </w:p>
    <w:p>
      <w:pPr>
        <w:spacing w:after="0" w:line="22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2980" w:right="200" w:hanging="460"/>
        <w:spacing w:after="0" w:line="264" w:lineRule="auto"/>
        <w:tabs>
          <w:tab w:leader="none" w:pos="2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86" w:lineRule="exact"/>
        <w:rPr>
          <w:rFonts w:ascii="Arial" w:cs="Arial" w:eastAsia="Arial" w:hAnsi="Arial"/>
          <w:sz w:val="18"/>
          <w:szCs w:val="18"/>
          <w:color w:val="auto"/>
        </w:rPr>
      </w:pPr>
    </w:p>
    <w:p>
      <w:pPr>
        <w:ind w:left="2980" w:right="380" w:hanging="460"/>
        <w:spacing w:after="0" w:line="286" w:lineRule="auto"/>
        <w:tabs>
          <w:tab w:leader="none" w:pos="2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70" w:lineRule="exact"/>
        <w:rPr>
          <w:rFonts w:ascii="Arial" w:cs="Arial" w:eastAsia="Arial" w:hAnsi="Arial"/>
          <w:sz w:val="17"/>
          <w:szCs w:val="17"/>
          <w:color w:val="auto"/>
        </w:rPr>
      </w:pPr>
    </w:p>
    <w:p>
      <w:pPr>
        <w:ind w:left="2980" w:right="780" w:hanging="460"/>
        <w:spacing w:after="0" w:line="277" w:lineRule="auto"/>
        <w:tabs>
          <w:tab w:leader="none" w:pos="2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Registration Statement.</w:t>
      </w:r>
    </w:p>
    <w:p>
      <w:pPr>
        <w:spacing w:after="0" w:line="170" w:lineRule="exact"/>
        <w:rPr>
          <w:rFonts w:ascii="Arial" w:cs="Arial" w:eastAsia="Arial" w:hAnsi="Arial"/>
          <w:sz w:val="18"/>
          <w:szCs w:val="18"/>
          <w:color w:val="auto"/>
        </w:rPr>
      </w:pPr>
    </w:p>
    <w:p>
      <w:pPr>
        <w:ind w:left="66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ind w:left="2520" w:right="580"/>
        <w:spacing w:after="0" w:line="277"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70" w:lineRule="exact"/>
        <w:rPr>
          <w:sz w:val="20"/>
          <w:szCs w:val="20"/>
          <w:color w:val="auto"/>
        </w:rPr>
      </w:pPr>
    </w:p>
    <w:p>
      <w:pPr>
        <w:ind w:left="2520" w:right="160"/>
        <w:spacing w:after="0" w:line="255"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93" w:lineRule="exact"/>
        <w:rPr>
          <w:sz w:val="20"/>
          <w:szCs w:val="20"/>
          <w:color w:val="auto"/>
        </w:rPr>
      </w:pPr>
    </w:p>
    <w:p>
      <w:pPr>
        <w:ind w:left="2520" w:right="420"/>
        <w:spacing w:after="0" w:line="31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20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22 September 2016</w:t>
            </w:r>
          </w:p>
        </w:tc>
        <w:tc>
          <w:tcPr>
            <w:tcW w:w="40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2500" w:val="left"/>
        </w:tabs>
        <w:rPr>
          <w:sz w:val="20"/>
          <w:szCs w:val="20"/>
          <w:color w:val="auto"/>
        </w:rPr>
      </w:pPr>
      <w:r>
        <w:rPr>
          <w:rFonts w:ascii="Arial" w:cs="Arial" w:eastAsia="Arial" w:hAnsi="Arial"/>
          <w:sz w:val="29"/>
          <w:szCs w:val="29"/>
          <w:color w:val="auto"/>
          <w:vertAlign w:val="superscript"/>
        </w:rPr>
        <w:t>VISCHER</w:t>
      </w:r>
      <w:r>
        <w:rPr>
          <w:sz w:val="20"/>
          <w:szCs w:val="20"/>
          <w:color w:val="auto"/>
        </w:rPr>
        <w:tab/>
      </w:r>
      <w:r>
        <w:rPr>
          <w:rFonts w:ascii="Arial" w:cs="Arial" w:eastAsia="Arial" w:hAnsi="Arial"/>
          <w:sz w:val="18"/>
          <w:szCs w:val="18"/>
          <w:color w:val="auto"/>
        </w:rPr>
        <w:t>Very truly yours,</w:t>
      </w:r>
    </w:p>
    <w:p>
      <w:pPr>
        <w:spacing w:after="0" w:line="12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VISCHER AG</w:t>
      </w:r>
    </w:p>
    <w:p>
      <w:pPr>
        <w:spacing w:after="0" w:line="2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 Matthias Staehelin</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-130810</wp:posOffset>
            </wp:positionV>
            <wp:extent cx="2229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6"/>
    </w:lvl>
  </w:abstractNum>
  <w:abstractNum w:abstractNumId="2">
    <w:nsid w:val="41B71EFB"/>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3">
    <w:nsid w:val="79E2A9E3"/>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upperLetter"/>
      <w:start w:val="9"/>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upperLetter"/>
      <w:start w:val="3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2019-12-09T02:23:34Z</dcterms:created>
  <dcterms:modified xsi:type="dcterms:W3CDTF">2019-12-09T02:23:34Z</dcterms:modified>
</cp:coreProperties>
</file>