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6, 2016</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 IMMUNE SA</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2"/>
              </w:rPr>
              <w:t>Switzerland</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500" w:type="dxa"/>
            <w:vAlign w:val="bottom"/>
          </w:tcPr>
          <w:p>
            <w:pPr>
              <w:jc w:val="center"/>
              <w:ind w:left="98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Andrea Pfeifer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EPFL Innovation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Building B</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1015 Lausanne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Switzerland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+41 21 345 91 21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National Corporate Research,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 East 40th Street, 10th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10016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 221-0102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tbl>
      <w:tblPr>
        <w:tblLayout w:type="fixed"/>
        <w:tblInd w:w="190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476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r>
      <w:tr>
        <w:trPr>
          <w:trHeight w:val="241"/>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2"/>
              </w:rPr>
              <w:t>Richard D. Truesdell, Jr.</w:t>
            </w:r>
          </w:p>
        </w:tc>
        <w:tc>
          <w:tcPr>
            <w:tcW w:w="4760" w:type="dxa"/>
            <w:vAlign w:val="bottom"/>
          </w:tcPr>
          <w:p>
            <w:pPr>
              <w:jc w:val="center"/>
              <w:ind w:left="3160"/>
              <w:spacing w:after="0"/>
              <w:rPr>
                <w:sz w:val="20"/>
                <w:szCs w:val="20"/>
                <w:color w:val="auto"/>
              </w:rPr>
            </w:pPr>
            <w:r>
              <w:rPr>
                <w:rFonts w:ascii="Arial" w:cs="Arial" w:eastAsia="Arial" w:hAnsi="Arial"/>
                <w:sz w:val="16"/>
                <w:szCs w:val="16"/>
                <w:b w:val="1"/>
                <w:bCs w:val="1"/>
                <w:color w:val="auto"/>
                <w:w w:val="92"/>
              </w:rPr>
              <w:t>Mitchell S. Bloom</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1"/>
              </w:rPr>
              <w:t>Derek J. Dostal</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9"/>
              </w:rPr>
              <w:t>Arthur R. McGivern</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5"/>
              </w:rPr>
              <w:t>Davis Polk &amp; Wardwell LLP</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4"/>
              </w:rPr>
              <w:t>Goodwin Procter LLP</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0"/>
              </w:rPr>
              <w:t>450 Lexington Avenue</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0"/>
              </w:rPr>
              <w:t>Exchange Place</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5"/>
              </w:rPr>
              <w:t>New York, NY 10017</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1"/>
              </w:rPr>
              <w:t>53 State Street</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(212) 450-4000</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1"/>
              </w:rPr>
              <w:t>Boston, MA 02109</w:t>
            </w:r>
          </w:p>
        </w:tc>
      </w:tr>
      <w:tr>
        <w:trPr>
          <w:trHeight w:val="210"/>
        </w:trPr>
        <w:tc>
          <w:tcPr>
            <w:tcW w:w="2760" w:type="dxa"/>
            <w:vAlign w:val="bottom"/>
          </w:tcPr>
          <w:p>
            <w:pPr>
              <w:spacing w:after="0"/>
              <w:rPr>
                <w:sz w:val="18"/>
                <w:szCs w:val="18"/>
                <w:color w:val="auto"/>
              </w:rPr>
            </w:pP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3"/>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77" w:lineRule="exact"/>
        <w:rPr>
          <w:sz w:val="24"/>
          <w:szCs w:val="24"/>
          <w:color w:val="auto"/>
        </w:rPr>
      </w:pPr>
    </w:p>
    <w:p>
      <w:pPr>
        <w:ind w:right="52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32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4"/>
          <w:szCs w:val="24"/>
          <w:color w:val="auto"/>
        </w:rPr>
      </w:pPr>
    </w:p>
    <w:p>
      <w:pPr>
        <w:jc w:val="both"/>
        <w:ind w:right="60"/>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DE1A1E"/>
        </w:rPr>
        <w:t>The information in this prospectus is not complete and may be changed. We and the selling shareholder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6,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9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and the selling shareholder is offering of our common shares in this offering. We will not receive any proceeds from the sale of the common shares by the selling shareholder in this offering. We expect the initial public offering price will be between $ and $ per common share. We have applied to list our common shares on the NASDAQ under the symbol “ACIU.”</w:t>
      </w:r>
    </w:p>
    <w:p>
      <w:pPr>
        <w:spacing w:after="0" w:line="22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6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6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Proceeds, before expenses, to the selling shareholder</w:t>
            </w:r>
          </w:p>
        </w:tc>
        <w:tc>
          <w:tcPr>
            <w:tcW w:w="36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pacing w:after="0" w:line="265" w:lineRule="exact"/>
        <w:rPr>
          <w:rFonts w:ascii="Arial" w:cs="Arial" w:eastAsia="Arial" w:hAnsi="Arial"/>
          <w:sz w:val="18"/>
          <w:szCs w:val="18"/>
          <w:color w:val="auto"/>
        </w:rPr>
      </w:pPr>
    </w:p>
    <w:p>
      <w:pPr>
        <w:ind w:left="780" w:right="600" w:hanging="309"/>
        <w:spacing w:after="0" w:line="277" w:lineRule="auto"/>
        <w:rPr>
          <w:rFonts w:ascii="Arial" w:cs="Arial" w:eastAsia="Arial" w:hAnsi="Arial"/>
          <w:sz w:val="18"/>
          <w:szCs w:val="18"/>
          <w:color w:val="auto"/>
        </w:rPr>
      </w:pPr>
      <w:r>
        <w:rPr>
          <w:rFonts w:ascii="Arial" w:cs="Arial" w:eastAsia="Arial" w:hAnsi="Arial"/>
          <w:sz w:val="18"/>
          <w:szCs w:val="18"/>
          <w:color w:val="auto"/>
        </w:rPr>
        <w:t>The selling shareholder has granted the underwriters an option for a period of 30 days from the date of this prospectus to purchase an additional common shares from it to cover over-allotments.</w:t>
      </w:r>
    </w:p>
    <w:p>
      <w:pPr>
        <w:spacing w:after="0" w:line="20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257175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200" w:lineRule="exact"/>
        <w:rPr>
          <w:sz w:val="20"/>
          <w:szCs w:val="20"/>
          <w:color w:val="auto"/>
        </w:rPr>
      </w:pPr>
    </w:p>
    <w:p>
      <w:pPr>
        <w:sectPr>
          <w:pgSz w:w="11900" w:h="16838" w:orient="portrait"/>
          <w:cols w:equalWidth="0" w:num="3">
            <w:col w:w="4540" w:space="720"/>
            <w:col w:w="3320" w:space="720"/>
            <w:col w:w="2120"/>
          </w:cols>
          <w:pgMar w:left="240" w:top="459" w:right="239" w:bottom="1440" w:gutter="0" w:footer="0" w:header="0"/>
          <w:type w:val="continuous"/>
        </w:sectPr>
      </w:pPr>
    </w:p>
    <w:p>
      <w:pPr>
        <w:spacing w:after="0" w:line="95"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2016</w:t>
      </w:r>
    </w:p>
    <w:p>
      <w:pPr>
        <w:sectPr>
          <w:pgSz w:w="11900" w:h="16838" w:orient="portrait"/>
          <w:cols w:equalWidth="0" w:num="2">
            <w:col w:w="6360" w:space="720"/>
            <w:col w:w="43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3"/>
          </w:tcPr>
          <w:p>
            <w:pPr>
              <w:spacing w:after="0"/>
              <w:rPr>
                <w:sz w:val="17"/>
                <w:szCs w:val="17"/>
                <w:color w:val="auto"/>
              </w:rPr>
            </w:pPr>
          </w:p>
        </w:tc>
        <w:tc>
          <w:tcPr>
            <w:tcW w:w="5040" w:type="dxa"/>
            <w:vAlign w:val="bottom"/>
            <w:gridSpan w:val="13"/>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Principal and Selling Shareholder</w:t>
              </w:r>
            </w:hyperlink>
          </w:p>
        </w:tc>
        <w:tc>
          <w:tcPr>
            <w:tcW w:w="4460" w:type="dxa"/>
            <w:vAlign w:val="bottom"/>
            <w:gridSpan w:val="1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8">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5"/>
          </w:tcPr>
          <w:p>
            <w:pPr>
              <w:spacing w:after="0"/>
              <w:rPr>
                <w:sz w:val="17"/>
                <w:szCs w:val="17"/>
                <w:color w:val="auto"/>
              </w:rPr>
            </w:pPr>
          </w:p>
        </w:tc>
        <w:tc>
          <w:tcPr>
            <w:tcW w:w="5100" w:type="dxa"/>
            <w:vAlign w:val="bottom"/>
            <w:gridSpan w:val="1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194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200">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01">
              <w:r>
                <w:rPr>
                  <w:rFonts w:ascii="Arial" w:cs="Arial" w:eastAsia="Arial" w:hAnsi="Arial"/>
                  <w:sz w:val="18"/>
                  <w:szCs w:val="18"/>
                  <w:color w:val="0000EE"/>
                  <w:w w:val="90"/>
                </w:rPr>
                <w:t>Index to Financial Statements</w:t>
              </w:r>
            </w:hyperlink>
          </w:p>
        </w:tc>
        <w:tc>
          <w:tcPr>
            <w:tcW w:w="4740" w:type="dxa"/>
            <w:vAlign w:val="bottom"/>
            <w:gridSpan w:val="11"/>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1.0290 to CHF 1.00, the official exchange rate quoted as of August 26,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We, the selling shareholder and the underwriters have not authorized anyone to provide any information other than that contained in this prospectus or in any free writing prospectus prepared by or on behalf of us or to which we may have referred you. We, the selling shareholder and the underwriters take no responsibility for, and can provide no assurance as to the reliability of, any other information that others may give you.</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we, the selling shareholder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four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71"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ACI-35 and our anti-tau antibody candidate.</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crenezumab to achieve success in Phase 3 clinical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1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in connection with the audit of our financial statements as of and for the year ended December 31, 2014. This material weakness continued to exist as of December 31, 2015 and as at June 30,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21 345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17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2517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Anti-Tau Antibody Phase 1 Milestone Payment</w:t>
      </w:r>
    </w:p>
    <w:p>
      <w:pPr>
        <w:spacing w:after="0" w:line="121" w:lineRule="exact"/>
        <w:rPr>
          <w:sz w:val="20"/>
          <w:szCs w:val="20"/>
          <w:color w:val="auto"/>
        </w:rPr>
      </w:pPr>
    </w:p>
    <w:p>
      <w:pPr>
        <w:ind w:left="200" w:right="120" w:firstLine="443"/>
        <w:spacing w:after="0" w:line="297" w:lineRule="auto"/>
        <w:rPr>
          <w:sz w:val="20"/>
          <w:szCs w:val="20"/>
          <w:color w:val="auto"/>
        </w:rPr>
      </w:pPr>
      <w:r>
        <w:rPr>
          <w:rFonts w:ascii="Arial" w:cs="Arial" w:eastAsia="Arial" w:hAnsi="Arial"/>
          <w:sz w:val="16"/>
          <w:szCs w:val="16"/>
          <w:color w:val="auto"/>
        </w:rPr>
        <w:t>In June 2016, Genentech, our collaboration partner, informed us that the first patient has been dosed in a Phase 1 clinical study for Alzheimer’s disease with an anti-tau monoclonal antibody, making us eligible to receive a milestone payment of CHF 14.0 million, which we received in July 2016 (the “Anti-Tau Antibody Phase 1 Milestone Payment”). For more information on our collaboration agreement with Genentech, see “Management’s Discussion and Analysis of Financial Condition and Results of Operations—Strategic Collaborations and Licensing Agreements—Anti-Tau Antibodies —Collaboration with Genentech” and “Business—License Agreements and Collaborations—Genentech.”</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64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10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Common shares offered by us</w:t>
            </w:r>
          </w:p>
        </w:tc>
        <w:tc>
          <w:tcPr>
            <w:tcW w:w="76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shares.</w:t>
            </w:r>
          </w:p>
        </w:tc>
        <w:tc>
          <w:tcPr>
            <w:tcW w:w="1760" w:type="dxa"/>
            <w:vAlign w:val="bottom"/>
          </w:tcPr>
          <w:p>
            <w:pPr>
              <w:spacing w:after="0"/>
              <w:rPr>
                <w:sz w:val="20"/>
                <w:szCs w:val="20"/>
                <w:color w:val="auto"/>
              </w:rPr>
            </w:pPr>
          </w:p>
        </w:tc>
      </w:tr>
      <w:tr>
        <w:trPr>
          <w:trHeight w:val="473"/>
        </w:trPr>
        <w:tc>
          <w:tcPr>
            <w:tcW w:w="4140" w:type="dxa"/>
            <w:vAlign w:val="bottom"/>
          </w:tcPr>
          <w:p>
            <w:pPr>
              <w:spacing w:after="0"/>
              <w:rPr>
                <w:sz w:val="20"/>
                <w:szCs w:val="20"/>
                <w:color w:val="auto"/>
              </w:rPr>
            </w:pPr>
            <w:r>
              <w:rPr>
                <w:rFonts w:ascii="Arial" w:cs="Arial" w:eastAsia="Arial" w:hAnsi="Arial"/>
                <w:sz w:val="18"/>
                <w:szCs w:val="18"/>
                <w:color w:val="auto"/>
              </w:rPr>
              <w:t>Common stock offered by the selling shareholder</w:t>
            </w:r>
          </w:p>
        </w:tc>
        <w:tc>
          <w:tcPr>
            <w:tcW w:w="760" w:type="dxa"/>
            <w:vAlign w:val="bottom"/>
          </w:tcPr>
          <w:p>
            <w:pPr>
              <w:spacing w:after="0"/>
              <w:rPr>
                <w:sz w:val="24"/>
                <w:szCs w:val="24"/>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shares.</w:t>
            </w:r>
          </w:p>
        </w:tc>
        <w:tc>
          <w:tcPr>
            <w:tcW w:w="1760" w:type="dxa"/>
            <w:vAlign w:val="bottom"/>
          </w:tcPr>
          <w:p>
            <w:pPr>
              <w:spacing w:after="0"/>
              <w:rPr>
                <w:sz w:val="24"/>
                <w:szCs w:val="24"/>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w w:val="91"/>
              </w:rPr>
              <w:t>Common shares to be outstanding immediately after this</w:t>
            </w:r>
          </w:p>
        </w:tc>
        <w:tc>
          <w:tcPr>
            <w:tcW w:w="760" w:type="dxa"/>
            <w:vAlign w:val="bottom"/>
          </w:tcPr>
          <w:p>
            <w:pPr>
              <w:spacing w:after="0"/>
              <w:rPr>
                <w:sz w:val="24"/>
                <w:szCs w:val="24"/>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shares.</w:t>
            </w:r>
          </w:p>
        </w:tc>
        <w:tc>
          <w:tcPr>
            <w:tcW w:w="1760" w:type="dxa"/>
            <w:vAlign w:val="bottom"/>
          </w:tcPr>
          <w:p>
            <w:pPr>
              <w:spacing w:after="0"/>
              <w:rPr>
                <w:sz w:val="24"/>
                <w:szCs w:val="24"/>
                <w:color w:val="auto"/>
              </w:rPr>
            </w:pPr>
          </w:p>
        </w:tc>
      </w:tr>
      <w:tr>
        <w:trPr>
          <w:trHeight w:val="230"/>
        </w:trPr>
        <w:tc>
          <w:tcPr>
            <w:tcW w:w="4140" w:type="dxa"/>
            <w:vAlign w:val="bottom"/>
          </w:tcPr>
          <w:p>
            <w:pPr>
              <w:ind w:left="80"/>
              <w:spacing w:after="0"/>
              <w:rPr>
                <w:sz w:val="20"/>
                <w:szCs w:val="20"/>
                <w:color w:val="auto"/>
              </w:rPr>
            </w:pPr>
            <w:r>
              <w:rPr>
                <w:rFonts w:ascii="Arial" w:cs="Arial" w:eastAsia="Arial" w:hAnsi="Arial"/>
                <w:sz w:val="18"/>
                <w:szCs w:val="18"/>
                <w:color w:val="auto"/>
              </w:rPr>
              <w:t>offering</w:t>
            </w:r>
          </w:p>
        </w:tc>
        <w:tc>
          <w:tcPr>
            <w:tcW w:w="7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rPr>
              <w:t>Over-allotment option</w:t>
            </w: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89"/>
              </w:rPr>
              <w:t>The selling shareholder has granted the underwriters the option to purchase up to an additional</w:t>
            </w:r>
          </w:p>
        </w:tc>
      </w:tr>
      <w:tr>
        <w:trPr>
          <w:trHeight w:val="216"/>
        </w:trPr>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20" w:type="dxa"/>
            <w:vAlign w:val="bottom"/>
            <w:gridSpan w:val="2"/>
          </w:tcPr>
          <w:p>
            <w:pPr>
              <w:ind w:left="60"/>
              <w:spacing w:after="0"/>
              <w:rPr>
                <w:sz w:val="20"/>
                <w:szCs w:val="20"/>
                <w:color w:val="auto"/>
              </w:rPr>
            </w:pPr>
            <w:r>
              <w:rPr>
                <w:rFonts w:ascii="Arial" w:cs="Arial" w:eastAsia="Arial" w:hAnsi="Arial"/>
                <w:sz w:val="18"/>
                <w:szCs w:val="18"/>
                <w:color w:val="auto"/>
                <w:w w:val="92"/>
              </w:rPr>
              <w:t>common shares from it within 30 days of the date of this prospectus to cover over-</w:t>
            </w:r>
          </w:p>
        </w:tc>
      </w:tr>
      <w:tr>
        <w:trPr>
          <w:trHeight w:val="230"/>
        </w:trPr>
        <w:tc>
          <w:tcPr>
            <w:tcW w:w="4140" w:type="dxa"/>
            <w:vAlign w:val="bottom"/>
          </w:tcPr>
          <w:p>
            <w:pPr>
              <w:spacing w:after="0"/>
              <w:rPr>
                <w:sz w:val="20"/>
                <w:szCs w:val="20"/>
                <w:color w:val="auto"/>
              </w:rPr>
            </w:pPr>
          </w:p>
        </w:tc>
        <w:tc>
          <w:tcPr>
            <w:tcW w:w="5120" w:type="dxa"/>
            <w:vAlign w:val="bottom"/>
            <w:gridSpan w:val="2"/>
          </w:tcPr>
          <w:p>
            <w:pPr>
              <w:ind w:left="60"/>
              <w:spacing w:after="0"/>
              <w:rPr>
                <w:sz w:val="20"/>
                <w:szCs w:val="20"/>
                <w:color w:val="auto"/>
              </w:rPr>
            </w:pPr>
            <w:r>
              <w:rPr>
                <w:rFonts w:ascii="Arial" w:cs="Arial" w:eastAsia="Arial" w:hAnsi="Arial"/>
                <w:sz w:val="18"/>
                <w:szCs w:val="18"/>
                <w:color w:val="auto"/>
              </w:rPr>
              <w:t>allotments, if any.</w:t>
            </w:r>
          </w:p>
        </w:tc>
        <w:tc>
          <w:tcPr>
            <w:tcW w:w="1760" w:type="dxa"/>
            <w:vAlign w:val="bottom"/>
          </w:tcPr>
          <w:p>
            <w:pPr>
              <w:spacing w:after="0"/>
              <w:rPr>
                <w:sz w:val="20"/>
                <w:szCs w:val="20"/>
                <w:color w:val="auto"/>
              </w:rPr>
            </w:pP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Use of proceeds</w:t>
            </w:r>
          </w:p>
        </w:tc>
        <w:tc>
          <w:tcPr>
            <w:tcW w:w="6880" w:type="dxa"/>
            <w:vAlign w:val="bottom"/>
            <w:gridSpan w:val="3"/>
          </w:tcPr>
          <w:p>
            <w:pPr>
              <w:ind w:left="60"/>
              <w:spacing w:after="0"/>
              <w:rPr>
                <w:sz w:val="20"/>
                <w:szCs w:val="20"/>
                <w:color w:val="auto"/>
              </w:rPr>
            </w:pPr>
            <w:r>
              <w:rPr>
                <w:rFonts w:ascii="Arial" w:cs="Arial" w:eastAsia="Arial" w:hAnsi="Arial"/>
                <w:sz w:val="18"/>
                <w:szCs w:val="18"/>
                <w:color w:val="auto"/>
              </w:rPr>
              <w:t>We estimate that the net proceeds to us from this offering will be approximately</w:t>
            </w:r>
          </w:p>
        </w:tc>
      </w:tr>
      <w:tr>
        <w:trPr>
          <w:trHeight w:val="216"/>
        </w:trPr>
        <w:tc>
          <w:tcPr>
            <w:tcW w:w="41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w:t>
            </w:r>
          </w:p>
        </w:tc>
        <w:tc>
          <w:tcPr>
            <w:tcW w:w="4360" w:type="dxa"/>
            <w:vAlign w:val="bottom"/>
          </w:tcPr>
          <w:p>
            <w:pPr>
              <w:ind w:left="160"/>
              <w:spacing w:after="0"/>
              <w:rPr>
                <w:sz w:val="20"/>
                <w:szCs w:val="20"/>
                <w:color w:val="auto"/>
              </w:rPr>
            </w:pPr>
            <w:r>
              <w:rPr>
                <w:rFonts w:ascii="Arial" w:cs="Arial" w:eastAsia="Arial" w:hAnsi="Arial"/>
                <w:sz w:val="18"/>
                <w:szCs w:val="18"/>
                <w:color w:val="auto"/>
              </w:rPr>
              <w:t>million, assuming an initial public offering price of $</w:t>
            </w:r>
          </w:p>
        </w:tc>
        <w:tc>
          <w:tcPr>
            <w:tcW w:w="1760" w:type="dxa"/>
            <w:vAlign w:val="bottom"/>
          </w:tcPr>
          <w:p>
            <w:pPr>
              <w:ind w:left="380"/>
              <w:spacing w:after="0"/>
              <w:rPr>
                <w:sz w:val="20"/>
                <w:szCs w:val="20"/>
                <w:color w:val="auto"/>
              </w:rPr>
            </w:pPr>
            <w:r>
              <w:rPr>
                <w:rFonts w:ascii="Arial" w:cs="Arial" w:eastAsia="Arial" w:hAnsi="Arial"/>
                <w:sz w:val="18"/>
                <w:szCs w:val="18"/>
                <w:color w:val="auto"/>
                <w:w w:val="87"/>
              </w:rPr>
              <w:t>per common share,</w:t>
            </w:r>
          </w:p>
        </w:tc>
      </w:tr>
      <w:tr>
        <w:trPr>
          <w:trHeight w:val="216"/>
        </w:trPr>
        <w:tc>
          <w:tcPr>
            <w:tcW w:w="4140" w:type="dxa"/>
            <w:vAlign w:val="bottom"/>
          </w:tcPr>
          <w:p>
            <w:pPr>
              <w:spacing w:after="0"/>
              <w:rPr>
                <w:sz w:val="18"/>
                <w:szCs w:val="18"/>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93"/>
              </w:rPr>
              <w:t>which is the midpoint of the price range set forth on the cover page of this prospectus, after</w:t>
            </w:r>
          </w:p>
        </w:tc>
      </w:tr>
      <w:tr>
        <w:trPr>
          <w:trHeight w:val="216"/>
        </w:trPr>
        <w:tc>
          <w:tcPr>
            <w:tcW w:w="4140" w:type="dxa"/>
            <w:vAlign w:val="bottom"/>
          </w:tcPr>
          <w:p>
            <w:pPr>
              <w:spacing w:after="0"/>
              <w:rPr>
                <w:sz w:val="18"/>
                <w:szCs w:val="18"/>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91"/>
              </w:rPr>
              <w:t>deducting underwriting discounts and commissions and estimated offering expenses payable</w:t>
            </w:r>
          </w:p>
        </w:tc>
      </w:tr>
      <w:tr>
        <w:trPr>
          <w:trHeight w:val="216"/>
        </w:trPr>
        <w:tc>
          <w:tcPr>
            <w:tcW w:w="4140" w:type="dxa"/>
            <w:vAlign w:val="bottom"/>
          </w:tcPr>
          <w:p>
            <w:pPr>
              <w:spacing w:after="0"/>
              <w:rPr>
                <w:sz w:val="18"/>
                <w:szCs w:val="18"/>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97"/>
              </w:rPr>
              <w:t>by us. We intend to use the net proceeds from this offering together with cash and cash</w:t>
            </w:r>
          </w:p>
        </w:tc>
      </w:tr>
      <w:tr>
        <w:trPr>
          <w:trHeight w:val="216"/>
        </w:trPr>
        <w:tc>
          <w:tcPr>
            <w:tcW w:w="4140" w:type="dxa"/>
            <w:vAlign w:val="bottom"/>
          </w:tcPr>
          <w:p>
            <w:pPr>
              <w:spacing w:after="0"/>
              <w:rPr>
                <w:sz w:val="18"/>
                <w:szCs w:val="18"/>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92"/>
              </w:rPr>
              <w:t>equivalents on hand (including the Anti-Tau Antibody Phase 1 Milestone Payment) to further</w:t>
            </w:r>
          </w:p>
        </w:tc>
      </w:tr>
      <w:tr>
        <w:trPr>
          <w:trHeight w:val="216"/>
        </w:trPr>
        <w:tc>
          <w:tcPr>
            <w:tcW w:w="4140" w:type="dxa"/>
            <w:vAlign w:val="bottom"/>
          </w:tcPr>
          <w:p>
            <w:pPr>
              <w:spacing w:after="0"/>
              <w:rPr>
                <w:sz w:val="18"/>
                <w:szCs w:val="18"/>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91"/>
              </w:rPr>
              <w:t>the development of our therapeutic product candidates under collaboration agreements (ACI-</w:t>
            </w:r>
          </w:p>
        </w:tc>
      </w:tr>
      <w:tr>
        <w:trPr>
          <w:trHeight w:val="216"/>
        </w:trPr>
        <w:tc>
          <w:tcPr>
            <w:tcW w:w="4140" w:type="dxa"/>
            <w:vAlign w:val="bottom"/>
          </w:tcPr>
          <w:p>
            <w:pPr>
              <w:spacing w:after="0"/>
              <w:rPr>
                <w:sz w:val="18"/>
                <w:szCs w:val="18"/>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97"/>
              </w:rPr>
              <w:t>35 and anti-tau antibodies), advance our other clinical and pre-clinical programs, and for</w:t>
            </w:r>
          </w:p>
        </w:tc>
      </w:tr>
      <w:tr>
        <w:trPr>
          <w:trHeight w:val="216"/>
        </w:trPr>
        <w:tc>
          <w:tcPr>
            <w:tcW w:w="4140" w:type="dxa"/>
            <w:vAlign w:val="bottom"/>
          </w:tcPr>
          <w:p>
            <w:pPr>
              <w:spacing w:after="0"/>
              <w:rPr>
                <w:sz w:val="18"/>
                <w:szCs w:val="18"/>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93"/>
              </w:rPr>
              <w:t>research and development of other indications and initiatives that are complementary to our</w:t>
            </w:r>
          </w:p>
        </w:tc>
      </w:tr>
      <w:tr>
        <w:trPr>
          <w:trHeight w:val="216"/>
        </w:trPr>
        <w:tc>
          <w:tcPr>
            <w:tcW w:w="4140" w:type="dxa"/>
            <w:vAlign w:val="bottom"/>
          </w:tcPr>
          <w:p>
            <w:pPr>
              <w:spacing w:after="0"/>
              <w:rPr>
                <w:sz w:val="18"/>
                <w:szCs w:val="18"/>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rPr>
              <w:t>existing and planned research activities. See “Use of Proceeds” for a more complete</w:t>
            </w:r>
          </w:p>
        </w:tc>
      </w:tr>
      <w:tr>
        <w:trPr>
          <w:trHeight w:val="230"/>
        </w:trPr>
        <w:tc>
          <w:tcPr>
            <w:tcW w:w="4140" w:type="dxa"/>
            <w:vAlign w:val="bottom"/>
          </w:tcPr>
          <w:p>
            <w:pPr>
              <w:spacing w:after="0"/>
              <w:rPr>
                <w:sz w:val="20"/>
                <w:szCs w:val="20"/>
                <w:color w:val="auto"/>
              </w:rPr>
            </w:pPr>
          </w:p>
        </w:tc>
        <w:tc>
          <w:tcPr>
            <w:tcW w:w="5120" w:type="dxa"/>
            <w:vAlign w:val="bottom"/>
            <w:gridSpan w:val="2"/>
          </w:tcPr>
          <w:p>
            <w:pPr>
              <w:ind w:left="60"/>
              <w:spacing w:after="0"/>
              <w:rPr>
                <w:sz w:val="20"/>
                <w:szCs w:val="20"/>
                <w:color w:val="auto"/>
              </w:rPr>
            </w:pPr>
            <w:r>
              <w:rPr>
                <w:rFonts w:ascii="Arial" w:cs="Arial" w:eastAsia="Arial" w:hAnsi="Arial"/>
                <w:sz w:val="18"/>
                <w:szCs w:val="18"/>
                <w:color w:val="auto"/>
              </w:rPr>
              <w:t>description of the intended use of proceeds from this offering.</w:t>
            </w:r>
          </w:p>
        </w:tc>
        <w:tc>
          <w:tcPr>
            <w:tcW w:w="1760" w:type="dxa"/>
            <w:vAlign w:val="bottom"/>
          </w:tcPr>
          <w:p>
            <w:pPr>
              <w:spacing w:after="0"/>
              <w:rPr>
                <w:sz w:val="20"/>
                <w:szCs w:val="20"/>
                <w:color w:val="auto"/>
              </w:rPr>
            </w:pPr>
          </w:p>
        </w:tc>
      </w:tr>
      <w:tr>
        <w:trPr>
          <w:trHeight w:val="459"/>
        </w:trPr>
        <w:tc>
          <w:tcPr>
            <w:tcW w:w="4140" w:type="dxa"/>
            <w:vAlign w:val="bottom"/>
          </w:tcPr>
          <w:p>
            <w:pPr>
              <w:spacing w:after="0"/>
              <w:rPr>
                <w:sz w:val="24"/>
                <w:szCs w:val="24"/>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rPr>
              <w:t>We will not receive any proceeds from the sale of shares by the selling shareholder.</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Risk factors</w:t>
            </w:r>
          </w:p>
        </w:tc>
        <w:tc>
          <w:tcPr>
            <w:tcW w:w="6880" w:type="dxa"/>
            <w:vAlign w:val="bottom"/>
            <w:gridSpan w:val="3"/>
          </w:tcPr>
          <w:p>
            <w:pPr>
              <w:ind w:left="60"/>
              <w:spacing w:after="0"/>
              <w:rPr>
                <w:sz w:val="20"/>
                <w:szCs w:val="20"/>
                <w:color w:val="auto"/>
              </w:rPr>
            </w:pPr>
            <w:r>
              <w:rPr>
                <w:rFonts w:ascii="Arial" w:cs="Arial" w:eastAsia="Arial" w:hAnsi="Arial"/>
                <w:sz w:val="18"/>
                <w:szCs w:val="18"/>
                <w:color w:val="auto"/>
                <w:w w:val="94"/>
              </w:rPr>
              <w:t>See “Risk Factors” and the other information included in this prospectus for a discussion of</w:t>
            </w:r>
          </w:p>
        </w:tc>
      </w:tr>
      <w:tr>
        <w:trPr>
          <w:trHeight w:val="230"/>
        </w:trPr>
        <w:tc>
          <w:tcPr>
            <w:tcW w:w="4140" w:type="dxa"/>
            <w:vAlign w:val="bottom"/>
          </w:tcPr>
          <w:p>
            <w:pPr>
              <w:spacing w:after="0"/>
              <w:rPr>
                <w:sz w:val="20"/>
                <w:szCs w:val="20"/>
                <w:color w:val="auto"/>
              </w:rPr>
            </w:pPr>
          </w:p>
        </w:tc>
        <w:tc>
          <w:tcPr>
            <w:tcW w:w="6880" w:type="dxa"/>
            <w:vAlign w:val="bottom"/>
            <w:gridSpan w:val="3"/>
          </w:tcPr>
          <w:p>
            <w:pPr>
              <w:ind w:left="60"/>
              <w:spacing w:after="0"/>
              <w:rPr>
                <w:sz w:val="20"/>
                <w:szCs w:val="20"/>
                <w:color w:val="auto"/>
              </w:rPr>
            </w:pPr>
            <w:r>
              <w:rPr>
                <w:rFonts w:ascii="Arial" w:cs="Arial" w:eastAsia="Arial" w:hAnsi="Arial"/>
                <w:sz w:val="18"/>
                <w:szCs w:val="18"/>
                <w:color w:val="auto"/>
              </w:rPr>
              <w:t>factors you should consider before deciding to invest in our common shares.</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Proposed NASDAQ symbol</w:t>
            </w:r>
          </w:p>
        </w:tc>
        <w:tc>
          <w:tcPr>
            <w:tcW w:w="760" w:type="dxa"/>
            <w:vAlign w:val="bottom"/>
          </w:tcPr>
          <w:p>
            <w:pPr>
              <w:ind w:left="60"/>
              <w:spacing w:after="0"/>
              <w:rPr>
                <w:sz w:val="20"/>
                <w:szCs w:val="20"/>
                <w:color w:val="auto"/>
              </w:rPr>
            </w:pPr>
            <w:r>
              <w:rPr>
                <w:rFonts w:ascii="Arial" w:cs="Arial" w:eastAsia="Arial" w:hAnsi="Arial"/>
                <w:sz w:val="18"/>
                <w:szCs w:val="18"/>
                <w:color w:val="auto"/>
              </w:rPr>
              <w:t>“ACIU.”</w:t>
            </w:r>
          </w:p>
        </w:tc>
        <w:tc>
          <w:tcPr>
            <w:tcW w:w="43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1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number of our common shares to be outstanding after this offering is based on 10,819,000 common shares outstanding as at August 31, 2016 and 38,577,042 additional common shares issuable upon the conversion of all of our preferred shares on a one-for-one basis upon the closing of this offering, but excludes:</w:t>
      </w:r>
    </w:p>
    <w:p>
      <w:pPr>
        <w:spacing w:after="0" w:line="87" w:lineRule="exact"/>
        <w:rPr>
          <w:sz w:val="20"/>
          <w:szCs w:val="20"/>
          <w:color w:val="auto"/>
        </w:rPr>
      </w:pPr>
    </w:p>
    <w:p>
      <w:pPr>
        <w:ind w:left="1060" w:right="16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at a weighted-average exercise price of CHF 0.14548 per common share;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54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2954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060" w:right="2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on May 25, 2016 (the “CS AG Share Issuance”), as described in Note 7 (Other current liabilities) of our unaudited interim condensed financial statements as of and for the six months ended June 30, 2016 and June 30, 2015 included elsewhere in this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ectPr>
          <w:pgSz w:w="11900" w:h="16838" w:orient="portrait"/>
          <w:cols w:equalWidth="0" w:num="1">
            <w:col w:w="11220"/>
          </w:cols>
          <w:pgMar w:left="240" w:top="459" w:right="43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540" w:space="720"/>
            <w:col w:w="6900"/>
          </w:cols>
          <w:pgMar w:left="240" w:top="459" w:right="439" w:bottom="1440" w:gutter="0" w:footer="0" w:header="0"/>
          <w:type w:val="continuous"/>
        </w:sectPr>
      </w:pPr>
    </w:p>
    <w:p>
      <w:pPr>
        <w:ind w:left="1060" w:right="44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 and</w:t>
      </w:r>
    </w:p>
    <w:p>
      <w:pPr>
        <w:spacing w:after="0" w:line="51" w:lineRule="exact"/>
        <w:rPr>
          <w:rFonts w:ascii="Arial" w:cs="Arial" w:eastAsia="Arial" w:hAnsi="Arial"/>
          <w:sz w:val="17"/>
          <w:szCs w:val="17"/>
          <w:color w:val="auto"/>
        </w:rPr>
      </w:pPr>
    </w:p>
    <w:p>
      <w:pPr>
        <w:ind w:left="1060" w:hanging="431"/>
        <w:spacing w:after="0" w:line="291"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conversion of all of our preferred shares (including the preferred shares issued in the Series E Private Placement Extension) into common shares on a one-for-one basis upon the closing of this offering and the filing and effectiveness of our amended and restated articles of</w:t>
      </w:r>
    </w:p>
    <w:p>
      <w:pPr>
        <w:sectPr>
          <w:pgSz w:w="11900" w:h="16838" w:orient="portrait"/>
          <w:cols w:equalWidth="0" w:num="1">
            <w:col w:w="11220"/>
          </w:cols>
          <w:pgMar w:left="240" w:top="459" w:right="439" w:bottom="1440" w:gutter="0" w:footer="0" w:header="0"/>
          <w:type w:val="continuous"/>
        </w:sectPr>
      </w:pPr>
    </w:p>
    <w:p>
      <w:pPr>
        <w:ind w:left="1060" w:right="440"/>
        <w:spacing w:after="0" w:line="261" w:lineRule="auto"/>
        <w:rPr>
          <w:sz w:val="20"/>
          <w:szCs w:val="20"/>
          <w:color w:val="auto"/>
        </w:rPr>
      </w:pPr>
      <w:r>
        <w:rPr>
          <w:rFonts w:ascii="Arial" w:cs="Arial" w:eastAsia="Arial" w:hAnsi="Arial"/>
          <w:sz w:val="18"/>
          <w:szCs w:val="18"/>
          <w:color w:val="auto"/>
        </w:rPr>
        <w:t>association, resulting in a total of common shares outstanding, and additional authorized share capital of common shares at the closing of this offering.</w:t>
      </w:r>
    </w:p>
    <w:p>
      <w:pPr>
        <w:sectPr>
          <w:pgSz w:w="11900" w:h="16838" w:orient="portrait"/>
          <w:cols w:equalWidth="0" w:num="1">
            <w:col w:w="11220"/>
          </w:cols>
          <w:pgMar w:left="240" w:top="459" w:right="439" w:bottom="1440" w:gutter="0" w:footer="0" w:header="0"/>
          <w:type w:val="continuous"/>
        </w:sectPr>
      </w:pPr>
    </w:p>
    <w:p>
      <w:pPr>
        <w:spacing w:after="0" w:line="184" w:lineRule="exact"/>
        <w:rPr>
          <w:sz w:val="20"/>
          <w:szCs w:val="20"/>
          <w:color w:val="auto"/>
        </w:rPr>
      </w:pPr>
    </w:p>
    <w:p>
      <w:pPr>
        <w:ind w:left="200" w:right="460" w:firstLine="443"/>
        <w:spacing w:after="0" w:line="286" w:lineRule="auto"/>
        <w:rPr>
          <w:sz w:val="20"/>
          <w:szCs w:val="20"/>
          <w:color w:val="auto"/>
        </w:rPr>
      </w:pPr>
      <w:r>
        <w:rPr>
          <w:rFonts w:ascii="Arial" w:cs="Arial" w:eastAsia="Arial" w:hAnsi="Arial"/>
          <w:sz w:val="17"/>
          <w:szCs w:val="17"/>
          <w:color w:val="auto"/>
        </w:rPr>
        <w:t>In addition, unless otherwise indicated, all information in this prospectus excludes the issuance of 5,300,000 of our common shares to Credit Suisse AG, Zurich in the CS AG Share Issuance, as described in Note 7 (Other current liabilities) of our unaudited interim condensed financial statements as of and for the six months ended June 30, 2016 and June 30, 2015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summary income statement data and balance sheet data for and as of the years ended December 31, 2015 and 2014 are derived from our audited financial statements included elsewhere in this prospectus. The financial data as at June 30, 2016 and for the six months ended June 30, 2016 and 2015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w:t>
      </w:r>
    </w:p>
    <w:p>
      <w:pPr>
        <w:spacing w:after="0" w:line="15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1360" w:type="dxa"/>
            <w:vAlign w:val="bottom"/>
            <w:gridSpan w:val="3"/>
          </w:tcPr>
          <w:p>
            <w:pPr>
              <w:jc w:val="center"/>
              <w:ind w:left="7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14,401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39,090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(3,417)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Finance result—net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before tax</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3"/>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for the period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w w:val="93"/>
              </w:rPr>
              <w:t>Weighted-average number of shares used to compute earnings per share basic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42,725,207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43,412,250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02"/>
        </w:trPr>
        <w:tc>
          <w:tcPr>
            <w:tcW w:w="6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Weighted-average number of shares used to compute earnings per share fully</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45,845,283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46,043,198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CS AG Share Issuance.</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3"/>
          </w:tcPr>
          <w:p>
            <w:pPr>
              <w:ind w:left="40"/>
              <w:spacing w:after="0"/>
              <w:rPr>
                <w:sz w:val="20"/>
                <w:szCs w:val="20"/>
                <w:color w:val="auto"/>
              </w:rPr>
            </w:pPr>
            <w:r>
              <w:rPr>
                <w:rFonts w:ascii="Arial" w:cs="Arial" w:eastAsia="Arial" w:hAnsi="Arial"/>
                <w:sz w:val="14"/>
                <w:szCs w:val="14"/>
                <w:b w:val="1"/>
                <w:bCs w:val="1"/>
                <w:color w:val="auto"/>
              </w:rPr>
              <w:t>As at June 30, 2016</w:t>
            </w:r>
          </w:p>
        </w:tc>
        <w:tc>
          <w:tcPr>
            <w:tcW w:w="0" w:type="dxa"/>
            <w:vAlign w:val="bottom"/>
          </w:tcPr>
          <w:p>
            <w:pPr>
              <w:spacing w:after="0"/>
              <w:rPr>
                <w:sz w:val="1"/>
                <w:szCs w:val="1"/>
                <w:color w:val="auto"/>
              </w:rPr>
            </w:pPr>
          </w:p>
        </w:tc>
      </w:tr>
      <w:tr>
        <w:trPr>
          <w:trHeight w:val="142"/>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1560" w:type="dxa"/>
            <w:vAlign w:val="bottom"/>
            <w:tcBorders>
              <w:top w:val="single" w:sz="8" w:color="auto"/>
            </w:tcBorders>
            <w:gridSpan w:val="2"/>
          </w:tcPr>
          <w:p>
            <w:pPr>
              <w:jc w:val="right"/>
              <w:ind w:right="948"/>
              <w:spacing w:after="0" w:line="142" w:lineRule="exact"/>
              <w:rPr>
                <w:sz w:val="20"/>
                <w:szCs w:val="20"/>
                <w:color w:val="auto"/>
              </w:rPr>
            </w:pPr>
            <w:r>
              <w:rPr>
                <w:rFonts w:ascii="Arial" w:cs="Arial" w:eastAsia="Arial" w:hAnsi="Arial"/>
                <w:sz w:val="14"/>
                <w:szCs w:val="14"/>
                <w:b w:val="1"/>
                <w:bCs w:val="1"/>
                <w:color w:val="auto"/>
              </w:rPr>
              <w:t>Actual</w:t>
            </w:r>
          </w:p>
        </w:tc>
        <w:tc>
          <w:tcPr>
            <w:tcW w:w="10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103,282</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56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(33,825)</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90,542</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103,282</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11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201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(1)</w:t>
            </w:r>
          </w:p>
        </w:tc>
        <w:tc>
          <w:tcPr>
            <w:tcW w:w="5860" w:type="dxa"/>
            <w:vAlign w:val="bottom"/>
            <w:gridSpan w:val="3"/>
          </w:tcPr>
          <w:p>
            <w:pPr>
              <w:ind w:left="100"/>
              <w:spacing w:after="0"/>
              <w:rPr>
                <w:sz w:val="20"/>
                <w:szCs w:val="20"/>
                <w:color w:val="auto"/>
              </w:rPr>
            </w:pPr>
            <w:r>
              <w:rPr>
                <w:rFonts w:ascii="Arial" w:cs="Arial" w:eastAsia="Arial" w:hAnsi="Arial"/>
                <w:sz w:val="18"/>
                <w:szCs w:val="18"/>
                <w:color w:val="auto"/>
              </w:rPr>
              <w:t>As adjusted balance sheet data gives effect to our issuance and sale of</w:t>
            </w:r>
          </w:p>
        </w:tc>
        <w:tc>
          <w:tcPr>
            <w:tcW w:w="4860" w:type="dxa"/>
            <w:vAlign w:val="bottom"/>
            <w:gridSpan w:val="2"/>
          </w:tcPr>
          <w:p>
            <w:pPr>
              <w:ind w:left="80"/>
              <w:spacing w:after="0"/>
              <w:rPr>
                <w:sz w:val="20"/>
                <w:szCs w:val="20"/>
                <w:color w:val="auto"/>
              </w:rPr>
            </w:pPr>
            <w:r>
              <w:rPr>
                <w:rFonts w:ascii="Arial" w:cs="Arial" w:eastAsia="Arial" w:hAnsi="Arial"/>
                <w:sz w:val="18"/>
                <w:szCs w:val="18"/>
                <w:color w:val="auto"/>
              </w:rPr>
              <w:t>common shares in this offering, assuming an initial public</w:t>
            </w:r>
          </w:p>
        </w:tc>
      </w:tr>
      <w:tr>
        <w:trPr>
          <w:trHeight w:val="216"/>
        </w:trPr>
        <w:tc>
          <w:tcPr>
            <w:tcW w:w="32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offering price of $</w:t>
            </w:r>
          </w:p>
        </w:tc>
        <w:tc>
          <w:tcPr>
            <w:tcW w:w="8660" w:type="dxa"/>
            <w:vAlign w:val="bottom"/>
            <w:gridSpan w:val="4"/>
          </w:tcPr>
          <w:p>
            <w:pPr>
              <w:ind w:left="12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9620" w:type="dxa"/>
            <w:vAlign w:val="bottom"/>
            <w:gridSpan w:val="4"/>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c>
          <w:tcPr>
            <w:tcW w:w="110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5860" w:type="dxa"/>
            <w:vAlign w:val="bottom"/>
            <w:gridSpan w:val="3"/>
          </w:tcPr>
          <w:p>
            <w:pPr>
              <w:ind w:left="100"/>
              <w:spacing w:after="0"/>
              <w:rPr>
                <w:sz w:val="20"/>
                <w:szCs w:val="20"/>
                <w:color w:val="auto"/>
              </w:rPr>
            </w:pPr>
            <w:r>
              <w:rPr>
                <w:rFonts w:ascii="Arial" w:cs="Arial" w:eastAsia="Arial" w:hAnsi="Arial"/>
                <w:sz w:val="18"/>
                <w:szCs w:val="18"/>
                <w:color w:val="auto"/>
                <w:w w:val="91"/>
              </w:rPr>
              <w:t>Each $1.00 increase (decrease) in the assumed initial public offering price of $</w:t>
            </w:r>
          </w:p>
        </w:tc>
        <w:tc>
          <w:tcPr>
            <w:tcW w:w="4860" w:type="dxa"/>
            <w:vAlign w:val="bottom"/>
            <w:gridSpan w:val="2"/>
          </w:tcPr>
          <w:p>
            <w:pPr>
              <w:ind w:left="680"/>
              <w:spacing w:after="0"/>
              <w:rPr>
                <w:sz w:val="20"/>
                <w:szCs w:val="20"/>
                <w:color w:val="auto"/>
              </w:rPr>
            </w:pPr>
            <w:r>
              <w:rPr>
                <w:rFonts w:ascii="Arial" w:cs="Arial" w:eastAsia="Arial" w:hAnsi="Arial"/>
                <w:sz w:val="18"/>
                <w:szCs w:val="18"/>
                <w:color w:val="auto"/>
                <w:w w:val="98"/>
              </w:rPr>
              <w:t>per common share, which is the midpoint of the price</w:t>
            </w:r>
          </w:p>
        </w:tc>
      </w:tr>
      <w:tr>
        <w:trPr>
          <w:trHeight w:val="216"/>
        </w:trPr>
        <w:tc>
          <w:tcPr>
            <w:tcW w:w="320" w:type="dxa"/>
            <w:vAlign w:val="bottom"/>
          </w:tcPr>
          <w:p>
            <w:pPr>
              <w:spacing w:after="0"/>
              <w:rPr>
                <w:sz w:val="18"/>
                <w:szCs w:val="18"/>
                <w:color w:val="auto"/>
              </w:rPr>
            </w:pPr>
          </w:p>
        </w:tc>
        <w:tc>
          <w:tcPr>
            <w:tcW w:w="10720" w:type="dxa"/>
            <w:vAlign w:val="bottom"/>
            <w:gridSpan w:val="5"/>
          </w:tcPr>
          <w:p>
            <w:pPr>
              <w:ind w:left="100"/>
              <w:spacing w:after="0"/>
              <w:rPr>
                <w:sz w:val="20"/>
                <w:szCs w:val="20"/>
                <w:color w:val="auto"/>
              </w:rPr>
            </w:pPr>
            <w:r>
              <w:rPr>
                <w:rFonts w:ascii="Arial" w:cs="Arial" w:eastAsia="Arial" w:hAnsi="Arial"/>
                <w:sz w:val="18"/>
                <w:szCs w:val="18"/>
                <w:color w:val="auto"/>
                <w:w w:val="92"/>
              </w:rPr>
              <w:t>range set forth on the cover page of this prospectus, would increase (decrease) our as adjusted cash and cash equivalents and as adjusted total</w:t>
            </w:r>
          </w:p>
        </w:tc>
      </w:tr>
      <w:tr>
        <w:trPr>
          <w:trHeight w:val="216"/>
        </w:trPr>
        <w:tc>
          <w:tcPr>
            <w:tcW w:w="32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w w:val="96"/>
              </w:rPr>
              <w:t>shareholders’ equity by $</w:t>
            </w:r>
          </w:p>
        </w:tc>
        <w:tc>
          <w:tcPr>
            <w:tcW w:w="1260" w:type="dxa"/>
            <w:vAlign w:val="bottom"/>
          </w:tcPr>
          <w:p>
            <w:pPr>
              <w:ind w:left="640"/>
              <w:spacing w:after="0"/>
              <w:rPr>
                <w:sz w:val="20"/>
                <w:szCs w:val="20"/>
                <w:color w:val="auto"/>
              </w:rPr>
            </w:pPr>
            <w:r>
              <w:rPr>
                <w:rFonts w:ascii="Arial" w:cs="Arial" w:eastAsia="Arial" w:hAnsi="Arial"/>
                <w:sz w:val="18"/>
                <w:szCs w:val="18"/>
                <w:color w:val="auto"/>
              </w:rPr>
              <w:t>(CHF</w:t>
            </w:r>
          </w:p>
        </w:tc>
        <w:tc>
          <w:tcPr>
            <w:tcW w:w="7400" w:type="dxa"/>
            <w:vAlign w:val="bottom"/>
            <w:gridSpan w:val="3"/>
          </w:tcPr>
          <w:p>
            <w:pPr>
              <w:ind w:left="200"/>
              <w:spacing w:after="0"/>
              <w:rPr>
                <w:sz w:val="20"/>
                <w:szCs w:val="20"/>
                <w:color w:val="auto"/>
              </w:rPr>
            </w:pPr>
            <w:r>
              <w:rPr>
                <w:rFonts w:ascii="Arial" w:cs="Arial" w:eastAsia="Arial" w:hAnsi="Arial"/>
                <w:sz w:val="18"/>
                <w:szCs w:val="18"/>
                <w:color w:val="auto"/>
                <w:w w:val="90"/>
              </w:rPr>
              <w:t>) million, assuming that the number of common shares offered by us, as set forth on the cover page</w:t>
            </w:r>
          </w:p>
        </w:tc>
      </w:tr>
      <w:tr>
        <w:trPr>
          <w:trHeight w:val="216"/>
        </w:trPr>
        <w:tc>
          <w:tcPr>
            <w:tcW w:w="320" w:type="dxa"/>
            <w:vAlign w:val="bottom"/>
          </w:tcPr>
          <w:p>
            <w:pPr>
              <w:spacing w:after="0"/>
              <w:rPr>
                <w:sz w:val="18"/>
                <w:szCs w:val="18"/>
                <w:color w:val="auto"/>
              </w:rPr>
            </w:pPr>
          </w:p>
        </w:tc>
        <w:tc>
          <w:tcPr>
            <w:tcW w:w="10720" w:type="dxa"/>
            <w:vAlign w:val="bottom"/>
            <w:gridSpan w:val="5"/>
          </w:tcPr>
          <w:p>
            <w:pPr>
              <w:ind w:left="100"/>
              <w:spacing w:after="0"/>
              <w:rPr>
                <w:sz w:val="20"/>
                <w:szCs w:val="20"/>
                <w:color w:val="auto"/>
              </w:rPr>
            </w:pPr>
            <w:r>
              <w:rPr>
                <w:rFonts w:ascii="Arial" w:cs="Arial" w:eastAsia="Arial" w:hAnsi="Arial"/>
                <w:sz w:val="18"/>
                <w:szCs w:val="18"/>
                <w:color w:val="auto"/>
                <w:w w:val="93"/>
              </w:rPr>
              <w:t>of this prospectus, remains the same and after deducting estimated underwriting discounts and commissions and estimated offering expenses</w:t>
            </w:r>
          </w:p>
        </w:tc>
      </w:tr>
      <w:tr>
        <w:trPr>
          <w:trHeight w:val="216"/>
        </w:trPr>
        <w:tc>
          <w:tcPr>
            <w:tcW w:w="320" w:type="dxa"/>
            <w:vAlign w:val="bottom"/>
          </w:tcPr>
          <w:p>
            <w:pPr>
              <w:spacing w:after="0"/>
              <w:rPr>
                <w:sz w:val="18"/>
                <w:szCs w:val="18"/>
                <w:color w:val="auto"/>
              </w:rPr>
            </w:pPr>
          </w:p>
        </w:tc>
        <w:tc>
          <w:tcPr>
            <w:tcW w:w="10720" w:type="dxa"/>
            <w:vAlign w:val="bottom"/>
            <w:gridSpan w:val="5"/>
          </w:tcPr>
          <w:p>
            <w:pPr>
              <w:ind w:left="100"/>
              <w:spacing w:after="0"/>
              <w:rPr>
                <w:sz w:val="20"/>
                <w:szCs w:val="20"/>
                <w:color w:val="auto"/>
              </w:rPr>
            </w:pPr>
            <w:r>
              <w:rPr>
                <w:rFonts w:ascii="Arial" w:cs="Arial" w:eastAsia="Arial" w:hAnsi="Arial"/>
                <w:sz w:val="18"/>
                <w:szCs w:val="18"/>
                <w:color w:val="auto"/>
                <w:w w:val="88"/>
              </w:rPr>
              <w:t>payable by us. We may also increase or decrease the number of shares we are offering. An increase (decrease) of 1,000,000 in the number of shares</w:t>
            </w:r>
          </w:p>
        </w:tc>
      </w:tr>
      <w:tr>
        <w:trPr>
          <w:trHeight w:val="230"/>
        </w:trPr>
        <w:tc>
          <w:tcPr>
            <w:tcW w:w="320" w:type="dxa"/>
            <w:vAlign w:val="bottom"/>
          </w:tcPr>
          <w:p>
            <w:pPr>
              <w:spacing w:after="0"/>
              <w:rPr>
                <w:sz w:val="20"/>
                <w:szCs w:val="20"/>
                <w:color w:val="auto"/>
              </w:rPr>
            </w:pPr>
          </w:p>
        </w:tc>
        <w:tc>
          <w:tcPr>
            <w:tcW w:w="9620" w:type="dxa"/>
            <w:vAlign w:val="bottom"/>
            <w:gridSpan w:val="4"/>
          </w:tcPr>
          <w:p>
            <w:pPr>
              <w:ind w:left="100"/>
              <w:spacing w:after="0"/>
              <w:rPr>
                <w:sz w:val="20"/>
                <w:szCs w:val="20"/>
                <w:color w:val="auto"/>
              </w:rPr>
            </w:pPr>
            <w:r>
              <w:rPr>
                <w:rFonts w:ascii="Arial" w:cs="Arial" w:eastAsia="Arial" w:hAnsi="Arial"/>
                <w:sz w:val="18"/>
                <w:szCs w:val="18"/>
                <w:color w:val="auto"/>
                <w:w w:val="92"/>
              </w:rPr>
              <w:t>we are offering would increase (decrease) as adjusted cash and cash equivalents and as adjusted total shareholders’ equity by $</w:t>
            </w:r>
          </w:p>
        </w:tc>
        <w:tc>
          <w:tcPr>
            <w:tcW w:w="1100" w:type="dxa"/>
            <w:vAlign w:val="bottom"/>
          </w:tcPr>
          <w:p>
            <w:pPr>
              <w:ind w:left="380"/>
              <w:spacing w:after="0"/>
              <w:rPr>
                <w:sz w:val="20"/>
                <w:szCs w:val="20"/>
                <w:color w:val="auto"/>
              </w:rPr>
            </w:pPr>
            <w:r>
              <w:rPr>
                <w:rFonts w:ascii="Arial" w:cs="Arial" w:eastAsia="Arial" w:hAnsi="Arial"/>
                <w:sz w:val="18"/>
                <w:szCs w:val="18"/>
                <w:color w:val="auto"/>
              </w:rPr>
              <w:t>(CHF</w:t>
            </w:r>
          </w:p>
        </w:tc>
      </w:tr>
    </w:tbl>
    <w:p>
      <w:pPr>
        <w:ind w:left="620" w:right="700" w:firstLine="369"/>
        <w:spacing w:after="0" w:line="261" w:lineRule="auto"/>
        <w:tabs>
          <w:tab w:leader="none" w:pos="10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million, assuming that the assumed initial public offering price remains the same and after deducting the underwriting discount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ACI-35 and our anti-tau antibody candidate,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ACI-35 and our anti-tau antibody candidate,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Accordingly, if crenezumab, ACI-24, ACI-35 and our anti-tau antibody candidate are approved, competitors could file ANDAs for generic versions of crenezumab, ACI-24 and ACI-35, or 505(b)(2) NDAs that reference crenezumab, ACI-24, ACI-35 or our anti-tau antibody candidate,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the same indication as our lead product candidate crenezumab.</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initially showed promise in preclinical or early stage testing have later been found to cause side effects that restricted their use and prevented further development of the compound for larger indications.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five serious adverse events were observed in three patients during clinical studies of ACI-35, although we believe that these serious adverse events were not related to the treatment. Acute pyelonephritis, or kidney infection, and dizziness were observed in one patient and sick sinus syndrome was reported for a second patient, and these were labeled as possibly related due to the close timing proximity with the last administration of ACI-35. In the third patient, urosepsis, or blood poisoning, and pyelonephritis were described and classified as unlikely related to the drug. A relationship between these serious adverse effects and ACI-35 cannot be ruled out, however. Non-drug related serious adverse effects observed during clinical studies of ACI-24 were acute chest pain, death due to Alzheimer’s disease or myocardial infarction (heart attack),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6" w:lineRule="exact"/>
        <w:rPr>
          <w:sz w:val="20"/>
          <w:szCs w:val="20"/>
          <w:color w:val="auto"/>
        </w:rPr>
      </w:pPr>
    </w:p>
    <w:p>
      <w:pPr>
        <w:ind w:right="92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and ABvac 40 (Araclon Biotech)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George Pavey, our Chief Financial Officer; and Jean-Fabien Monin, our Chief Administrative Officer.</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6"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8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 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5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studies must be conducted with products produced under cGMP regulations. Our failure to comply with these regulations may require us to repeat clinical studies, which would delay the regulatory approval process.</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collaboration arrangements with our strategic partners may make us an attractive target for potential acquisitions under certain circumstances.</w:t>
      </w:r>
    </w:p>
    <w:p>
      <w:pPr>
        <w:spacing w:after="0" w:line="15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14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Periodic maintenance fees, renewal fees, annuity fees and various other government fees on a patent and patent application are due to be paid to the USPTO and foreign patent agencies in several stages over the lifetime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0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commercial success depends on our ability and the ability of our licensees or collaborators to develop, manufacture, market and sell our product candidates and use our proprietary technology without infringing,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derivation proceedings and post grant review before the USPTO and corresponding foreign patent offices.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right="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In addition, we had accumulated losses of CHF 33.8 million as of June 30, 2016.</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6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 Phase 1 clinical study of ACI-24 in Down syndrome, a Phase 1b clinical study of ACI-35 and a Phase 1 clinical study of our anti-tau antibody;</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ACI-35 or our anti-tau antibody, for which we complete clinical studies;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29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currently advancing our product candidates through clinical development, either together with a collaboration partner (crenezumab, ACI-35 and our anti-tau antibody) or independently (ACI-24 for AD and Down syndrome). We expect our research and development expenses to continue to increase in connection with our ongoing activities, particularly as we and/or our collaboration partners continue our ongoing studies and initiate new studies of crenezumab, ACI-24 for AD, ACI-35 and our anti-tau antibody and initiate preclinical and clinical development of our other product candidates. As of June 30, 2016, we had cash and cash equivalents of CHF 82.4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 least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through the fourth quarter of fiscal year 2017. We have based this estimate on assumptions that may prove to be wrong, and we could exhaust our capital resources sooner than we currently expect. Our future funding requirements will depend on many factors, including but not limited to:</w:t>
      </w:r>
    </w:p>
    <w:p>
      <w:pPr>
        <w:spacing w:after="0" w:line="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0"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ACI-24 for Down syndrome in a Phase 1 clinical study, ACI-35 is in Phase 1b clinical studies and our anti-tau antibody in a Phase 1 clinical study. The development of our other product candidates is less advanced and studies have not yet started.</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5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28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conducted and may in the future choose to conduct one or more of our clinical studies outside the United States, including in Germany, Austria, Denmark, Sweden and Finland. The acceptance of study data from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8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among us, the selling shareholder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left="460"/>
        <w:spacing w:after="0"/>
        <w:tabs>
          <w:tab w:leader="none" w:pos="8040" w:val="left"/>
        </w:tabs>
        <w:rPr>
          <w:sz w:val="20"/>
          <w:szCs w:val="20"/>
          <w:color w:val="auto"/>
        </w:rPr>
      </w:pPr>
      <w:r>
        <w:rPr>
          <w:rFonts w:ascii="Arial" w:cs="Arial" w:eastAsia="Arial" w:hAnsi="Arial"/>
          <w:sz w:val="18"/>
          <w:szCs w:val="18"/>
          <w:color w:val="auto"/>
        </w:rPr>
        <w:t>Following completion of this offering, our existing shareholders are expected to own approximately</w:t>
      </w:r>
      <w:r>
        <w:rPr>
          <w:sz w:val="20"/>
          <w:szCs w:val="20"/>
          <w:color w:val="auto"/>
        </w:rPr>
        <w:tab/>
      </w:r>
      <w:r>
        <w:rPr>
          <w:rFonts w:ascii="Arial" w:cs="Arial" w:eastAsia="Arial" w:hAnsi="Arial"/>
          <w:sz w:val="16"/>
          <w:szCs w:val="16"/>
          <w:color w:val="auto"/>
        </w:rPr>
        <w:t>% of our common shares (or approximately</w:t>
      </w:r>
    </w:p>
    <w:p>
      <w:pPr>
        <w:spacing w:after="0" w:line="23" w:lineRule="exact"/>
        <w:rPr>
          <w:sz w:val="20"/>
          <w:szCs w:val="20"/>
          <w:color w:val="auto"/>
        </w:rPr>
      </w:pPr>
    </w:p>
    <w:p>
      <w:pPr>
        <w:ind w:right="20" w:firstLine="368"/>
        <w:spacing w:after="0" w:line="290" w:lineRule="auto"/>
        <w:tabs>
          <w:tab w:leader="none" w:pos="5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the underwriters exercise their over-allotment option in full), excluding any shares purchased by any such holders in this offering. Depending on the level of attendance at our general meetings of shareholders, these shareholders may be in a position to determine the outcome of decisions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common shares. Following the completion of this offering, we will have common shares outstanding based on 10,819,000 common shares outstanding as of August 31, 2016 and 38,577,042 additional common shares issuable upon the conversion of all of our outstanding preferred shares into common shares, excluding 5,300,000 of our common shares issued to Credit Suisse AG, Zurich in the CS AG Share Issuance. This includes the common shares in this offering, which may be resold in the public market immediately upon the closing of this offering without restriction, unless purchased by our</w:t>
      </w:r>
    </w:p>
    <w:p>
      <w:pPr>
        <w:spacing w:after="0" w:line="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affiliates. Approximately % of the common shares outstanding are expected to be held by affiliates (or % if existing investors, executives and directors purchase all the shares they have indicated an interest in purchasing in this offering) (assuming no exercise of the underwriters’ over-allotment option).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860" w:hanging="852"/>
        <w:spacing w:after="0" w:line="39" w:lineRule="auto"/>
        <w:tabs>
          <w:tab w:leader="none" w:pos="860" w:val="left"/>
        </w:tabs>
        <w:numPr>
          <w:ilvl w:val="0"/>
          <w:numId w:val="37"/>
        </w:numPr>
        <w:rPr>
          <w:rFonts w:ascii="Arial" w:cs="Arial" w:eastAsia="Arial" w:hAnsi="Arial"/>
          <w:sz w:val="1"/>
          <w:szCs w:val="1"/>
          <w:color w:val="auto"/>
        </w:rPr>
      </w:pPr>
      <w:r>
        <w:rPr>
          <w:rFonts w:ascii="Arial" w:cs="Arial" w:eastAsia="Arial" w:hAnsi="Arial"/>
          <w:sz w:val="1"/>
          <w:szCs w:val="1"/>
          <w:color w:val="auto"/>
        </w:rPr>
        <w:t>per common share, which is the midpoint of the price range set forth on the cover page of this prospectus, you will experience immediate dilution</w:t>
      </w:r>
    </w:p>
    <w:p>
      <w:pPr>
        <w:spacing w:after="0" w:line="2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 CHF ($ ) per common share, representing the difference between our as adjusted net tangible book value per common share after giving effect to this offering and the initial public offering price. In addition, purchasers of common shares in this offering will have contributed approximately % of the aggregate price paid by all purchasers of common shares issued by us but will own only approximately % of our common shares outstanding after this offering. See “Dilution.”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 shareholders’ meeting held on October 21, 2015, which requires registration with the commercial register of the Canton of Vaud. On May 27, 2016, the commercial register of the Canton of Vaud approved an increase in our authorized share capital of 5,300,000 common shares, all of which were issued to Credit Suisse AG, Zurich. See Note 7 (Other current liabilities) of our unaudited interim condensed financial statements as of and for the six months ended June 30, 2016 and June 30, 2015 included elsewhere in this prospectus. Any registration of a capital increase over and above these 5,300,000 common shares in the commercial register of the Canton of Vaud may be blocked by a shareholder and, therefore, prevent or delay the completion of this offering.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w:t>
      </w:r>
    </w:p>
    <w:tbl>
      <w:tblPr>
        <w:tblLayout w:type="fixed"/>
        <w:tblInd w:w="0" w:type="dxa"/>
        <w:tblCellMar>
          <w:top w:w="0" w:type="dxa"/>
          <w:left w:w="0" w:type="dxa"/>
          <w:bottom w:w="0" w:type="dxa"/>
          <w:right w:w="0" w:type="dxa"/>
        </w:tblCellMar>
      </w:tblPr>
      <w:tr>
        <w:trPr>
          <w:trHeight w:val="177"/>
        </w:trPr>
        <w:tc>
          <w:tcPr>
            <w:tcW w:w="4780" w:type="dxa"/>
            <w:vAlign w:val="bottom"/>
            <w:gridSpan w:val="2"/>
          </w:tcPr>
          <w:p>
            <w:pPr>
              <w:spacing w:after="0" w:line="177" w:lineRule="exact"/>
              <w:rPr>
                <w:sz w:val="20"/>
                <w:szCs w:val="20"/>
                <w:color w:val="auto"/>
              </w:rPr>
            </w:pPr>
            <w:r>
              <w:rPr>
                <w:rFonts w:ascii="Arial" w:cs="Arial" w:eastAsia="Arial" w:hAnsi="Arial"/>
                <w:sz w:val="18"/>
                <w:szCs w:val="18"/>
                <w:color w:val="auto"/>
                <w:w w:val="92"/>
              </w:rPr>
              <w:t>completion of this offering, we expect the Company to have CHF</w:t>
            </w:r>
          </w:p>
        </w:tc>
        <w:tc>
          <w:tcPr>
            <w:tcW w:w="180" w:type="dxa"/>
            <w:vAlign w:val="bottom"/>
            <w:tcBorders>
              <w:bottom w:val="single" w:sz="8" w:color="auto"/>
            </w:tcBorders>
          </w:tcPr>
          <w:p>
            <w:pPr>
              <w:spacing w:after="0"/>
              <w:rPr>
                <w:sz w:val="15"/>
                <w:szCs w:val="15"/>
                <w:color w:val="auto"/>
              </w:rPr>
            </w:pPr>
          </w:p>
        </w:tc>
        <w:tc>
          <w:tcPr>
            <w:tcW w:w="3600" w:type="dxa"/>
            <w:vAlign w:val="bottom"/>
          </w:tcPr>
          <w:p>
            <w:pPr>
              <w:ind w:left="40"/>
              <w:spacing w:after="0" w:line="177" w:lineRule="exact"/>
              <w:rPr>
                <w:sz w:val="20"/>
                <w:szCs w:val="20"/>
                <w:color w:val="auto"/>
              </w:rPr>
            </w:pPr>
            <w:r>
              <w:rPr>
                <w:rFonts w:ascii="Arial" w:cs="Arial" w:eastAsia="Arial" w:hAnsi="Arial"/>
                <w:sz w:val="18"/>
                <w:szCs w:val="18"/>
                <w:color w:val="auto"/>
              </w:rPr>
              <w:t>of qualifying capital contributions and CHF</w:t>
            </w:r>
          </w:p>
        </w:tc>
        <w:tc>
          <w:tcPr>
            <w:tcW w:w="2700" w:type="dxa"/>
            <w:vAlign w:val="bottom"/>
          </w:tcPr>
          <w:p>
            <w:pPr>
              <w:ind w:left="400"/>
              <w:spacing w:after="0" w:line="177" w:lineRule="exact"/>
              <w:rPr>
                <w:sz w:val="20"/>
                <w:szCs w:val="20"/>
                <w:color w:val="auto"/>
              </w:rPr>
            </w:pPr>
            <w:r>
              <w:rPr>
                <w:rFonts w:ascii="Arial" w:cs="Arial" w:eastAsia="Arial" w:hAnsi="Arial"/>
                <w:sz w:val="18"/>
                <w:szCs w:val="18"/>
                <w:color w:val="auto"/>
              </w:rPr>
              <w:t>of registered share capital</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(consisting of</w:t>
            </w:r>
          </w:p>
        </w:tc>
        <w:tc>
          <w:tcPr>
            <w:tcW w:w="9860" w:type="dxa"/>
            <w:vAlign w:val="bottom"/>
            <w:gridSpan w:val="4"/>
          </w:tcPr>
          <w:p>
            <w:pPr>
              <w:ind w:left="400"/>
              <w:spacing w:after="0"/>
              <w:rPr>
                <w:sz w:val="20"/>
                <w:szCs w:val="20"/>
                <w:color w:val="auto"/>
              </w:rPr>
            </w:pPr>
            <w:r>
              <w:rPr>
                <w:rFonts w:ascii="Arial" w:cs="Arial" w:eastAsia="Arial" w:hAnsi="Arial"/>
                <w:sz w:val="18"/>
                <w:szCs w:val="18"/>
                <w:color w:val="auto"/>
                <w:w w:val="89"/>
              </w:rPr>
              <w:t>common shares each with a nominal value of CHF 0.02 and no preferred shares) on its audited statutory balance sheet. The number</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w w:val="91"/>
              </w:rPr>
              <w:t>of common shares referred to in the preceding sentence includes</w:t>
            </w:r>
          </w:p>
        </w:tc>
        <w:tc>
          <w:tcPr>
            <w:tcW w:w="180" w:type="dxa"/>
            <w:vAlign w:val="bottom"/>
          </w:tcPr>
          <w:p>
            <w:pPr>
              <w:spacing w:after="0"/>
              <w:rPr>
                <w:sz w:val="20"/>
                <w:szCs w:val="20"/>
                <w:color w:val="auto"/>
              </w:rPr>
            </w:pPr>
          </w:p>
        </w:tc>
        <w:tc>
          <w:tcPr>
            <w:tcW w:w="6300" w:type="dxa"/>
            <w:vAlign w:val="bottom"/>
            <w:gridSpan w:val="2"/>
          </w:tcPr>
          <w:p>
            <w:pPr>
              <w:ind w:left="500"/>
              <w:spacing w:after="0"/>
              <w:rPr>
                <w:sz w:val="20"/>
                <w:szCs w:val="20"/>
                <w:color w:val="auto"/>
              </w:rPr>
            </w:pPr>
            <w:r>
              <w:rPr>
                <w:rFonts w:ascii="Arial" w:cs="Arial" w:eastAsia="Arial" w:hAnsi="Arial"/>
                <w:sz w:val="18"/>
                <w:szCs w:val="18"/>
                <w:color w:val="auto"/>
                <w:w w:val="90"/>
              </w:rPr>
              <w:t>remaining common shares from the 5,300,000 common shares issued in the CS</w:t>
            </w:r>
          </w:p>
        </w:tc>
      </w:tr>
    </w:tbl>
    <w:p>
      <w:pPr>
        <w:spacing w:after="0" w:line="288" w:lineRule="auto"/>
        <w:rPr>
          <w:sz w:val="20"/>
          <w:szCs w:val="20"/>
          <w:color w:val="auto"/>
        </w:rPr>
      </w:pPr>
      <w:r>
        <w:rPr>
          <w:rFonts w:ascii="Arial" w:cs="Arial" w:eastAsia="Arial" w:hAnsi="Arial"/>
          <w:sz w:val="16"/>
          <w:szCs w:val="16"/>
          <w:color w:val="auto"/>
        </w:rPr>
        <w:t>AG Share Issuance.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2017 (the end of our second fiscal quarter in the fiscal year after this offering), which would require us to comply with all of the periodic disclosure and current reporting requirements of the Exchange Act applicable to U.S. domestic issuers as of January 1, 2018.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identified a material weakness in our internal control over financial reporting. This material weakness continued to exist as at December 31, 2015 and as at June 30, 2016.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8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2015 nor as at June 30, 2016.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9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 of our financial statements as and for the year ended December 31, 2014, we identified a material weakness in our internal control over financial reporting, which was not remediated as at December 31, 2015 nor as at June 30, 2016.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62"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USE OF PROCEEDS</w:t>
            </w:r>
          </w:p>
        </w:tc>
        <w:tc>
          <w:tcPr>
            <w:tcW w:w="1420" w:type="dxa"/>
            <w:vAlign w:val="bottom"/>
          </w:tcPr>
          <w:p>
            <w:pPr>
              <w:spacing w:after="0"/>
              <w:rPr>
                <w:sz w:val="24"/>
                <w:szCs w:val="24"/>
                <w:color w:val="auto"/>
              </w:rPr>
            </w:pPr>
          </w:p>
        </w:tc>
      </w:tr>
      <w:tr>
        <w:trPr>
          <w:trHeight w:val="418"/>
        </w:trPr>
        <w:tc>
          <w:tcPr>
            <w:tcW w:w="4460" w:type="dxa"/>
            <w:vAlign w:val="bottom"/>
            <w:gridSpan w:val="3"/>
          </w:tcPr>
          <w:p>
            <w:pPr>
              <w:ind w:left="460"/>
              <w:spacing w:after="0"/>
              <w:rPr>
                <w:sz w:val="20"/>
                <w:szCs w:val="20"/>
                <w:color w:val="auto"/>
              </w:rPr>
            </w:pPr>
            <w:r>
              <w:rPr>
                <w:rFonts w:ascii="Arial" w:cs="Arial" w:eastAsia="Arial" w:hAnsi="Arial"/>
                <w:sz w:val="18"/>
                <w:szCs w:val="18"/>
                <w:color w:val="auto"/>
                <w:w w:val="98"/>
              </w:rPr>
              <w:t>We estimate that the net proceeds from the sale of</w:t>
            </w:r>
          </w:p>
        </w:tc>
        <w:tc>
          <w:tcPr>
            <w:tcW w:w="5220" w:type="dxa"/>
            <w:vAlign w:val="bottom"/>
          </w:tcPr>
          <w:p>
            <w:pPr>
              <w:ind w:left="400"/>
              <w:spacing w:after="0"/>
              <w:rPr>
                <w:sz w:val="20"/>
                <w:szCs w:val="20"/>
                <w:color w:val="auto"/>
              </w:rPr>
            </w:pPr>
            <w:r>
              <w:rPr>
                <w:rFonts w:ascii="Arial" w:cs="Arial" w:eastAsia="Arial" w:hAnsi="Arial"/>
                <w:sz w:val="18"/>
                <w:szCs w:val="18"/>
                <w:color w:val="auto"/>
                <w:w w:val="99"/>
              </w:rPr>
              <w:t>common shares by us in this offering will be approximately $</w:t>
            </w:r>
          </w:p>
        </w:tc>
        <w:tc>
          <w:tcPr>
            <w:tcW w:w="1420" w:type="dxa"/>
            <w:vAlign w:val="bottom"/>
          </w:tcPr>
          <w:p>
            <w:pPr>
              <w:ind w:left="380"/>
              <w:spacing w:after="0"/>
              <w:rPr>
                <w:sz w:val="20"/>
                <w:szCs w:val="20"/>
                <w:color w:val="auto"/>
              </w:rPr>
            </w:pPr>
            <w:r>
              <w:rPr>
                <w:rFonts w:ascii="Arial" w:cs="Arial" w:eastAsia="Arial" w:hAnsi="Arial"/>
                <w:sz w:val="18"/>
                <w:szCs w:val="18"/>
                <w:color w:val="auto"/>
              </w:rPr>
              <w:t>million at an</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assumed initial public offering price of $</w:t>
            </w:r>
          </w:p>
        </w:tc>
        <w:tc>
          <w:tcPr>
            <w:tcW w:w="7780" w:type="dxa"/>
            <w:vAlign w:val="bottom"/>
            <w:gridSpan w:val="3"/>
          </w:tcPr>
          <w:p>
            <w:pPr>
              <w:ind w:left="380"/>
              <w:spacing w:after="0"/>
              <w:rPr>
                <w:sz w:val="20"/>
                <w:szCs w:val="20"/>
                <w:color w:val="auto"/>
              </w:rPr>
            </w:pPr>
            <w:r>
              <w:rPr>
                <w:rFonts w:ascii="Arial" w:cs="Arial" w:eastAsia="Arial" w:hAnsi="Arial"/>
                <w:sz w:val="18"/>
                <w:szCs w:val="18"/>
                <w:color w:val="auto"/>
                <w:w w:val="90"/>
              </w:rPr>
              <w:t>per share (which is the midpoint of the price range set forth on the cover page of this prospectus), after</w:t>
            </w:r>
          </w:p>
        </w:tc>
      </w:tr>
    </w:tbl>
    <w:p>
      <w:pPr>
        <w:ind w:right="1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deducting the underwriting discount and estimated offering expenses payable by us. In addition, we received gross proceeds of CHF 14 million in July 2016 from Genentech related to our collaboration on the anti-tau antibody program.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shares by the selling shareholder.</w:t>
      </w:r>
    </w:p>
    <w:p>
      <w:pPr>
        <w:spacing w:after="0" w:line="225" w:lineRule="exact"/>
        <w:rPr>
          <w:sz w:val="20"/>
          <w:szCs w:val="20"/>
          <w:color w:val="auto"/>
        </w:rPr>
      </w:pPr>
    </w:p>
    <w:p>
      <w:pPr>
        <w:ind w:left="460"/>
        <w:spacing w:after="0"/>
        <w:tabs>
          <w:tab w:leader="none" w:pos="686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280" w:firstLine="8"/>
        <w:spacing w:after="0" w:line="281" w:lineRule="auto"/>
        <w:tabs>
          <w:tab w:leader="none" w:pos="8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June 30, 2016, after taking into consideration the CHF 14 million milestone payment from Genentech related to the anti-tau antibody program, we would have had cash and cash equivalents</w:t>
      </w:r>
    </w:p>
    <w:p>
      <w:pPr>
        <w:ind w:right="480"/>
        <w:spacing w:after="0" w:line="261" w:lineRule="auto"/>
        <w:rPr>
          <w:sz w:val="20"/>
          <w:szCs w:val="20"/>
          <w:color w:val="auto"/>
        </w:rPr>
      </w:pPr>
      <w:r>
        <w:rPr>
          <w:rFonts w:ascii="Arial" w:cs="Arial" w:eastAsia="Arial" w:hAnsi="Arial"/>
          <w:sz w:val="18"/>
          <w:szCs w:val="18"/>
          <w:color w:val="auto"/>
        </w:rPr>
        <w:t>of CHF 96.4 million. We intend to use the net proceeds of this offering over the next years together with our existing cash and cash equivalents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0"/>
              </w:rPr>
              <w:t>million to fund our share of the costs for the further development of our therapeutic and diagnostics product candidates</w:t>
            </w:r>
          </w:p>
        </w:tc>
      </w:tr>
      <w:tr>
        <w:trPr>
          <w:trHeight w:val="216"/>
        </w:trPr>
        <w:tc>
          <w:tcPr>
            <w:tcW w:w="180" w:type="dxa"/>
            <w:vAlign w:val="bottom"/>
          </w:tcPr>
          <w:p>
            <w:pPr>
              <w:spacing w:after="0"/>
              <w:rPr>
                <w:sz w:val="18"/>
                <w:szCs w:val="18"/>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under collaboration agreements (anti-tau antibodies and the tau PET tracers) over the next three years, of which approximately $</w:t>
            </w:r>
          </w:p>
        </w:tc>
      </w:tr>
      <w:tr>
        <w:trPr>
          <w:trHeight w:val="216"/>
        </w:trPr>
        <w:tc>
          <w:tcPr>
            <w:tcW w:w="180" w:type="dxa"/>
            <w:vAlign w:val="bottom"/>
          </w:tcPr>
          <w:p>
            <w:pPr>
              <w:spacing w:after="0"/>
              <w:rPr>
                <w:sz w:val="18"/>
                <w:szCs w:val="18"/>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million will be spent on therapeutic product candidates and of which approximately $</w:t>
            </w:r>
          </w:p>
        </w:tc>
        <w:tc>
          <w:tcPr>
            <w:tcW w:w="3700" w:type="dxa"/>
            <w:vAlign w:val="bottom"/>
          </w:tcPr>
          <w:p>
            <w:pPr>
              <w:ind w:left="120"/>
              <w:spacing w:after="0"/>
              <w:rPr>
                <w:sz w:val="20"/>
                <w:szCs w:val="20"/>
                <w:color w:val="auto"/>
              </w:rPr>
            </w:pPr>
            <w:r>
              <w:rPr>
                <w:rFonts w:ascii="Arial" w:cs="Arial" w:eastAsia="Arial" w:hAnsi="Arial"/>
                <w:sz w:val="18"/>
                <w:szCs w:val="18"/>
                <w:color w:val="auto"/>
              </w:rPr>
              <w:t>million will be spent on diagnostic product</w:t>
            </w:r>
          </w:p>
        </w:tc>
      </w:tr>
      <w:tr>
        <w:trPr>
          <w:trHeight w:val="230"/>
        </w:trPr>
        <w:tc>
          <w:tcPr>
            <w:tcW w:w="180" w:type="dxa"/>
            <w:vAlign w:val="bottom"/>
          </w:tcPr>
          <w:p>
            <w:pPr>
              <w:spacing w:after="0"/>
              <w:rPr>
                <w:sz w:val="20"/>
                <w:szCs w:val="20"/>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96"/>
              </w:rPr>
              <w:t>candidates, and we expect these expenditures will take the tau PET tracers into Phase 2 and the anti-tau antibody program into Phase 2;</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2"/>
              </w:rPr>
              <w:t>million to fund our share of the costs for the further development of ACI-35, our tau vaccine under collaboration with</w:t>
            </w:r>
          </w:p>
        </w:tc>
      </w:tr>
      <w:tr>
        <w:trPr>
          <w:trHeight w:val="230"/>
        </w:trPr>
        <w:tc>
          <w:tcPr>
            <w:tcW w:w="180" w:type="dxa"/>
            <w:vAlign w:val="bottom"/>
          </w:tcPr>
          <w:p>
            <w:pPr>
              <w:spacing w:after="0"/>
              <w:rPr>
                <w:sz w:val="20"/>
                <w:szCs w:val="20"/>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Janssen, and we expect these expenditures will take ACI-35 into Phase 2;</w:t>
            </w:r>
          </w:p>
        </w:tc>
        <w:tc>
          <w:tcPr>
            <w:tcW w:w="370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1"/>
              </w:rPr>
              <w:t>million for the further development of ACI-24 for AD through the remainder of the Phase 1/2a study and the Phase 2b</w:t>
            </w:r>
          </w:p>
        </w:tc>
      </w:tr>
      <w:tr>
        <w:trPr>
          <w:trHeight w:val="230"/>
        </w:trPr>
        <w:tc>
          <w:tcPr>
            <w:tcW w:w="180" w:type="dxa"/>
            <w:vAlign w:val="bottom"/>
          </w:tcPr>
          <w:p>
            <w:pPr>
              <w:spacing w:after="0"/>
              <w:rPr>
                <w:sz w:val="20"/>
                <w:szCs w:val="20"/>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study and for our ongoing Phase 1 study and a portion of the proposed Phase 2 study of ACI-24 for Down syndrome;</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4"/>
              </w:rPr>
              <w:t>million for funding our PD-focused programs, including further pre-clinical development, the completion of Phase 1</w:t>
            </w:r>
          </w:p>
        </w:tc>
      </w:tr>
      <w:tr>
        <w:trPr>
          <w:trHeight w:val="216"/>
        </w:trPr>
        <w:tc>
          <w:tcPr>
            <w:tcW w:w="180" w:type="dxa"/>
            <w:vAlign w:val="bottom"/>
          </w:tcPr>
          <w:p>
            <w:pPr>
              <w:spacing w:after="0"/>
              <w:rPr>
                <w:sz w:val="18"/>
                <w:szCs w:val="18"/>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91"/>
              </w:rPr>
              <w:t>studies and commencement of Phase 2 studies for our alpha-synuclein diagnostic product candidate as well as further pre-clinical development</w:t>
            </w:r>
          </w:p>
        </w:tc>
      </w:tr>
      <w:tr>
        <w:trPr>
          <w:trHeight w:val="230"/>
        </w:trPr>
        <w:tc>
          <w:tcPr>
            <w:tcW w:w="180" w:type="dxa"/>
            <w:vAlign w:val="bottom"/>
          </w:tcPr>
          <w:p>
            <w:pPr>
              <w:spacing w:after="0"/>
              <w:rPr>
                <w:sz w:val="20"/>
                <w:szCs w:val="20"/>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97"/>
              </w:rPr>
              <w:t>and the commencement of a Phase 1 clinical study of Morphomer alpha-synuclein, our alpha-synuclein morphomer product candidate;</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5"/>
              </w:rPr>
              <w:t>million for the further development of non-AD and non-PD programs, including our morphomer tau and glaucoma</w:t>
            </w:r>
          </w:p>
        </w:tc>
      </w:tr>
      <w:tr>
        <w:trPr>
          <w:trHeight w:val="230"/>
        </w:trPr>
        <w:tc>
          <w:tcPr>
            <w:tcW w:w="180" w:type="dxa"/>
            <w:vAlign w:val="bottom"/>
          </w:tcPr>
          <w:p>
            <w:pPr>
              <w:spacing w:after="0"/>
              <w:rPr>
                <w:sz w:val="20"/>
                <w:szCs w:val="20"/>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program for which we intend to commence a Phase 1 study;</w:t>
            </w:r>
          </w:p>
        </w:tc>
        <w:tc>
          <w:tcPr>
            <w:tcW w:w="370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4"/>
              </w:rPr>
              <w:t>million for new research and development initiatives that are complementary to our existing and planned research</w:t>
            </w:r>
          </w:p>
        </w:tc>
      </w:tr>
      <w:tr>
        <w:trPr>
          <w:trHeight w:val="230"/>
        </w:trPr>
        <w:tc>
          <w:tcPr>
            <w:tcW w:w="180" w:type="dxa"/>
            <w:vAlign w:val="bottom"/>
          </w:tcPr>
          <w:p>
            <w:pPr>
              <w:spacing w:after="0"/>
              <w:rPr>
                <w:sz w:val="20"/>
                <w:szCs w:val="20"/>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w w:val="92"/>
              </w:rPr>
              <w:t>initiatives (with the intent to advance these new initiatives through the discovery phase); and</w:t>
            </w:r>
          </w:p>
        </w:tc>
        <w:tc>
          <w:tcPr>
            <w:tcW w:w="3700" w:type="dxa"/>
            <w:vAlign w:val="bottom"/>
          </w:tcPr>
          <w:p>
            <w:pPr>
              <w:spacing w:after="0"/>
              <w:rPr>
                <w:sz w:val="20"/>
                <w:szCs w:val="20"/>
                <w:color w:val="auto"/>
              </w:rPr>
            </w:pPr>
          </w:p>
        </w:tc>
      </w:tr>
    </w:tbl>
    <w:p>
      <w:pPr>
        <w:spacing w:after="0" w:line="107"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46"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association.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reserves required by Swiss law and its articles of association have been deducted. Distributable reserves are generally booked either as “free reserves”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500" w:right="240" w:hanging="8"/>
        <w:spacing w:after="0" w:line="277" w:lineRule="auto"/>
        <w:tabs>
          <w:tab w:leader="none" w:pos="17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conversion of all shares of our preferred stock outstanding as of June 30, 2016 into an aggregate of 38,577,042 common shares; and</w:t>
      </w:r>
    </w:p>
    <w:p>
      <w:pPr>
        <w:spacing w:after="0" w:line="62" w:lineRule="exact"/>
        <w:rPr>
          <w:rFonts w:ascii="Arial" w:cs="Arial" w:eastAsia="Arial" w:hAnsi="Arial"/>
          <w:sz w:val="18"/>
          <w:szCs w:val="18"/>
          <w:color w:val="auto"/>
        </w:rPr>
      </w:pPr>
    </w:p>
    <w:p>
      <w:pPr>
        <w:ind w:left="1760" w:hanging="268"/>
        <w:spacing w:after="0"/>
        <w:tabs>
          <w:tab w:leader="none" w:pos="17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association; and</w:t>
      </w:r>
    </w:p>
    <w:p>
      <w:pPr>
        <w:spacing w:after="0" w:line="117" w:lineRule="exact"/>
        <w:rPr>
          <w:rFonts w:ascii="Arial" w:cs="Arial" w:eastAsia="Arial" w:hAnsi="Arial"/>
          <w:sz w:val="18"/>
          <w:szCs w:val="18"/>
          <w:color w:val="auto"/>
        </w:rPr>
      </w:pPr>
    </w:p>
    <w:p>
      <w:pPr>
        <w:ind w:left="1500" w:right="300" w:hanging="8"/>
        <w:spacing w:after="0" w:line="277" w:lineRule="auto"/>
        <w:tabs>
          <w:tab w:leader="none" w:pos="18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receipt in July 2016 of the Anti-Tau Antibody Phase 1 Milestone Payment described under “Prospectus Summary—Anti-Tau Antibody Phase 1 Milestone Payment”; and</w:t>
      </w:r>
    </w:p>
    <w:p>
      <w:pPr>
        <w:spacing w:after="0" w:line="76" w:lineRule="exact"/>
        <w:rPr>
          <w:sz w:val="20"/>
          <w:szCs w:val="20"/>
          <w:color w:val="auto"/>
        </w:rPr>
      </w:pPr>
    </w:p>
    <w:p>
      <w:pPr>
        <w:ind w:left="580"/>
        <w:spacing w:after="0"/>
        <w:tabs>
          <w:tab w:leader="none" w:pos="880" w:val="left"/>
          <w:tab w:leader="none" w:pos="9220" w:val="left"/>
        </w:tabs>
        <w:rPr>
          <w:sz w:val="20"/>
          <w:szCs w:val="20"/>
          <w:color w:val="auto"/>
        </w:rPr>
      </w:pPr>
      <w:r>
        <w:rPr>
          <w:rFonts w:ascii="Arial" w:cs="Arial" w:eastAsia="Arial" w:hAnsi="Arial"/>
          <w:sz w:val="18"/>
          <w:szCs w:val="18"/>
          <w:color w:val="auto"/>
        </w:rPr>
        <w:t>•</w:t>
        <w:tab/>
        <w:t>on an as further adjusted basis to further reflect the receipt of the estimated net proceeds from the sale of</w:t>
      </w:r>
      <w:r>
        <w:rPr>
          <w:sz w:val="20"/>
          <w:szCs w:val="20"/>
          <w:color w:val="auto"/>
        </w:rPr>
        <w:tab/>
      </w:r>
      <w:r>
        <w:rPr>
          <w:rFonts w:ascii="Arial" w:cs="Arial" w:eastAsia="Arial" w:hAnsi="Arial"/>
          <w:sz w:val="16"/>
          <w:szCs w:val="16"/>
          <w:color w:val="auto"/>
        </w:rPr>
        <w:t>common shares by us in this</w:t>
      </w:r>
    </w:p>
    <w:p>
      <w:pPr>
        <w:spacing w:after="0" w:line="23" w:lineRule="exact"/>
        <w:rPr>
          <w:sz w:val="20"/>
          <w:szCs w:val="20"/>
          <w:color w:val="auto"/>
        </w:rPr>
      </w:pPr>
    </w:p>
    <w:p>
      <w:pPr>
        <w:ind w:left="900"/>
        <w:spacing w:after="0"/>
        <w:tabs>
          <w:tab w:leader="none" w:pos="5600" w:val="left"/>
        </w:tabs>
        <w:rPr>
          <w:sz w:val="20"/>
          <w:szCs w:val="20"/>
          <w:color w:val="auto"/>
        </w:rPr>
      </w:pPr>
      <w:r>
        <w:rPr>
          <w:rFonts w:ascii="Arial" w:cs="Arial" w:eastAsia="Arial" w:hAnsi="Arial"/>
          <w:sz w:val="18"/>
          <w:szCs w:val="18"/>
          <w:color w:val="auto"/>
        </w:rPr>
        <w:t>offering at an assumed initial public offering price of $</w:t>
      </w:r>
      <w:r>
        <w:rPr>
          <w:sz w:val="20"/>
          <w:szCs w:val="20"/>
          <w:color w:val="auto"/>
        </w:rPr>
        <w:tab/>
      </w:r>
      <w:r>
        <w:rPr>
          <w:rFonts w:ascii="Arial" w:cs="Arial" w:eastAsia="Arial" w:hAnsi="Arial"/>
          <w:sz w:val="16"/>
          <w:szCs w:val="16"/>
          <w:color w:val="auto"/>
        </w:rPr>
        <w:t>per share (which is the midpoint of the range set forth on the cover page of this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prospectus), after deducting the underwriting discount and estimated expenses payable by us.</w:t>
      </w:r>
    </w:p>
    <w:p>
      <w:pPr>
        <w:spacing w:after="0" w:line="15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You should read this table in conjunction with our audited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Stockholders’ equity</w:t>
      </w:r>
    </w:p>
    <w:p>
      <w:pPr>
        <w:spacing w:after="0" w:line="21" w:lineRule="exact"/>
        <w:rPr>
          <w:sz w:val="20"/>
          <w:szCs w:val="20"/>
          <w:color w:val="auto"/>
        </w:rPr>
      </w:pPr>
    </w:p>
    <w:p>
      <w:pPr>
        <w:ind w:left="520" w:hanging="170"/>
        <w:spacing w:after="0" w:line="281" w:lineRule="auto"/>
        <w:rPr>
          <w:sz w:val="20"/>
          <w:szCs w:val="20"/>
          <w:color w:val="auto"/>
        </w:rPr>
      </w:pPr>
      <w:r>
        <w:rPr>
          <w:rFonts w:ascii="Arial" w:cs="Arial" w:eastAsia="Arial" w:hAnsi="Arial"/>
          <w:sz w:val="15"/>
          <w:szCs w:val="15"/>
          <w:color w:val="auto"/>
        </w:rPr>
        <w:t>Common shares nominal value CHF 0.02 per share, 10,819,000 shares issued and outstanding, actual; 65,443,542 shares authorized, 49,396,042 shares issued and outstanding, as adjusted; and 65,443,542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386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7"/>
          <w:szCs w:val="17"/>
          <w:color w:val="auto"/>
        </w:rPr>
        <w:t>shares issued and outstanding, as further adjusted</w:t>
      </w:r>
    </w:p>
    <w:p>
      <w:pPr>
        <w:spacing w:after="0" w:line="7" w:lineRule="exact"/>
        <w:rPr>
          <w:sz w:val="20"/>
          <w:szCs w:val="20"/>
          <w:color w:val="auto"/>
        </w:rPr>
      </w:pPr>
    </w:p>
    <w:p>
      <w:pPr>
        <w:ind w:left="520" w:hanging="170"/>
        <w:spacing w:after="0" w:line="248" w:lineRule="auto"/>
        <w:rPr>
          <w:sz w:val="20"/>
          <w:szCs w:val="20"/>
          <w:color w:val="auto"/>
        </w:rPr>
      </w:pPr>
      <w:r>
        <w:rPr>
          <w:rFonts w:ascii="Arial" w:cs="Arial" w:eastAsia="Arial" w:hAnsi="Arial"/>
          <w:sz w:val="17"/>
          <w:szCs w:val="17"/>
          <w:color w:val="auto"/>
        </w:rPr>
        <w:t>Preferred shares nominal value CHF 0.02 per share, 38,577,042 authorized preferred shares, 38,577,042 preferred shares issued and outstanding, actual; no shares authorized or issued and outstanding, as adjusted or as further adjusted</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Accumulated (deficit)</w:t>
      </w:r>
    </w:p>
    <w:p>
      <w:pPr>
        <w:spacing w:after="0" w:line="4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Total capitalization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As at June 30, 2016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1180" w:type="dxa"/>
            <w:vAlign w:val="bottom"/>
            <w:tcBorders>
              <w:top w:val="single" w:sz="8" w:color="auto"/>
            </w:tcBorders>
          </w:tcPr>
          <w:p>
            <w:pPr>
              <w:ind w:left="560"/>
              <w:spacing w:after="0" w:line="119" w:lineRule="exact"/>
              <w:rPr>
                <w:sz w:val="20"/>
                <w:szCs w:val="20"/>
                <w:color w:val="auto"/>
              </w:rPr>
            </w:pPr>
            <w:r>
              <w:rPr>
                <w:rFonts w:ascii="Arial" w:cs="Arial" w:eastAsia="Arial" w:hAnsi="Arial"/>
                <w:sz w:val="13"/>
                <w:szCs w:val="13"/>
                <w:b w:val="1"/>
                <w:bCs w:val="1"/>
                <w:color w:val="auto"/>
              </w:rPr>
              <w:t>As</w:t>
            </w:r>
          </w:p>
        </w:tc>
        <w:tc>
          <w:tcPr>
            <w:tcW w:w="840" w:type="dxa"/>
            <w:vAlign w:val="bottom"/>
            <w:tcBorders>
              <w:top w:val="single" w:sz="8" w:color="auto"/>
            </w:tcBorders>
          </w:tcPr>
          <w:p>
            <w:pPr>
              <w:jc w:val="center"/>
              <w:ind w:left="11"/>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62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Adjusted</w:t>
            </w:r>
          </w:p>
        </w:tc>
        <w:tc>
          <w:tcPr>
            <w:tcW w:w="84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19"/>
        </w:trPr>
        <w:tc>
          <w:tcPr>
            <w:tcW w:w="620" w:type="dxa"/>
            <w:vAlign w:val="bottom"/>
          </w:tcPr>
          <w:p>
            <w:pPr>
              <w:spacing w:after="0"/>
              <w:rPr>
                <w:sz w:val="10"/>
                <w:szCs w:val="10"/>
                <w:color w:val="auto"/>
              </w:rPr>
            </w:pPr>
          </w:p>
        </w:tc>
        <w:tc>
          <w:tcPr>
            <w:tcW w:w="20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 CHF thousands)</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1180" w:type="dxa"/>
            <w:vAlign w:val="bottom"/>
          </w:tcPr>
          <w:p>
            <w:pPr>
              <w:ind w:left="340"/>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spacing w:after="0"/>
        <w:tabs>
          <w:tab w:leader="none" w:pos="1080" w:val="left"/>
        </w:tabs>
        <w:rPr>
          <w:sz w:val="20"/>
          <w:szCs w:val="20"/>
          <w:color w:val="auto"/>
        </w:rPr>
      </w:pPr>
      <w:r>
        <w:rPr>
          <w:rFonts w:ascii="Arial" w:cs="Arial" w:eastAsia="Arial" w:hAnsi="Arial"/>
          <w:sz w:val="17"/>
          <w:szCs w:val="17"/>
          <w:color w:val="auto"/>
        </w:rPr>
        <w:t>82,377</w:t>
      </w:r>
      <w:r>
        <w:rPr>
          <w:sz w:val="20"/>
          <w:szCs w:val="20"/>
          <w:color w:val="auto"/>
        </w:rPr>
        <w:tab/>
      </w:r>
      <w:r>
        <w:rPr>
          <w:rFonts w:ascii="Arial" w:cs="Arial" w:eastAsia="Arial" w:hAnsi="Arial"/>
          <w:sz w:val="17"/>
          <w:szCs w:val="17"/>
          <w:color w:val="auto"/>
        </w:rPr>
        <w:t>96,377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67259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725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7"/>
          <w:szCs w:val="17"/>
          <w:color w:val="auto"/>
        </w:rPr>
        <w:t>988</w:t>
      </w:r>
    </w:p>
    <w:p>
      <w:pPr>
        <w:spacing w:after="0" w:line="200" w:lineRule="exact"/>
        <w:rPr>
          <w:sz w:val="20"/>
          <w:szCs w:val="20"/>
          <w:color w:val="auto"/>
        </w:rPr>
      </w:pPr>
    </w:p>
    <w:p>
      <w:pPr>
        <w:spacing w:after="0" w:line="212" w:lineRule="exact"/>
        <w:rPr>
          <w:sz w:val="20"/>
          <w:szCs w:val="20"/>
          <w:color w:val="auto"/>
        </w:rPr>
      </w:pPr>
    </w:p>
    <w:p>
      <w:pPr>
        <w:ind w:left="360"/>
        <w:spacing w:after="0"/>
        <w:tabs>
          <w:tab w:leader="none" w:pos="1300" w:val="left"/>
          <w:tab w:leader="none" w:pos="2440" w:val="left"/>
        </w:tabs>
        <w:rPr>
          <w:sz w:val="20"/>
          <w:szCs w:val="20"/>
          <w:color w:val="auto"/>
        </w:rPr>
      </w:pPr>
      <w:r>
        <w:rPr>
          <w:rFonts w:ascii="Arial" w:cs="Arial" w:eastAsia="Arial" w:hAnsi="Arial"/>
          <w:sz w:val="17"/>
          <w:szCs w:val="17"/>
          <w:color w:val="auto"/>
        </w:rPr>
        <w:t>772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7"/>
          <w:szCs w:val="17"/>
          <w:color w:val="auto"/>
        </w:rPr>
        <w:t>123,379</w:t>
      </w:r>
      <w:r>
        <w:rPr>
          <w:sz w:val="20"/>
          <w:szCs w:val="20"/>
          <w:color w:val="auto"/>
        </w:rPr>
        <w:tab/>
      </w:r>
      <w:r>
        <w:rPr>
          <w:rFonts w:ascii="Arial" w:cs="Arial" w:eastAsia="Arial" w:hAnsi="Arial"/>
          <w:sz w:val="17"/>
          <w:szCs w:val="17"/>
          <w:color w:val="auto"/>
        </w:rPr>
        <w:t>123,379</w:t>
      </w:r>
    </w:p>
    <w:p>
      <w:pPr>
        <w:spacing w:after="0" w:line="21" w:lineRule="exact"/>
        <w:rPr>
          <w:sz w:val="20"/>
          <w:szCs w:val="20"/>
          <w:color w:val="auto"/>
        </w:rPr>
      </w:pPr>
    </w:p>
    <w:p>
      <w:pPr>
        <w:ind w:left="100"/>
        <w:spacing w:after="0"/>
        <w:tabs>
          <w:tab w:leader="none" w:pos="1020" w:val="left"/>
          <w:tab w:leader="none" w:pos="2100" w:val="left"/>
        </w:tabs>
        <w:rPr>
          <w:sz w:val="20"/>
          <w:szCs w:val="20"/>
          <w:color w:val="auto"/>
        </w:rPr>
      </w:pPr>
      <w:r>
        <w:rPr>
          <w:rFonts w:ascii="Arial" w:cs="Arial" w:eastAsia="Arial" w:hAnsi="Arial"/>
          <w:sz w:val="17"/>
          <w:szCs w:val="17"/>
          <w:color w:val="auto"/>
        </w:rPr>
        <w:t>(33,825)</w:t>
      </w:r>
      <w:r>
        <w:rPr>
          <w:sz w:val="20"/>
          <w:szCs w:val="20"/>
          <w:color w:val="auto"/>
        </w:rPr>
        <w:tab/>
      </w:r>
      <w:r>
        <w:rPr>
          <w:rFonts w:ascii="Arial" w:cs="Arial" w:eastAsia="Arial" w:hAnsi="Arial"/>
          <w:sz w:val="17"/>
          <w:szCs w:val="17"/>
          <w:color w:val="auto"/>
        </w:rPr>
        <w:t>(33,825)</w:t>
      </w:r>
      <w:r>
        <w:rPr>
          <w:sz w:val="20"/>
          <w:szCs w:val="20"/>
          <w:color w:val="auto"/>
        </w:rPr>
        <w:tab/>
      </w:r>
      <w:r>
        <w:rPr>
          <w:rFonts w:ascii="Arial" w:cs="Arial" w:eastAsia="Arial" w:hAnsi="Arial"/>
          <w:sz w:val="15"/>
          <w:szCs w:val="15"/>
          <w:color w:val="auto"/>
        </w:rPr>
        <w:t>(33,825)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16725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7" w:lineRule="exact"/>
        <w:rPr>
          <w:sz w:val="20"/>
          <w:szCs w:val="20"/>
          <w:color w:val="auto"/>
        </w:rPr>
      </w:pPr>
    </w:p>
    <w:p>
      <w:pPr>
        <w:ind w:left="160"/>
        <w:spacing w:after="0"/>
        <w:tabs>
          <w:tab w:leader="none" w:pos="1080" w:val="left"/>
        </w:tabs>
        <w:rPr>
          <w:sz w:val="20"/>
          <w:szCs w:val="20"/>
          <w:color w:val="auto"/>
        </w:rPr>
      </w:pPr>
      <w:r>
        <w:rPr>
          <w:rFonts w:ascii="Arial" w:cs="Arial" w:eastAsia="Arial" w:hAnsi="Arial"/>
          <w:sz w:val="17"/>
          <w:szCs w:val="17"/>
          <w:color w:val="auto"/>
        </w:rPr>
        <w:t>90,542</w:t>
      </w:r>
      <w:r>
        <w:rPr>
          <w:sz w:val="20"/>
          <w:szCs w:val="20"/>
          <w:color w:val="auto"/>
        </w:rPr>
        <w:tab/>
      </w:r>
      <w:r>
        <w:rPr>
          <w:rFonts w:ascii="Arial" w:cs="Arial" w:eastAsia="Arial" w:hAnsi="Arial"/>
          <w:sz w:val="17"/>
          <w:szCs w:val="17"/>
          <w:color w:val="auto"/>
        </w:rPr>
        <w:t>90,542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16725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8" w:lineRule="exact"/>
        <w:rPr>
          <w:sz w:val="20"/>
          <w:szCs w:val="20"/>
          <w:color w:val="auto"/>
        </w:rPr>
      </w:pPr>
    </w:p>
    <w:p>
      <w:pPr>
        <w:ind w:left="160"/>
        <w:spacing w:after="0"/>
        <w:tabs>
          <w:tab w:leader="none" w:pos="1080" w:val="left"/>
        </w:tabs>
        <w:rPr>
          <w:sz w:val="20"/>
          <w:szCs w:val="20"/>
          <w:color w:val="auto"/>
        </w:rPr>
      </w:pPr>
      <w:r>
        <w:rPr>
          <w:rFonts w:ascii="Arial" w:cs="Arial" w:eastAsia="Arial" w:hAnsi="Arial"/>
          <w:sz w:val="17"/>
          <w:szCs w:val="17"/>
          <w:color w:val="auto"/>
        </w:rPr>
        <w:t>90,542</w:t>
      </w:r>
      <w:r>
        <w:rPr>
          <w:sz w:val="20"/>
          <w:szCs w:val="20"/>
          <w:color w:val="auto"/>
        </w:rPr>
        <w:tab/>
      </w:r>
      <w:r>
        <w:rPr>
          <w:rFonts w:ascii="Arial" w:cs="Arial" w:eastAsia="Arial" w:hAnsi="Arial"/>
          <w:sz w:val="17"/>
          <w:szCs w:val="17"/>
          <w:color w:val="auto"/>
        </w:rPr>
        <w:t>90,542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167259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7259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40" w:space="520"/>
            <w:col w:w="2740"/>
          </w:cols>
          <w:pgMar w:left="240" w:top="459" w:right="259" w:bottom="1440" w:gutter="0" w:footer="0" w:header="0"/>
          <w:type w:val="continuous"/>
        </w:sectPr>
      </w:pPr>
    </w:p>
    <w:p>
      <w:pPr>
        <w:spacing w:after="0" w:line="108" w:lineRule="exact"/>
        <w:rPr>
          <w:sz w:val="20"/>
          <w:szCs w:val="20"/>
          <w:color w:val="auto"/>
        </w:rPr>
      </w:pPr>
    </w:p>
    <w:p>
      <w:pPr>
        <w:spacing w:after="0"/>
        <w:tabs>
          <w:tab w:leader="none" w:pos="440" w:val="left"/>
          <w:tab w:leader="none" w:pos="6440" w:val="left"/>
        </w:tabs>
        <w:rPr>
          <w:sz w:val="20"/>
          <w:szCs w:val="20"/>
          <w:color w:val="auto"/>
        </w:rPr>
      </w:pPr>
      <w:r>
        <w:rPr>
          <w:rFonts w:ascii="Arial" w:cs="Arial" w:eastAsia="Arial" w:hAnsi="Arial"/>
          <w:sz w:val="18"/>
          <w:szCs w:val="18"/>
          <w:color w:val="auto"/>
        </w:rPr>
        <w:t>(1)</w:t>
        <w:tab/>
        <w:t>A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each of as further adjusted cash</w:t>
      </w:r>
    </w:p>
    <w:p>
      <w:pPr>
        <w:spacing w:after="0" w:line="23" w:lineRule="exact"/>
        <w:rPr>
          <w:sz w:val="20"/>
          <w:szCs w:val="20"/>
          <w:color w:val="auto"/>
        </w:rPr>
      </w:pPr>
    </w:p>
    <w:p>
      <w:pPr>
        <w:ind w:left="460"/>
        <w:spacing w:after="0"/>
        <w:tabs>
          <w:tab w:leader="none" w:pos="8000" w:val="left"/>
        </w:tabs>
        <w:rPr>
          <w:sz w:val="20"/>
          <w:szCs w:val="20"/>
          <w:color w:val="auto"/>
        </w:rPr>
      </w:pPr>
      <w:r>
        <w:rPr>
          <w:rFonts w:ascii="Arial" w:cs="Arial" w:eastAsia="Arial" w:hAnsi="Arial"/>
          <w:sz w:val="18"/>
          <w:szCs w:val="18"/>
          <w:color w:val="auto"/>
        </w:rPr>
        <w:t>and cash equivalents, additional paid-in capital, total capitalization and shareholders’ equity by $</w:t>
      </w:r>
      <w:r>
        <w:rPr>
          <w:sz w:val="20"/>
          <w:szCs w:val="20"/>
          <w:color w:val="auto"/>
        </w:rPr>
        <w:tab/>
      </w:r>
      <w:r>
        <w:rPr>
          <w:rFonts w:ascii="Arial" w:cs="Arial" w:eastAsia="Arial" w:hAnsi="Arial"/>
          <w:sz w:val="16"/>
          <w:szCs w:val="16"/>
          <w:color w:val="auto"/>
        </w:rPr>
        <w:t>million, assuming that the number of shares</w:t>
      </w:r>
    </w:p>
    <w:p>
      <w:pPr>
        <w:spacing w:after="0" w:line="9"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w:t>
      </w:r>
    </w:p>
    <w:p>
      <w:pPr>
        <w:spacing w:after="0" w:line="2" w:lineRule="exact"/>
        <w:rPr>
          <w:sz w:val="20"/>
          <w:szCs w:val="20"/>
          <w:color w:val="auto"/>
        </w:rPr>
      </w:pPr>
    </w:p>
    <w:p>
      <w:pPr>
        <w:ind w:left="460" w:right="240"/>
        <w:spacing w:after="0" w:line="261" w:lineRule="auto"/>
        <w:rPr>
          <w:sz w:val="20"/>
          <w:szCs w:val="20"/>
          <w:color w:val="auto"/>
        </w:rPr>
      </w:pPr>
      <w:r>
        <w:rPr>
          <w:rFonts w:ascii="Arial" w:cs="Arial" w:eastAsia="Arial" w:hAnsi="Arial"/>
          <w:sz w:val="18"/>
          <w:szCs w:val="18"/>
          <w:color w:val="auto"/>
        </w:rPr>
        <w:t>capitalization by $ million, assuming an initial public offering price of $ per share, after deducting the underwriting discount and estimated offering expenses payable by 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as at August 31, 2016 at an exercise price of CHF 0.14548 per common share;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in Note 7 (Other current liabilities) of our unaudited interim condensed financial statements as at and for the six months ended June 30, 2016 and June 30, 2015 included elsewhere in this prospectus.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8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Net tangible book value is determined by dividing our total tangible assets less our total liabilities by the number of our common shares outstanding. Our historical net tangible book value as of June 30, 2016 was $93.2 (CHF 90.5) million, or $8.62 (CHF 8.37), per common share (on a fully diluted basis). Our as adjusted net tangible book value as at June 30, 2016, before giving effect to this offering was $93.2 (CHF 90.5) million, or $1.89 (CHF 1.83) per common share, based on the total number of our common shares outstanding as at June 30, 2016, after giving effect to the conversion of all preferred stock outstanding as at June 30, 2016 into an aggregate of 38,577,042 common shares.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 further adjusted net tangible book value per common share immediately after completion of this offering. After giving effect to the sale of</w:t>
      </w:r>
    </w:p>
    <w:p>
      <w:pPr>
        <w:spacing w:after="0" w:line="9"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common shares in this offering at an assumed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this prospectus), after deducting the underwriting discount and estimated expenses payable by us. Our as further adjusted net tangible book value as at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color w:val="auto"/>
                <w:w w:val="96"/>
              </w:rPr>
              <w:t>June 30, 2016 would have been $</w:t>
            </w:r>
          </w:p>
        </w:tc>
        <w:tc>
          <w:tcPr>
            <w:tcW w:w="860" w:type="dxa"/>
            <w:vAlign w:val="bottom"/>
          </w:tcPr>
          <w:p>
            <w:pPr>
              <w:ind w:left="220"/>
              <w:spacing w:after="0"/>
              <w:rPr>
                <w:sz w:val="20"/>
                <w:szCs w:val="20"/>
                <w:color w:val="auto"/>
              </w:rPr>
            </w:pPr>
            <w:r>
              <w:rPr>
                <w:rFonts w:ascii="Arial" w:cs="Arial" w:eastAsia="Arial" w:hAnsi="Arial"/>
                <w:sz w:val="18"/>
                <w:szCs w:val="18"/>
                <w:color w:val="auto"/>
              </w:rPr>
              <w:t>(CHF</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 million, or $</w:t>
            </w:r>
          </w:p>
        </w:tc>
        <w:tc>
          <w:tcPr>
            <w:tcW w:w="760" w:type="dxa"/>
            <w:vAlign w:val="bottom"/>
          </w:tcPr>
          <w:p>
            <w:pPr>
              <w:ind w:left="180"/>
              <w:spacing w:after="0"/>
              <w:rPr>
                <w:sz w:val="20"/>
                <w:szCs w:val="20"/>
                <w:color w:val="auto"/>
              </w:rPr>
            </w:pPr>
            <w:r>
              <w:rPr>
                <w:rFonts w:ascii="Arial" w:cs="Arial" w:eastAsia="Arial" w:hAnsi="Arial"/>
                <w:sz w:val="18"/>
                <w:szCs w:val="18"/>
                <w:color w:val="auto"/>
              </w:rPr>
              <w:t>(CHF</w:t>
            </w:r>
          </w:p>
        </w:tc>
        <w:tc>
          <w:tcPr>
            <w:tcW w:w="5800" w:type="dxa"/>
            <w:vAlign w:val="bottom"/>
            <w:gridSpan w:val="8"/>
          </w:tcPr>
          <w:p>
            <w:pPr>
              <w:ind w:left="180"/>
              <w:spacing w:after="0"/>
              <w:rPr>
                <w:sz w:val="20"/>
                <w:szCs w:val="20"/>
                <w:color w:val="auto"/>
              </w:rPr>
            </w:pPr>
            <w:r>
              <w:rPr>
                <w:rFonts w:ascii="Arial" w:cs="Arial" w:eastAsia="Arial" w:hAnsi="Arial"/>
                <w:sz w:val="18"/>
                <w:szCs w:val="18"/>
                <w:color w:val="auto"/>
                <w:w w:val="90"/>
              </w:rPr>
              <w:t>) per share. This represents an immediate increase in as adjusted net tangible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book value of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5100" w:type="dxa"/>
            <w:vAlign w:val="bottom"/>
            <w:gridSpan w:val="7"/>
          </w:tcPr>
          <w:p>
            <w:pPr>
              <w:jc w:val="right"/>
              <w:ind w:right="50"/>
              <w:spacing w:after="0"/>
              <w:rPr>
                <w:sz w:val="20"/>
                <w:szCs w:val="20"/>
                <w:color w:val="auto"/>
              </w:rPr>
            </w:pPr>
            <w:r>
              <w:rPr>
                <w:rFonts w:ascii="Arial" w:cs="Arial" w:eastAsia="Arial" w:hAnsi="Arial"/>
                <w:sz w:val="18"/>
                <w:szCs w:val="18"/>
                <w:color w:val="auto"/>
                <w:w w:val="93"/>
              </w:rPr>
              <w:t>) per share to existing shareholders and an immediate dilution of $</w:t>
            </w:r>
          </w:p>
        </w:tc>
        <w:tc>
          <w:tcPr>
            <w:tcW w:w="880" w:type="dxa"/>
            <w:vAlign w:val="bottom"/>
          </w:tcPr>
          <w:p>
            <w:pPr>
              <w:ind w:left="260"/>
              <w:spacing w:after="0"/>
              <w:rPr>
                <w:sz w:val="20"/>
                <w:szCs w:val="20"/>
                <w:color w:val="auto"/>
              </w:rPr>
            </w:pPr>
            <w:r>
              <w:rPr>
                <w:rFonts w:ascii="Arial" w:cs="Arial" w:eastAsia="Arial" w:hAnsi="Arial"/>
                <w:sz w:val="18"/>
                <w:szCs w:val="18"/>
                <w:color w:val="auto"/>
              </w:rPr>
              <w:t>(CHF</w:t>
            </w:r>
          </w:p>
        </w:tc>
        <w:tc>
          <w:tcPr>
            <w:tcW w:w="3320" w:type="dxa"/>
            <w:vAlign w:val="bottom"/>
            <w:gridSpan w:val="5"/>
          </w:tcPr>
          <w:p>
            <w:pPr>
              <w:ind w:left="200"/>
              <w:spacing w:after="0"/>
              <w:rPr>
                <w:sz w:val="20"/>
                <w:szCs w:val="20"/>
                <w:color w:val="auto"/>
              </w:rPr>
            </w:pPr>
            <w:r>
              <w:rPr>
                <w:rFonts w:ascii="Arial" w:cs="Arial" w:eastAsia="Arial" w:hAnsi="Arial"/>
                <w:sz w:val="18"/>
                <w:szCs w:val="18"/>
                <w:color w:val="auto"/>
                <w:w w:val="91"/>
              </w:rPr>
              <w:t>) per share to investors participating in this</w:t>
            </w:r>
          </w:p>
        </w:tc>
      </w:tr>
      <w:tr>
        <w:trPr>
          <w:trHeight w:val="230"/>
        </w:trPr>
        <w:tc>
          <w:tcPr>
            <w:tcW w:w="3500" w:type="dxa"/>
            <w:vAlign w:val="bottom"/>
            <w:gridSpan w:val="4"/>
          </w:tcPr>
          <w:p>
            <w:pPr>
              <w:spacing w:after="0"/>
              <w:rPr>
                <w:sz w:val="20"/>
                <w:szCs w:val="20"/>
                <w:color w:val="auto"/>
              </w:rPr>
            </w:pPr>
            <w:r>
              <w:rPr>
                <w:rFonts w:ascii="Arial" w:cs="Arial" w:eastAsia="Arial" w:hAnsi="Arial"/>
                <w:sz w:val="18"/>
                <w:szCs w:val="18"/>
                <w:color w:val="auto"/>
              </w:rPr>
              <w:t>offering, as illustrated in the following table:</w:t>
            </w: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USD)</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CHF)</w:t>
            </w:r>
          </w:p>
        </w:tc>
      </w:tr>
      <w:tr>
        <w:trPr>
          <w:trHeight w:val="210"/>
        </w:trPr>
        <w:tc>
          <w:tcPr>
            <w:tcW w:w="35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5"/>
              </w:rPr>
              <w:t>Assumed initial public offering price per share</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6"/>
          </w:tcPr>
          <w:p>
            <w:pPr>
              <w:ind w:left="360"/>
              <w:spacing w:after="0"/>
              <w:rPr>
                <w:sz w:val="20"/>
                <w:szCs w:val="20"/>
                <w:color w:val="auto"/>
              </w:rPr>
            </w:pPr>
            <w:r>
              <w:rPr>
                <w:rFonts w:ascii="Arial" w:cs="Arial" w:eastAsia="Arial" w:hAnsi="Arial"/>
                <w:sz w:val="18"/>
                <w:szCs w:val="18"/>
                <w:color w:val="auto"/>
                <w:w w:val="92"/>
              </w:rPr>
              <w:t>Historical net tangible book value per share at June 30, 2016</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40" w:type="dxa"/>
            <w:vAlign w:val="bottom"/>
            <w:gridSpan w:val="2"/>
          </w:tcPr>
          <w:p>
            <w:pPr>
              <w:ind w:left="1700"/>
              <w:spacing w:after="0"/>
              <w:rPr>
                <w:sz w:val="20"/>
                <w:szCs w:val="20"/>
                <w:color w:val="auto"/>
              </w:rPr>
            </w:pPr>
            <w:r>
              <w:rPr>
                <w:rFonts w:ascii="Arial" w:cs="Arial" w:eastAsia="Arial" w:hAnsi="Arial"/>
                <w:sz w:val="18"/>
                <w:szCs w:val="18"/>
                <w:color w:val="auto"/>
              </w:rPr>
              <w:t>8.62</w:t>
            </w:r>
          </w:p>
        </w:tc>
        <w:tc>
          <w:tcPr>
            <w:tcW w:w="26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18"/>
                <w:szCs w:val="18"/>
                <w:color w:val="auto"/>
              </w:rPr>
            </w:pPr>
          </w:p>
        </w:tc>
      </w:tr>
      <w:tr>
        <w:trPr>
          <w:trHeight w:val="202"/>
        </w:trPr>
        <w:tc>
          <w:tcPr>
            <w:tcW w:w="10700" w:type="dxa"/>
            <w:vAlign w:val="bottom"/>
            <w:gridSpan w:val="13"/>
            <w:shd w:val="clear" w:color="auto" w:fill="CCEEFF"/>
          </w:tcPr>
          <w:p>
            <w:pPr>
              <w:ind w:left="360"/>
              <w:spacing w:after="0" w:line="201" w:lineRule="exact"/>
              <w:rPr>
                <w:sz w:val="20"/>
                <w:szCs w:val="20"/>
                <w:color w:val="auto"/>
              </w:rPr>
            </w:pPr>
            <w:r>
              <w:rPr>
                <w:rFonts w:ascii="Arial" w:cs="Arial" w:eastAsia="Arial" w:hAnsi="Arial"/>
                <w:sz w:val="18"/>
                <w:szCs w:val="18"/>
                <w:color w:val="auto"/>
              </w:rPr>
              <w:t>As adjusted net tangible book value per share at June 30, 2016, before giving effect to this offering but giving effect to the</w:t>
            </w: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10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w w:val="96"/>
              </w:rPr>
              <w:t>conversion of all outstanding preferred shares</w:t>
            </w:r>
          </w:p>
        </w:tc>
        <w:tc>
          <w:tcPr>
            <w:tcW w:w="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20"/>
                <w:szCs w:val="20"/>
                <w:color w:val="auto"/>
              </w:rPr>
            </w:pPr>
          </w:p>
        </w:tc>
      </w:tr>
      <w:tr>
        <w:trPr>
          <w:trHeight w:val="216"/>
        </w:trPr>
        <w:tc>
          <w:tcPr>
            <w:tcW w:w="10700" w:type="dxa"/>
            <w:vAlign w:val="bottom"/>
            <w:gridSpan w:val="13"/>
          </w:tcPr>
          <w:p>
            <w:pPr>
              <w:ind w:left="360"/>
              <w:spacing w:after="0"/>
              <w:rPr>
                <w:sz w:val="20"/>
                <w:szCs w:val="20"/>
                <w:color w:val="auto"/>
              </w:rPr>
            </w:pPr>
            <w:r>
              <w:rPr>
                <w:rFonts w:ascii="Arial" w:cs="Arial" w:eastAsia="Arial" w:hAnsi="Arial"/>
                <w:sz w:val="18"/>
                <w:szCs w:val="18"/>
                <w:color w:val="auto"/>
              </w:rPr>
              <w:t>Increase in as adjusted net tangible book value per share attributable to new investors purchasing shares in this offering</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20" w:type="dxa"/>
            <w:vAlign w:val="bottom"/>
            <w:gridSpan w:val="9"/>
            <w:shd w:val="clear" w:color="auto" w:fill="CCEEFF"/>
          </w:tcPr>
          <w:p>
            <w:pPr>
              <w:ind w:left="360"/>
              <w:spacing w:after="0"/>
              <w:rPr>
                <w:sz w:val="20"/>
                <w:szCs w:val="20"/>
                <w:color w:val="auto"/>
              </w:rPr>
            </w:pPr>
            <w:r>
              <w:rPr>
                <w:rFonts w:ascii="Arial" w:cs="Arial" w:eastAsia="Arial" w:hAnsi="Arial"/>
                <w:sz w:val="18"/>
                <w:szCs w:val="18"/>
                <w:color w:val="auto"/>
              </w:rPr>
              <w:t>As further adjusted net tangible book value per share after giving effect to this offering</w:t>
            </w:r>
          </w:p>
        </w:tc>
        <w:tc>
          <w:tcPr>
            <w:tcW w:w="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4860" w:type="dxa"/>
            <w:vAlign w:val="bottom"/>
            <w:gridSpan w:val="6"/>
          </w:tcPr>
          <w:p>
            <w:pPr>
              <w:ind w:left="360"/>
              <w:spacing w:after="0"/>
              <w:rPr>
                <w:sz w:val="20"/>
                <w:szCs w:val="20"/>
                <w:color w:val="auto"/>
              </w:rPr>
            </w:pPr>
            <w:r>
              <w:rPr>
                <w:rFonts w:ascii="Arial" w:cs="Arial" w:eastAsia="Arial" w:hAnsi="Arial"/>
                <w:sz w:val="18"/>
                <w:szCs w:val="18"/>
                <w:color w:val="auto"/>
                <w:w w:val="97"/>
              </w:rPr>
              <w:t>Dilution per share to investors participating in this offering</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4"/>
        </w:trPr>
        <w:tc>
          <w:tcPr>
            <w:tcW w:w="6320" w:type="dxa"/>
            <w:vAlign w:val="bottom"/>
            <w:gridSpan w:val="8"/>
          </w:tcPr>
          <w:p>
            <w:pPr>
              <w:ind w:left="46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(CHF</w:t>
            </w:r>
          </w:p>
        </w:tc>
        <w:tc>
          <w:tcPr>
            <w:tcW w:w="4200" w:type="dxa"/>
            <w:vAlign w:val="bottom"/>
            <w:gridSpan w:val="6"/>
          </w:tcPr>
          <w:p>
            <w:pPr>
              <w:ind w:left="120"/>
              <w:spacing w:after="0"/>
              <w:rPr>
                <w:sz w:val="20"/>
                <w:szCs w:val="20"/>
                <w:color w:val="auto"/>
              </w:rPr>
            </w:pPr>
            <w:r>
              <w:rPr>
                <w:rFonts w:ascii="Arial" w:cs="Arial" w:eastAsia="Arial" w:hAnsi="Arial"/>
                <w:sz w:val="18"/>
                <w:szCs w:val="18"/>
                <w:color w:val="auto"/>
                <w:w w:val="97"/>
              </w:rPr>
              <w:t>) per share would increase (decrease) our as further</w:t>
            </w:r>
          </w:p>
        </w:tc>
      </w:tr>
      <w:tr>
        <w:trPr>
          <w:trHeight w:val="216"/>
        </w:trPr>
        <w:tc>
          <w:tcPr>
            <w:tcW w:w="4100" w:type="dxa"/>
            <w:vAlign w:val="bottom"/>
            <w:gridSpan w:val="5"/>
          </w:tcPr>
          <w:p>
            <w:pPr>
              <w:spacing w:after="0"/>
              <w:rPr>
                <w:sz w:val="20"/>
                <w:szCs w:val="20"/>
                <w:color w:val="auto"/>
              </w:rPr>
            </w:pPr>
            <w:r>
              <w:rPr>
                <w:rFonts w:ascii="Arial" w:cs="Arial" w:eastAsia="Arial" w:hAnsi="Arial"/>
                <w:sz w:val="18"/>
                <w:szCs w:val="18"/>
                <w:color w:val="auto"/>
                <w:w w:val="98"/>
              </w:rPr>
              <w:t>adjusted net tangible book value by approximately $</w:t>
            </w:r>
          </w:p>
        </w:tc>
        <w:tc>
          <w:tcPr>
            <w:tcW w:w="760" w:type="dxa"/>
            <w:vAlign w:val="bottom"/>
          </w:tcPr>
          <w:p>
            <w:pPr>
              <w:ind w:left="80"/>
              <w:spacing w:after="0"/>
              <w:rPr>
                <w:sz w:val="20"/>
                <w:szCs w:val="20"/>
                <w:color w:val="auto"/>
              </w:rPr>
            </w:pPr>
            <w:r>
              <w:rPr>
                <w:rFonts w:ascii="Arial" w:cs="Arial" w:eastAsia="Arial" w:hAnsi="Arial"/>
                <w:sz w:val="18"/>
                <w:szCs w:val="18"/>
                <w:color w:val="auto"/>
              </w:rPr>
              <w:t>(CHF</w:t>
            </w:r>
          </w:p>
        </w:tc>
        <w:tc>
          <w:tcPr>
            <w:tcW w:w="2360" w:type="dxa"/>
            <w:vAlign w:val="bottom"/>
            <w:gridSpan w:val="3"/>
          </w:tcPr>
          <w:p>
            <w:pPr>
              <w:jc w:val="right"/>
              <w:ind w:right="50"/>
              <w:spacing w:after="0"/>
              <w:rPr>
                <w:sz w:val="20"/>
                <w:szCs w:val="20"/>
                <w:color w:val="auto"/>
              </w:rPr>
            </w:pPr>
            <w:r>
              <w:rPr>
                <w:rFonts w:ascii="Arial" w:cs="Arial" w:eastAsia="Arial" w:hAnsi="Arial"/>
                <w:sz w:val="18"/>
                <w:szCs w:val="18"/>
                <w:color w:val="auto"/>
                <w:w w:val="99"/>
              </w:rPr>
              <w:t>) million, or approximately $</w:t>
            </w:r>
          </w:p>
        </w:tc>
        <w:tc>
          <w:tcPr>
            <w:tcW w:w="880" w:type="dxa"/>
            <w:vAlign w:val="bottom"/>
          </w:tcPr>
          <w:p>
            <w:pPr>
              <w:ind w:left="280"/>
              <w:spacing w:after="0"/>
              <w:rPr>
                <w:sz w:val="20"/>
                <w:szCs w:val="20"/>
                <w:color w:val="auto"/>
              </w:rPr>
            </w:pPr>
            <w:r>
              <w:rPr>
                <w:rFonts w:ascii="Arial" w:cs="Arial" w:eastAsia="Arial" w:hAnsi="Arial"/>
                <w:sz w:val="18"/>
                <w:szCs w:val="18"/>
                <w:color w:val="auto"/>
              </w:rPr>
              <w:t>(CHF</w:t>
            </w:r>
          </w:p>
        </w:tc>
        <w:tc>
          <w:tcPr>
            <w:tcW w:w="3320" w:type="dxa"/>
            <w:vAlign w:val="bottom"/>
            <w:gridSpan w:val="5"/>
          </w:tcPr>
          <w:p>
            <w:pPr>
              <w:ind w:left="200"/>
              <w:spacing w:after="0"/>
              <w:rPr>
                <w:sz w:val="20"/>
                <w:szCs w:val="20"/>
                <w:color w:val="auto"/>
              </w:rPr>
            </w:pPr>
            <w:r>
              <w:rPr>
                <w:rFonts w:ascii="Arial" w:cs="Arial" w:eastAsia="Arial" w:hAnsi="Arial"/>
                <w:sz w:val="18"/>
                <w:szCs w:val="18"/>
                <w:color w:val="auto"/>
                <w:w w:val="96"/>
              </w:rPr>
              <w:t>) per share, and the dilution per share to</w:t>
            </w:r>
          </w:p>
        </w:tc>
      </w:tr>
      <w:tr>
        <w:trPr>
          <w:trHeight w:val="230"/>
        </w:trPr>
        <w:tc>
          <w:tcPr>
            <w:tcW w:w="3500" w:type="dxa"/>
            <w:vAlign w:val="bottom"/>
            <w:gridSpan w:val="4"/>
          </w:tcPr>
          <w:p>
            <w:pPr>
              <w:spacing w:after="0"/>
              <w:rPr>
                <w:sz w:val="20"/>
                <w:szCs w:val="20"/>
                <w:color w:val="auto"/>
              </w:rPr>
            </w:pPr>
            <w:r>
              <w:rPr>
                <w:rFonts w:ascii="Arial" w:cs="Arial" w:eastAsia="Arial" w:hAnsi="Arial"/>
                <w:sz w:val="18"/>
                <w:szCs w:val="18"/>
                <w:color w:val="auto"/>
              </w:rPr>
              <w:t>investors in this offering by approximately $</w:t>
            </w:r>
          </w:p>
        </w:tc>
        <w:tc>
          <w:tcPr>
            <w:tcW w:w="600" w:type="dxa"/>
            <w:vAlign w:val="bottom"/>
          </w:tcPr>
          <w:p>
            <w:pPr>
              <w:ind w:left="120"/>
              <w:spacing w:after="0"/>
              <w:rPr>
                <w:sz w:val="20"/>
                <w:szCs w:val="20"/>
                <w:color w:val="auto"/>
              </w:rPr>
            </w:pPr>
            <w:r>
              <w:rPr>
                <w:rFonts w:ascii="Arial" w:cs="Arial" w:eastAsia="Arial" w:hAnsi="Arial"/>
                <w:sz w:val="18"/>
                <w:szCs w:val="18"/>
                <w:color w:val="auto"/>
              </w:rPr>
              <w:t>(CHF</w:t>
            </w:r>
          </w:p>
        </w:tc>
        <w:tc>
          <w:tcPr>
            <w:tcW w:w="7320" w:type="dxa"/>
            <w:vAlign w:val="bottom"/>
            <w:gridSpan w:val="10"/>
          </w:tcPr>
          <w:p>
            <w:pPr>
              <w:ind w:left="340"/>
              <w:spacing w:after="0"/>
              <w:rPr>
                <w:sz w:val="20"/>
                <w:szCs w:val="20"/>
                <w:color w:val="auto"/>
              </w:rPr>
            </w:pPr>
            <w:r>
              <w:rPr>
                <w:rFonts w:ascii="Arial" w:cs="Arial" w:eastAsia="Arial" w:hAnsi="Arial"/>
                <w:sz w:val="18"/>
                <w:szCs w:val="18"/>
                <w:color w:val="auto"/>
                <w:w w:val="91"/>
              </w:rPr>
              <w:t>) per share, assuming that the number of shares offered by us, as set forth on the cover page of</w:t>
            </w:r>
          </w:p>
        </w:tc>
      </w:tr>
    </w:tbl>
    <w:p>
      <w:pPr>
        <w:ind w:right="280"/>
        <w:spacing w:after="0" w:line="281" w:lineRule="auto"/>
        <w:rPr>
          <w:sz w:val="20"/>
          <w:szCs w:val="20"/>
          <w:color w:val="auto"/>
        </w:rPr>
      </w:pPr>
      <w:r>
        <w:rPr>
          <w:rFonts w:ascii="Arial" w:cs="Arial" w:eastAsia="Arial" w:hAnsi="Arial"/>
          <w:sz w:val="16"/>
          <w:szCs w:val="16"/>
          <w:color w:val="auto"/>
        </w:rPr>
        <w:t>this prospectus, remain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1" w:lineRule="exact"/>
        <w:rPr>
          <w:sz w:val="20"/>
          <w:szCs w:val="20"/>
          <w:color w:val="auto"/>
        </w:rPr>
      </w:pPr>
    </w:p>
    <w:p>
      <w:pPr>
        <w:spacing w:after="0"/>
        <w:tabs>
          <w:tab w:leader="none" w:pos="5180" w:val="left"/>
          <w:tab w:leader="none" w:pos="6000" w:val="left"/>
          <w:tab w:leader="none" w:pos="8480" w:val="left"/>
          <w:tab w:leader="none" w:pos="9300" w:val="left"/>
        </w:tabs>
        <w:rPr>
          <w:sz w:val="20"/>
          <w:szCs w:val="20"/>
          <w:color w:val="auto"/>
        </w:rPr>
      </w:pPr>
      <w:r>
        <w:rPr>
          <w:rFonts w:ascii="Arial" w:cs="Arial" w:eastAsia="Arial" w:hAnsi="Arial"/>
          <w:sz w:val="18"/>
          <w:szCs w:val="18"/>
          <w:color w:val="auto"/>
        </w:rPr>
        <w:t>our as further adjusted net tangible book value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 million, or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5"/>
          <w:szCs w:val="15"/>
          <w:color w:val="auto"/>
        </w:rPr>
        <w:t>) per share, and decrease the</w:t>
      </w:r>
    </w:p>
    <w:p>
      <w:pPr>
        <w:spacing w:after="0" w:line="9" w:lineRule="exact"/>
        <w:rPr>
          <w:sz w:val="20"/>
          <w:szCs w:val="20"/>
          <w:color w:val="auto"/>
        </w:rPr>
      </w:pPr>
    </w:p>
    <w:p>
      <w:pPr>
        <w:spacing w:after="0"/>
        <w:tabs>
          <w:tab w:leader="none" w:pos="5920" w:val="left"/>
          <w:tab w:leader="none" w:pos="6740" w:val="left"/>
        </w:tabs>
        <w:rPr>
          <w:sz w:val="20"/>
          <w:szCs w:val="20"/>
          <w:color w:val="auto"/>
        </w:rPr>
      </w:pPr>
      <w:r>
        <w:rPr>
          <w:rFonts w:ascii="Arial" w:cs="Arial" w:eastAsia="Arial" w:hAnsi="Arial"/>
          <w:sz w:val="18"/>
          <w:szCs w:val="18"/>
          <w:color w:val="auto"/>
        </w:rPr>
        <w:t>as adjusted dilution per share to investors in this offering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assuming an initial public offering price of $</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 The as further adjusted information discussed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above is illustrative only and will be adjusted based on the actual initial public offering price and other terms of this offering determined at pricing.</w:t>
      </w:r>
    </w:p>
    <w:p>
      <w:pPr>
        <w:spacing w:after="0" w:line="22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as at June 30, 2016 and the purchasers of shares in this offering with respect to the number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shares purchased from us, the total consideration paid, which includes net proceeds received from the issuance of common and preferred stock and cash received from the exercise of stock options.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Existing stockholders before this offering Investors participating in this offering</w:t>
      </w: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Total Consideration</w:t>
            </w:r>
          </w:p>
        </w:tc>
        <w:tc>
          <w:tcPr>
            <w:tcW w:w="198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gridSpan w:val="4"/>
            <w:vMerge w:val="restart"/>
          </w:tcPr>
          <w:p>
            <w:pPr>
              <w:jc w:val="right"/>
              <w:ind w:right="770"/>
              <w:spacing w:after="0"/>
              <w:rPr>
                <w:sz w:val="20"/>
                <w:szCs w:val="20"/>
                <w:color w:val="auto"/>
              </w:rPr>
            </w:pPr>
            <w:r>
              <w:rPr>
                <w:rFonts w:ascii="Arial" w:cs="Arial" w:eastAsia="Arial" w:hAnsi="Arial"/>
                <w:sz w:val="14"/>
                <w:szCs w:val="14"/>
                <w:b w:val="1"/>
                <w:bCs w:val="1"/>
                <w:color w:val="auto"/>
              </w:rPr>
              <w:t>Total Shares</w:t>
            </w:r>
          </w:p>
        </w:tc>
        <w:tc>
          <w:tcPr>
            <w:tcW w:w="1960" w:type="dxa"/>
            <w:vAlign w:val="bottom"/>
            <w:gridSpan w:val="4"/>
            <w:vMerge w:val="continue"/>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196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(USD ’000)</w:t>
            </w:r>
          </w:p>
        </w:tc>
        <w:tc>
          <w:tcPr>
            <w:tcW w:w="198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(CHF ’000)</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49,391,542</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127,973</w:t>
            </w: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124,367</w:t>
            </w: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w w:val="98"/>
              </w:rPr>
              <w:t>100.0%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-462280</wp:posOffset>
            </wp:positionV>
            <wp:extent cx="72466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-162560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p>
      <w:pPr>
        <w:spacing w:after="0" w:line="15" w:lineRule="exact"/>
        <w:rPr>
          <w:sz w:val="20"/>
          <w:szCs w:val="20"/>
          <w:color w:val="auto"/>
        </w:rPr>
      </w:pPr>
    </w:p>
    <w:p>
      <w:pPr>
        <w:ind w:left="460"/>
        <w:spacing w:after="0"/>
        <w:tabs>
          <w:tab w:leader="none" w:pos="10320" w:val="left"/>
        </w:tabs>
        <w:rPr>
          <w:sz w:val="20"/>
          <w:szCs w:val="20"/>
          <w:color w:val="auto"/>
        </w:rPr>
      </w:pPr>
      <w:r>
        <w:rPr>
          <w:rFonts w:ascii="Arial" w:cs="Arial" w:eastAsia="Arial" w:hAnsi="Arial"/>
          <w:sz w:val="18"/>
          <w:szCs w:val="18"/>
          <w:color w:val="auto"/>
        </w:rPr>
        <w:t>Sales by the selling shareholder in this offering will cause the number of shares held by existing shareholders to be reduced to</w:t>
      </w:r>
      <w:r>
        <w:rPr>
          <w:sz w:val="20"/>
          <w:szCs w:val="20"/>
          <w:color w:val="auto"/>
        </w:rPr>
        <w:tab/>
      </w:r>
      <w:r>
        <w:rPr>
          <w:rFonts w:ascii="Arial" w:cs="Arial" w:eastAsia="Arial" w:hAnsi="Arial"/>
          <w:sz w:val="15"/>
          <w:szCs w:val="15"/>
          <w:color w:val="auto"/>
        </w:rPr>
        <w:t>shares, 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of the total number of shares of our common stock outstanding after this offering, and will increase the number of shares held by new investors to</w:t>
      </w:r>
    </w:p>
    <w:p>
      <w:pPr>
        <w:spacing w:after="0" w:line="21" w:lineRule="exact"/>
        <w:rPr>
          <w:sz w:val="20"/>
          <w:szCs w:val="20"/>
          <w:color w:val="auto"/>
        </w:rPr>
      </w:pPr>
    </w:p>
    <w:p>
      <w:pPr>
        <w:ind w:left="780"/>
        <w:spacing w:after="0"/>
        <w:tabs>
          <w:tab w:leader="none" w:pos="18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 of the total number of common shares outstanding after this offering, excluding any shares purchased by any existing holders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offering.</w:t>
      </w:r>
    </w:p>
    <w:p>
      <w:pPr>
        <w:spacing w:after="0" w:line="211" w:lineRule="exact"/>
        <w:rPr>
          <w:sz w:val="20"/>
          <w:szCs w:val="20"/>
          <w:color w:val="auto"/>
        </w:rPr>
      </w:pPr>
    </w:p>
    <w:p>
      <w:pPr>
        <w:ind w:left="460"/>
        <w:spacing w:after="0"/>
        <w:tabs>
          <w:tab w:leader="none" w:pos="6860" w:val="left"/>
          <w:tab w:leader="none" w:pos="804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would increase (decrease) the total</w:t>
      </w:r>
    </w:p>
    <w:p>
      <w:pPr>
        <w:spacing w:after="0" w:line="23" w:lineRule="exact"/>
        <w:rPr>
          <w:sz w:val="20"/>
          <w:szCs w:val="20"/>
          <w:color w:val="auto"/>
        </w:rPr>
      </w:pPr>
    </w:p>
    <w:p>
      <w:pPr>
        <w:spacing w:after="0"/>
        <w:tabs>
          <w:tab w:leader="none" w:pos="7920" w:val="left"/>
          <w:tab w:leader="none" w:pos="9100" w:val="left"/>
        </w:tabs>
        <w:rPr>
          <w:sz w:val="20"/>
          <w:szCs w:val="20"/>
          <w:color w:val="auto"/>
        </w:rPr>
      </w:pPr>
      <w:r>
        <w:rPr>
          <w:rFonts w:ascii="Arial" w:cs="Arial" w:eastAsia="Arial" w:hAnsi="Arial"/>
          <w:sz w:val="18"/>
          <w:szCs w:val="18"/>
          <w:color w:val="auto"/>
        </w:rPr>
        <w:t>consideration paid to us by new investors and total consideration paid to us by all shareholders by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that the</w:t>
      </w:r>
    </w:p>
    <w:p>
      <w:pPr>
        <w:spacing w:after="0" w:line="9"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w:t>
      </w:r>
    </w:p>
    <w:p>
      <w:pPr>
        <w:spacing w:after="0" w:line="1" w:lineRule="exact"/>
        <w:rPr>
          <w:sz w:val="20"/>
          <w:szCs w:val="20"/>
          <w:color w:val="auto"/>
        </w:rPr>
      </w:pPr>
    </w:p>
    <w:p>
      <w:pPr>
        <w:spacing w:after="0"/>
        <w:tabs>
          <w:tab w:leader="none" w:pos="9380" w:val="left"/>
          <w:tab w:leader="none" w:pos="10560" w:val="left"/>
        </w:tabs>
        <w:rPr>
          <w:sz w:val="20"/>
          <w:szCs w:val="20"/>
          <w:color w:val="auto"/>
        </w:rPr>
      </w:pPr>
      <w:r>
        <w:rPr>
          <w:rFonts w:ascii="Arial" w:cs="Arial" w:eastAsia="Arial" w:hAnsi="Arial"/>
          <w:sz w:val="18"/>
          <w:szCs w:val="18"/>
          <w:color w:val="auto"/>
        </w:rPr>
        <w:t>total consideration paid to us by new investors and total consideration paid to us by all shareholders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7"/>
          <w:szCs w:val="17"/>
          <w:color w:val="auto"/>
        </w:rPr>
        <w:t>) million,</w:t>
      </w:r>
    </w:p>
    <w:p>
      <w:pPr>
        <w:spacing w:after="0" w:line="9" w:lineRule="exact"/>
        <w:rPr>
          <w:sz w:val="20"/>
          <w:szCs w:val="20"/>
          <w:color w:val="auto"/>
        </w:rPr>
      </w:pPr>
    </w:p>
    <w:p>
      <w:pPr>
        <w:spacing w:after="0"/>
        <w:tabs>
          <w:tab w:leader="none" w:pos="3960" w:val="left"/>
          <w:tab w:leader="none" w:pos="4960" w:val="left"/>
        </w:tabs>
        <w:rPr>
          <w:sz w:val="20"/>
          <w:szCs w:val="20"/>
          <w:color w:val="auto"/>
        </w:rPr>
      </w:pPr>
      <w:r>
        <w:rPr>
          <w:rFonts w:ascii="Arial" w:cs="Arial" w:eastAsia="Arial" w:hAnsi="Arial"/>
          <w:sz w:val="18"/>
          <w:szCs w:val="18"/>
          <w:color w:val="auto"/>
        </w:rPr>
        <w:t>assuming an initial public 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by us.</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calculations above are based on 49,391,542 shares outstanding as at June 30, 2016 after giving effect to the conversion of all outstanding shares of preferred stock into common shares and exclude 2,196,250 of our common shares issuable upon the exercise of vested and unvested options outstanding under our existing equity incentive plans at an exercise price of CHF 0.14548 per common share.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giving effect to the sale of shares in this offering by us and the selling shareholder, if the underwriters exercise in full their option to purchase</w:t>
      </w:r>
    </w:p>
    <w:p>
      <w:pPr>
        <w:spacing w:after="0" w:line="35" w:lineRule="exact"/>
        <w:rPr>
          <w:sz w:val="20"/>
          <w:szCs w:val="20"/>
          <w:color w:val="auto"/>
        </w:rPr>
      </w:pPr>
    </w:p>
    <w:p>
      <w:pPr>
        <w:ind w:left="360" w:right="180" w:hanging="359"/>
        <w:spacing w:after="0" w:line="261" w:lineRule="auto"/>
        <w:rPr>
          <w:sz w:val="20"/>
          <w:szCs w:val="20"/>
          <w:color w:val="auto"/>
        </w:rPr>
      </w:pPr>
      <w:r>
        <w:rPr>
          <w:rFonts w:ascii="Arial" w:cs="Arial" w:eastAsia="Arial" w:hAnsi="Arial"/>
          <w:sz w:val="18"/>
          <w:szCs w:val="18"/>
          <w:color w:val="auto"/>
        </w:rPr>
        <w:t>additional shares from the selling shareholder, our existing shareholders would own approximately</w:t>
      </w:r>
      <w:r>
        <w:rPr>
          <w:sz w:val="20"/>
          <w:szCs w:val="20"/>
          <w:color w:val="auto"/>
        </w:rPr>
        <w:t xml:space="preserve"> </w:t>
      </w:r>
      <w:r>
        <w:rPr>
          <w:rFonts w:ascii="Arial" w:cs="Arial" w:eastAsia="Arial" w:hAnsi="Arial"/>
          <w:sz w:val="18"/>
          <w:szCs w:val="18"/>
          <w:color w:val="auto"/>
        </w:rPr>
        <w:t>% and our new investors would own approximately % of the total number of common shares outstanding after this offering, excluding any shares purchased by any existing holders in this offering.</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August 26, 2016, the exchange rate as reported by the U.S. Federal Reserve Bank was CHF 1.0290 to $1.00. In this prospectus, translations from CHF to U.S. dollars were made at this rate.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2011</w:t>
            </w:r>
          </w:p>
        </w:tc>
        <w:tc>
          <w:tcPr>
            <w:tcW w:w="316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2013</w:t>
            </w:r>
          </w:p>
        </w:tc>
        <w:tc>
          <w:tcPr>
            <w:tcW w:w="316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2015</w:t>
            </w:r>
          </w:p>
        </w:tc>
        <w:tc>
          <w:tcPr>
            <w:tcW w:w="316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December 31, 2015</w:t>
            </w:r>
          </w:p>
        </w:tc>
        <w:tc>
          <w:tcPr>
            <w:tcW w:w="316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0.9951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0.9823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January 29, 2016</w:t>
            </w:r>
          </w:p>
        </w:tc>
        <w:tc>
          <w:tcPr>
            <w:tcW w:w="3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1.0082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February 29, 2016</w:t>
            </w:r>
          </w:p>
        </w:tc>
        <w:tc>
          <w:tcPr>
            <w:tcW w:w="3160" w:type="dxa"/>
            <w:vAlign w:val="bottom"/>
            <w:gridSpan w:val="2"/>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0.9920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3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0.9811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April 30, 2016</w:t>
            </w:r>
          </w:p>
        </w:tc>
        <w:tc>
          <w:tcPr>
            <w:tcW w:w="3160" w:type="dxa"/>
            <w:vAlign w:val="bottom"/>
            <w:gridSpan w:val="2"/>
          </w:tcPr>
          <w:p>
            <w:pPr>
              <w:jc w:val="right"/>
              <w:ind w:right="168"/>
              <w:spacing w:after="0"/>
              <w:rPr>
                <w:sz w:val="20"/>
                <w:szCs w:val="20"/>
                <w:color w:val="auto"/>
              </w:rPr>
            </w:pPr>
            <w:r>
              <w:rPr>
                <w:rFonts w:ascii="Arial" w:cs="Arial" w:eastAsia="Arial" w:hAnsi="Arial"/>
                <w:sz w:val="18"/>
                <w:szCs w:val="18"/>
                <w:color w:val="auto"/>
              </w:rPr>
              <w:t>0.9598</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0.9634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May 31, 2016</w:t>
            </w:r>
          </w:p>
        </w:tc>
        <w:tc>
          <w:tcPr>
            <w:tcW w:w="3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0.9916</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0.9777</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June 30, 2016</w:t>
            </w:r>
          </w:p>
        </w:tc>
        <w:tc>
          <w:tcPr>
            <w:tcW w:w="3160" w:type="dxa"/>
            <w:vAlign w:val="bottom"/>
            <w:gridSpan w:val="2"/>
          </w:tcPr>
          <w:p>
            <w:pPr>
              <w:jc w:val="right"/>
              <w:ind w:right="168"/>
              <w:spacing w:after="0"/>
              <w:rPr>
                <w:sz w:val="20"/>
                <w:szCs w:val="20"/>
                <w:color w:val="auto"/>
              </w:rPr>
            </w:pPr>
            <w:r>
              <w:rPr>
                <w:rFonts w:ascii="Arial" w:cs="Arial" w:eastAsia="Arial" w:hAnsi="Arial"/>
                <w:sz w:val="18"/>
                <w:szCs w:val="18"/>
                <w:color w:val="auto"/>
              </w:rPr>
              <w:t>0.9792</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0.9695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0.9566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0.9902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July 31, 2016</w:t>
            </w:r>
          </w:p>
        </w:tc>
        <w:tc>
          <w:tcPr>
            <w:tcW w:w="3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0.9690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0.9830</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0.9690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0.9936</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August 31, 2016 (through August 26, 2016)</w:t>
            </w:r>
          </w:p>
        </w:tc>
        <w:tc>
          <w:tcPr>
            <w:tcW w:w="3160" w:type="dxa"/>
            <w:vAlign w:val="bottom"/>
            <w:gridSpan w:val="2"/>
          </w:tcPr>
          <w:p>
            <w:pPr>
              <w:jc w:val="right"/>
              <w:ind w:right="168"/>
              <w:spacing w:after="0"/>
              <w:rPr>
                <w:sz w:val="20"/>
                <w:szCs w:val="20"/>
                <w:color w:val="auto"/>
              </w:rPr>
            </w:pPr>
            <w:r>
              <w:rPr>
                <w:rFonts w:ascii="Arial" w:cs="Arial" w:eastAsia="Arial" w:hAnsi="Arial"/>
                <w:sz w:val="18"/>
                <w:szCs w:val="18"/>
                <w:color w:val="auto"/>
              </w:rPr>
              <w:t>0.9718</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0.9696</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0.9576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0.9838</w:t>
            </w:r>
          </w:p>
        </w:tc>
        <w:tc>
          <w:tcPr>
            <w:tcW w:w="0" w:type="dxa"/>
            <w:vAlign w:val="bottom"/>
          </w:tcPr>
          <w:p>
            <w:pPr>
              <w:spacing w:after="0"/>
              <w:rPr>
                <w:sz w:val="1"/>
                <w:szCs w:val="1"/>
                <w:color w:val="auto"/>
              </w:rPr>
            </w:pPr>
          </w:p>
        </w:tc>
      </w:tr>
      <w:tr>
        <w:trPr>
          <w:trHeight w:val="350"/>
        </w:trPr>
        <w:tc>
          <w:tcPr>
            <w:tcW w:w="4160" w:type="dxa"/>
            <w:vAlign w:val="bottom"/>
          </w:tcPr>
          <w:p>
            <w:pPr>
              <w:spacing w:after="0"/>
              <w:rPr>
                <w:sz w:val="24"/>
                <w:szCs w:val="24"/>
                <w:color w:val="auto"/>
              </w:rPr>
            </w:pPr>
          </w:p>
        </w:tc>
        <w:tc>
          <w:tcPr>
            <w:tcW w:w="222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tables summarize our financial data as of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financial data as at June 30, 2016 and for the six months ended June 30, 2016 and 2015 have been derived from our unaudited interim condensed financial statements included elsewhere in this prospectus. The unaudited interim condensed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0" w:type="dxa"/>
            <w:vAlign w:val="bottom"/>
            <w:gridSpan w:val="3"/>
          </w:tcPr>
          <w:p>
            <w:pPr>
              <w:jc w:val="center"/>
              <w:ind w:left="755"/>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2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0"/>
                <w:szCs w:val="10"/>
                <w:color w:val="auto"/>
              </w:rPr>
            </w:pPr>
          </w:p>
        </w:tc>
        <w:tc>
          <w:tcPr>
            <w:tcW w:w="2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(7,190)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result—net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to compute earnings per share basic</w:t>
            </w:r>
            <w:r>
              <w:rPr>
                <w:rFonts w:ascii="Arial" w:cs="Arial" w:eastAsia="Arial" w:hAnsi="Arial"/>
                <w:sz w:val="15"/>
                <w:szCs w:val="15"/>
                <w:color w:val="auto"/>
                <w:w w:val="99"/>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42,725,207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43,412,250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Weighted-average number of shares used to compute earnings per share fully diluted</w:t>
            </w:r>
            <w:r>
              <w:rPr>
                <w:rFonts w:ascii="Arial" w:cs="Arial" w:eastAsia="Arial" w:hAnsi="Arial"/>
                <w:sz w:val="15"/>
                <w:szCs w:val="15"/>
                <w:color w:val="auto"/>
                <w:w w:val="92"/>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45,845,283</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46,043,198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6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October 23, 2015, and these preferred shares will be converted on a one-for-one basis upon the closing of this offering, but does not give effect to the CS AG Share Issuance, as described in Note 7 (Other current liabilities) of our unaudited interim condensed financial statements as at and for the six months ended June 30, 2016 and June 30, 2015 included elsewhere in this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82,377</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(33,825)</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90,542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124" w:lineRule="exact"/>
        <w:rPr>
          <w:sz w:val="20"/>
          <w:szCs w:val="20"/>
          <w:color w:val="auto"/>
        </w:rPr>
      </w:pPr>
    </w:p>
    <w:p>
      <w:pPr>
        <w:jc w:val="both"/>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and had accumulated losses of CHF 33.8 million as of June 30,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45 million from Genentech including a milestone payment of CHF 14.0 million upon the commencement of the Phase 1 clinical study, which we received in July 2016. In addition to milestones, we will be eligible to receive royalties on sales at a percentage rate ranging from the mid-single digits to low double digits.</w:t>
      </w:r>
    </w:p>
    <w:p>
      <w:pPr>
        <w:spacing w:after="0" w:line="17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 research contribution of CHF 1.5 million and a CHF 4.9 million clinical milestone payment. The total future payments that we would be entitled to under the agreement for clinical milestones amounts to CHF 77.1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1.5-year period. We recognize revenues from this grant on a straight line basis over the life of the grant.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3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0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manufacturing costs related to research and development, by major development program for the periods covered by this “Management’s Discussion and Analysis of Financial Condition and Results of Operations” section. These research and development costs exclude employment costs, regulatory, quality assurance and intellectual property costs. With the exception of ACI-35, research costs that are subject to collaboration agreements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left="315"/>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ind w:left="40"/>
              <w:spacing w:after="0" w:line="133" w:lineRule="exact"/>
              <w:rPr>
                <w:sz w:val="20"/>
                <w:szCs w:val="20"/>
                <w:color w:val="auto"/>
              </w:rPr>
            </w:pPr>
            <w:r>
              <w:rPr>
                <w:rFonts w:ascii="Arial" w:cs="Arial" w:eastAsia="Arial" w:hAnsi="Arial"/>
                <w:sz w:val="14"/>
                <w:szCs w:val="14"/>
                <w:b w:val="1"/>
                <w:bCs w:val="1"/>
                <w:color w:val="auto"/>
                <w:w w:val="96"/>
              </w:rPr>
              <w:t>(in CHF thousands)</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4"/>
              </w:rPr>
              <w:t>(in CHF thousands)</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1,292</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ACI-35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2,486</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1,253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1,233</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3,611</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554</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1,365</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1,495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460" w:type="dxa"/>
            <w:vAlign w:val="bottom"/>
          </w:tcPr>
          <w:p>
            <w:pPr>
              <w:jc w:val="right"/>
              <w:spacing w:after="0"/>
              <w:rPr>
                <w:sz w:val="20"/>
                <w:szCs w:val="20"/>
                <w:color w:val="auto"/>
              </w:rPr>
            </w:pPr>
            <w:r>
              <w:rPr>
                <w:rFonts w:ascii="Arial" w:cs="Arial" w:eastAsia="Arial" w:hAnsi="Arial"/>
                <w:sz w:val="18"/>
                <w:szCs w:val="18"/>
                <w:color w:val="auto"/>
              </w:rPr>
              <w:t>535</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221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w w:val="93"/>
              </w:rPr>
              <w:t>757</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1,315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6,542</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3,288</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3,254</w:t>
            </w:r>
          </w:p>
        </w:tc>
        <w:tc>
          <w:tcPr>
            <w:tcW w:w="340" w:type="dxa"/>
            <w:vAlign w:val="bottom"/>
          </w:tcPr>
          <w:p>
            <w:pPr>
              <w:spacing w:after="0"/>
              <w:rPr>
                <w:sz w:val="19"/>
                <w:szCs w:val="19"/>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8,470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8,325</w:t>
            </w:r>
          </w:p>
        </w:tc>
        <w:tc>
          <w:tcPr>
            <w:tcW w:w="4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Six Months Ended June 30, 2016 and June 30,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9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0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20,135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14,247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135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20,451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14,401</w:t>
            </w:r>
          </w:p>
        </w:tc>
        <w:tc>
          <w:tcPr>
            <w:tcW w:w="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Total revenues rose to CHF 20.5 million for the six months ended June 30, 2016 from CHF 14.4 million for the six months ended June 30, 2015, an increase of CHF 6.1 million. The increase in revenues was principally attributable to an increase in collaboration revenues. Specifically, in the first half of 2016, pursuant to the collaboration agreement with Janssen for ACI-35, we received a payment of CHF 1.5 million in January 2016 to cover part of our research costs associated with this program and a CHF 4.9 million milestone payment. In addition, in June we recognized revenues of CHF 14.0 million related to achieving a clinical milestone in our collaboration on the anti-tau antibody program with Genentech. The CHF 4.9 million and CHF 14.0 million milestone payments are non-refundable and there is no further performance obligation and, as a result, we recognized the amounts as revenues. As there is a performance obligation to the end of the Phase 1b clinical study which we expect will be completed in late 2016, we are recognizing the revenues related to the Janssen CHF 1.5 million research contribution on a straight line basis through December 31,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six months ended June 30, 2016 and 2015:</w:t>
      </w:r>
    </w:p>
    <w:tbl>
      <w:tblPr>
        <w:tblLayout w:type="fixed"/>
        <w:tblInd w:w="0" w:type="dxa"/>
        <w:tblCellMar>
          <w:top w:w="0" w:type="dxa"/>
          <w:left w:w="0" w:type="dxa"/>
          <w:bottom w:w="0" w:type="dxa"/>
          <w:right w:w="0" w:type="dxa"/>
        </w:tblCellMar>
      </w:tblP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56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200" w:type="dxa"/>
            <w:vAlign w:val="bottom"/>
          </w:tcPr>
          <w:p>
            <w:pPr>
              <w:spacing w:after="0"/>
              <w:rPr>
                <w:sz w:val="11"/>
                <w:szCs w:val="11"/>
                <w:color w:val="auto"/>
              </w:rPr>
            </w:pPr>
          </w:p>
        </w:tc>
        <w:tc>
          <w:tcPr>
            <w:tcW w:w="2120" w:type="dxa"/>
            <w:vAlign w:val="bottom"/>
            <w:tcBorders>
              <w:top w:val="single" w:sz="8" w:color="auto"/>
            </w:tcBorders>
            <w:gridSpan w:val="6"/>
          </w:tcPr>
          <w:p>
            <w:pPr>
              <w:jc w:val="right"/>
              <w:ind w:right="374"/>
              <w:spacing w:after="0" w:line="133" w:lineRule="exact"/>
              <w:rPr>
                <w:sz w:val="20"/>
                <w:szCs w:val="20"/>
                <w:color w:val="auto"/>
              </w:rPr>
            </w:pPr>
            <w:r>
              <w:rPr>
                <w:rFonts w:ascii="Arial" w:cs="Arial" w:eastAsia="Arial" w:hAnsi="Arial"/>
                <w:sz w:val="14"/>
                <w:szCs w:val="14"/>
                <w:b w:val="1"/>
                <w:bCs w:val="1"/>
                <w:color w:val="auto"/>
              </w:rPr>
              <w:t>(in CHF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3,271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3,038</w:t>
            </w:r>
          </w:p>
        </w:tc>
        <w:tc>
          <w:tcPr>
            <w:tcW w:w="3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11,018</w:t>
            </w:r>
          </w:p>
        </w:tc>
        <w:tc>
          <w:tcPr>
            <w:tcW w:w="3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7,190</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20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Research and development expenses increased to CHF 11.0 million for the six months ended June 30, 2016 from CHF 7.2 million for the six months ended June 30, 2015, an increase of CHF 3.8 million. The significant increase in research and development costs is attributable to three key factors:</w:t>
      </w:r>
    </w:p>
    <w:p>
      <w:pPr>
        <w:jc w:val="both"/>
        <w:ind w:right="260" w:firstLine="8"/>
        <w:spacing w:after="0" w:line="255" w:lineRule="auto"/>
        <w:tabs>
          <w:tab w:leader="none" w:pos="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expenditures on direct research and development costs totaling CHF 3.2 million due principally to increased expenditures on ACI-35, ACI-24 and our new discovery programs, (ii) increased expenditures on manufacturing and quality assurance and increased regulatory costs, and (iii) greater wage expenses due to additional headcount in our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research and development team. Pursuant to our collaboration agreement with Janssen for ACI-35, we committed to spend a total of CHF 13.8 million over a two-year period starting in January 2015 to help bring ACI-35 to the end of the Phase 1b clinical trial. Because the scope of the Phase 1b clinical trial was not agreed to until mid 2015, we spent less than CHF 1.3 million, excluding wages, on research and development activities related to ACI-35 in the first half of 2015. In contrast, in the six months period ended June 30, 2016, research and development expenses totalled CHF 2.5 million, excluding wages. Similarly, during the first quarter of 2016, we spent CHF 1.9 million on the ACI-24 programs, as compared to CHF 0.6 million for the first six months ended June 30, 2015 while more than doubling the outlay on R&amp;D expenditures on new discovery programs from CHF 0.4 million in the first half of 2015 to</w:t>
      </w:r>
    </w:p>
    <w:p>
      <w:pPr>
        <w:spacing w:after="0" w:line="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CHF 1.1 million in the first half of 2016. As we are in the process of transitioning from an early stage development company to a more mature company, we are having to make substantial investments to upgrade and improve our manufacturing infrastructure. As a result, in the six month period ended June 30, 2016 we spent over CHF 2.0 million on manufacturing related initiatives, as compared to the CHF 0.8 million we spend in the six months period ended June 30, 2015. We have added a total of nine employees to our research and development team which has resulted in our wages and share based compensation attributable to research and development staff rising to CHF 3.3 million for the first six months of 2016 from CHF 3.0 million for the same period in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For the Six</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7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Months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Ended June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46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(in CHF thousands)</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1,061</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1,689</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756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2016 our general and administrative expenses totaled CHF 2.8 million, up CHF 1.0 million from the CHF</w:t>
      </w:r>
    </w:p>
    <w:p>
      <w:pPr>
        <w:spacing w:after="0" w:line="35"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color w:val="auto"/>
        </w:rPr>
        <w:t>1.7 million we incurred during the six months ended June 30, 2015. The increase is due primarily with increased wage costs and information technology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Ended 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4"/>
          </w:tcPr>
          <w:p>
            <w:pPr>
              <w:jc w:val="right"/>
              <w:ind w:right="394"/>
              <w:spacing w:after="0" w:line="119" w:lineRule="exact"/>
              <w:rPr>
                <w:sz w:val="20"/>
                <w:szCs w:val="20"/>
                <w:color w:val="auto"/>
              </w:rPr>
            </w:pPr>
            <w:r>
              <w:rPr>
                <w:rFonts w:ascii="Arial" w:cs="Arial" w:eastAsia="Arial" w:hAnsi="Arial"/>
                <w:sz w:val="13"/>
                <w:szCs w:val="13"/>
                <w:b w:val="1"/>
                <w:bCs w:val="1"/>
                <w:color w:val="auto"/>
              </w:rPr>
              <w:t>(in CHF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32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Net financial income amounted to CHF 0.1 million for the six months period ended June 30, 2016 compared with net financial income of CHF 0.2 million for the six months period ended June 30, 2015. The principal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difference in the net financial result is attributable to (i) fees payable on the CS AG Share Issuance and (ii) the net impact of foreign exchange movements on our financial assets and payables owed by us during the reporting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16,116</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rose by CHF 0.5 million to CHF 6.3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June 30, 2016, we had cash and cash equivalents of CHF 82.4 million. At June 30, 2016, after giving effect to the CHF 14 million milestone payment from Genentech for the anti-tau antibody program, we would have had cash and cash equivalents of CHF 96.4 million.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Six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(in CHF thousands)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(unaudited)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(7,202)</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16,063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13,159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15,952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Net cash used in operating activities was CHF 7.2 million for the six months ended June 30, 2016 compared with net cash generated in operating activities of CHF 16.1 million for the six months ended June 30, 2015. The significant change in cash used in operating activities in the first six months of 2016 was due to (i) our outstanding receivables balances growing substantially in the first half of 2016 due to the notification in late June by Genentech that the anti-tau antibody program had moved into Phase 1 clinical studies triggering a CHF 14 million milestone payment while receivables declined sharply during the same period in 2015 due to the receipt of the CHF 25.9 million upfront payment from Janssen related to the collaboration agreement on ACI-35 which was partially offset by the addition of a CHF 14 million receivable from Genentech related to the ED-GO milestone payment, (ii) our prepaid expense balances rising from CHF 0.4 million to CHF 1.8 million between June 30, 2015 and June 30, 2016 while (iii) the amount of deferred revenues rose by CHF 2.1 million between June 30, 2015 and June 30, 2016 and (iv) the change in accounts payable positively impacted our cash position between June 30, 2015 and June 30, 2016 by CHF 0.9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Net cash used in investing activities rose to CHF 0.3 million for the six months ended June 30, 2016 compared with net cash used in investing activities of CHF 0.1 million in the six months ended June 30, 2015 due to increased capital expenditures to strengthen our manufacturing and research infrastructure.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provided by financing activities was CHF 13.2 million for the six months ended June 30, 2016 compared with net cash from investing activities of CHF 6 thousand for the six months ended June 30, 2015. The increase is principally due to the completion of the Series E Extension (CHF 13.3 million) in April 2016, proceeds from the issuance of shares related to option exercises (CHF 0.2 million) and proceeds from issuance of shares under the CS AG Share issuance (CHF 0.1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commercialize our current or any future product candidates. As of June 30, 2016 we had cash balances totaling CHF 82.4 million. The increase relative to December 31, 2015 is due to the proceeds we received from the Series E Extension in April 2016, partially offset by a significant rise in total operating expenses driven by CHF 3.8 million spent on research and development. There can be no certainty as to the exact timing, or in fact whether any future milestone payments will ever be made given that these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milestone payments are contingent on clear milestones being reached. Accordingly, assuming we do not receive potential milestone payments and based upon our currently contemplated research and development strategy and expenditures and assuming our receipt of the net proceeds from this offering in the amount</w:t>
      </w:r>
    </w:p>
    <w:p>
      <w:pPr>
        <w:spacing w:after="0" w:line="281" w:lineRule="auto"/>
        <w:rPr>
          <w:sz w:val="20"/>
          <w:szCs w:val="20"/>
          <w:color w:val="auto"/>
        </w:rPr>
      </w:pPr>
      <w:r>
        <w:rPr>
          <w:rFonts w:ascii="Arial" w:cs="Arial" w:eastAsia="Arial" w:hAnsi="Arial"/>
          <w:sz w:val="16"/>
          <w:szCs w:val="16"/>
          <w:color w:val="auto"/>
        </w:rPr>
        <w:t>of $ (based on the midpoint of the range set forth in the cover of this prospectus), we believe that our existing capital resources (including the proceeds we received from Genentech, as described below under “—Anti-Tau Antibody Phase 1 Milestone Payment”) will be sufficient to meet our projected operating</w:t>
      </w:r>
    </w:p>
    <w:p>
      <w:pPr>
        <w:spacing w:after="0" w:line="1"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requirements through</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preparing our financial statements as of and for the years ended December 31, 2014 and December 31, 2015 and reviewing our interim financial statements as of June 30, 2016,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right="4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and development expenses. We record accrued expenses for these costs based on the estimated amount of work completed in accordance with agreements established with these third parties.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grant options at the outset of the award period with the options vesting over a four year period. In line with IFRS accounting principles for option awards, we are using the graded methodology to expense the fair value of the awards on a straight line basis over the four year vesting period of the options. Specifically, the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per share to a split adjusted strike price of CHF 0.14548 per share.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(excluding executive officers and board members) have the right, but not the obligation, to have their unvested options accelerated such that they vest immediately. A total of 1,250 options could be accelerated upon completion of this offering.</w:t>
      </w:r>
    </w:p>
    <w:p>
      <w:pPr>
        <w:spacing w:after="0" w:line="188"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Pursuant to a board decision on September 18, 2015, if we successfully complete this offering, the board will accelerate 76,000 options which were granted to directors and executive officers.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 Phase 1 Milestone Payment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June 2016, Genentech, our collaboration partner informed us that the first patient has been dosed in a Phase 1 clinical study for Alzheimer’s disease with an anti-tau monoclonal antibody, making us eligible to receive a milestone payment of CHF 14.0 million, which we received in July 2016. For more information on our collaboration agreement with Genentech, see “—Strategic Collaborations and Licensing Agreements—Anti-Tau Antibodies— Collaboration with Genentech” and “Business—License Agreements and Collaborations—Genentech.”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As at June 30, 2016 we had cash and cash equivalents of CHF 82.4 million,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3"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 protocol amendment for the Phase 1b study of ACI-24 was submitted to the FDA in September 2015. Phase 1 and 2 studies are also currently ongoing in Finland, Sweden and Denmark.</w:t>
      </w:r>
    </w:p>
    <w:p>
      <w:pPr>
        <w:spacing w:after="0" w:line="83" w:lineRule="exact"/>
        <w:rPr>
          <w:rFonts w:ascii="Arial" w:cs="Arial" w:eastAsia="Arial" w:hAnsi="Arial"/>
          <w:sz w:val="17"/>
          <w:szCs w:val="17"/>
          <w:color w:val="auto"/>
        </w:rPr>
      </w:pPr>
    </w:p>
    <w:p>
      <w:pPr>
        <w:ind w:left="900" w:right="40" w:hanging="325"/>
        <w:spacing w:after="0" w:line="297"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5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Additionally, our passive anti-tau monoclonal antibody candidate is being developed under a collaboration agreement with Genentech, which we entered into in June 2012. The anti-tau antibody candidate is a humanized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monoclonal antibody that is believed to bind specifically to tau. A Phase 1 clinical study conducted by Genentech will evaluate the safety, tolerability and pharmacokinetics in patients with mild to moderate Alzheimer’s disease and healthy volunteers. The Phase 1 clinical study commenced in the second quarter of 2016, with results expected in the first half of 2017.</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86"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166"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470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0573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Anti-tau antibody</w:t>
      </w:r>
      <w:r>
        <w:rPr>
          <w:rFonts w:ascii="Arial" w:cs="Arial" w:eastAsia="Arial" w:hAnsi="Arial"/>
          <w:sz w:val="16"/>
          <w:szCs w:val="16"/>
          <w:color w:val="auto"/>
        </w:rPr>
        <w:t>. Our collaboration partner, Genentech, is advancing an anti-tau antibody candidate through a Phase 1 clinical study.</w:t>
      </w:r>
    </w:p>
    <w:p>
      <w:pPr>
        <w:spacing w:after="0" w:line="153" w:lineRule="exact"/>
        <w:rPr>
          <w:rFonts w:ascii="Arial" w:cs="Arial" w:eastAsia="Arial" w:hAnsi="Arial"/>
          <w:sz w:val="16"/>
          <w:szCs w:val="16"/>
          <w:color w:val="auto"/>
        </w:rPr>
      </w:pPr>
    </w:p>
    <w:p>
      <w:pPr>
        <w:ind w:left="1480" w:right="160" w:hanging="446"/>
        <w:spacing w:after="0" w:line="308" w:lineRule="auto"/>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jc w:val="both"/>
        <w:ind w:left="900" w:right="360" w:hanging="325"/>
        <w:spacing w:after="0" w:line="26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Expand into other neurodegenerative and neuro-orphan diseases. </w:t>
      </w:r>
      <w:r>
        <w:rPr>
          <w:rFonts w:ascii="Arial" w:cs="Arial" w:eastAsia="Arial" w:hAnsi="Arial"/>
          <w:sz w:val="18"/>
          <w:szCs w:val="18"/>
          <w:color w:val="auto"/>
        </w:rPr>
        <w:t>We intend to leverage our proprietary technology platforms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that share the same disease targets as misfolded Abeta, tau and alpha-synuclein proteins, which are the key features in the pathology of many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240"/>
        <w:spacing w:after="0" w:line="286" w:lineRule="auto"/>
        <w:rPr>
          <w:sz w:val="20"/>
          <w:szCs w:val="20"/>
          <w:color w:val="auto"/>
        </w:rPr>
      </w:pPr>
      <w:r>
        <w:rPr>
          <w:rFonts w:ascii="Arial" w:cs="Arial" w:eastAsia="Arial" w:hAnsi="Arial"/>
          <w:sz w:val="17"/>
          <w:szCs w:val="17"/>
          <w:color w:val="auto"/>
        </w:rPr>
        <w:t>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67" w:lineRule="exact"/>
        <w:rPr>
          <w:sz w:val="20"/>
          <w:szCs w:val="20"/>
          <w:color w:val="auto"/>
        </w:rPr>
      </w:pPr>
    </w:p>
    <w:p>
      <w:pPr>
        <w:ind w:left="900" w:right="80" w:hanging="325"/>
        <w:spacing w:after="0" w:line="25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64990" cy="18954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6499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598420" cy="13804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842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298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0990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June 30, 2016, the Morphomer library consisted of more than 2,900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29159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6814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Medical School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Abeta1-42 oligomers</w:t>
      </w:r>
      <w:r>
        <w:rPr>
          <w:sz w:val="20"/>
          <w:szCs w:val="20"/>
          <w:color w:val="auto"/>
        </w:rPr>
        <w:tab/>
      </w:r>
      <w:r>
        <w:rPr>
          <w:rFonts w:ascii="Arial" w:cs="Arial" w:eastAsia="Arial" w:hAnsi="Arial"/>
          <w:sz w:val="16"/>
          <w:szCs w:val="16"/>
          <w:b w:val="1"/>
          <w:bCs w:val="1"/>
          <w:color w:val="auto"/>
        </w:rPr>
        <w:t>Reduces Abeta 1-42 oligomer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28690" cy="20237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2869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Abeta 1-42 oligomers + MABT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9840" cy="18954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29840" cy="1895475"/>
                    </a:xfrm>
                    <a:prstGeom prst="rect">
                      <a:avLst/>
                    </a:prstGeom>
                    <a:noFill/>
                  </pic:spPr>
                </pic:pic>
              </a:graphicData>
            </a:graphic>
          </wp:anchor>
        </w:drawing>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Reduces microglia inflammatory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86360</wp:posOffset>
            </wp:positionV>
            <wp:extent cx="2186940" cy="19894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869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340"/>
        <w:spacing w:after="0" w:line="277" w:lineRule="auto"/>
        <w:rPr>
          <w:sz w:val="20"/>
          <w:szCs w:val="20"/>
          <w:color w:val="auto"/>
        </w:rPr>
      </w:pPr>
      <w:r>
        <w:rPr>
          <w:rFonts w:ascii="Arial" w:cs="Arial" w:eastAsia="Arial" w:hAnsi="Arial"/>
          <w:sz w:val="18"/>
          <w:szCs w:val="18"/>
          <w:color w:val="auto"/>
        </w:rPr>
        <w:t>MABT is equivalent to crenezumab, mMABT is the parental murine version of crenezumab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figure above shows that crenezumab promotes Abeta oligomer engulfment by microglia without inflammatory activation.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240" w:top="459"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77" w:lineRule="auto"/>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134620</wp:posOffset>
            </wp:positionV>
            <wp:extent cx="4081780" cy="2058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8178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05730" cy="25298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0573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10 mg/kg dose cohort</w:t>
      </w:r>
    </w:p>
    <w:p>
      <w:pPr>
        <w:ind w:left="180" w:hanging="172"/>
        <w:spacing w:after="0" w:line="221" w:lineRule="auto"/>
        <w:tabs>
          <w:tab w:leader="none" w:pos="1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6 mg/kg dose cohort</w:t>
      </w:r>
    </w:p>
    <w:p>
      <w:pPr>
        <w:ind w:right="9760" w:firstLine="8"/>
        <w:spacing w:after="0" w:line="271" w:lineRule="auto"/>
        <w:tabs>
          <w:tab w:leader="none" w:pos="108"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Reduced effector function **Full effector function</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171450</wp:posOffset>
            </wp:positionV>
            <wp:extent cx="5196840" cy="33788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171450</wp:posOffset>
            </wp:positionV>
            <wp:extent cx="5213985" cy="53943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1454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two cohorts of patients with milder symptoms showed a 19.6% (MMSE 22-26) and 45% (MMSE 24-26) reduction in global functional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146050</wp:posOffset>
            </wp:positionV>
            <wp:extent cx="5042535" cy="17665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425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Greater relative reductions were observed in the crenezumab arm compared with placebo in the CDR subdomains Memory, Orientation, Judgment &amp; Problem Solving and Home &amp; Hobbies in progressively milder patients. Treatment effects were less consistent in progressively milder patients for the CDR subdomains Community Affairs and Personal Care.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205740</wp:posOffset>
            </wp:positionV>
            <wp:extent cx="4965700" cy="59175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65700" cy="591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 CDR subdomains=difference in change from baseline to Week 73 in CDR subdomain scores between treatment and control groups. Diamonds represent LS mean change from baseline at Week 73, error bars 95% present CI. Positive values indicate less decline in crenezumab group.</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the overall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timepoints and dose dependency are considered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5387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2637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387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4872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19723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anti-tau monoclonal antibody program generated humanized monoclonal antibodies for use as 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collaboration partner for the anti-tau antibody program, announced the commencement of a Phase 1 clinical study in July 2016. The Phase 1 clinical study will test the safety, tolerability and pharmacokinetics of various dosing regimens of the anti-tau antibody in patients with mild to moderate AD as well as in healthy volunteers.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three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900" w:type="dxa"/>
            <w:vAlign w:val="bottom"/>
          </w:tcPr>
          <w:p>
            <w:pPr>
              <w:spacing w:after="0"/>
              <w:rPr>
                <w:sz w:val="16"/>
                <w:szCs w:val="16"/>
                <w:color w:val="auto"/>
              </w:rPr>
            </w:pP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Lead Indication</w:t>
            </w:r>
          </w:p>
        </w:tc>
        <w:tc>
          <w:tcPr>
            <w:tcW w:w="194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1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88"/>
              </w:rPr>
              <w:t>Morphomer tau</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Anti-tau Morphomers: </w:t>
      </w:r>
      <w:r>
        <w:rPr>
          <w:rFonts w:ascii="Arial" w:cs="Arial" w:eastAsia="Arial" w:hAnsi="Arial"/>
          <w:sz w:val="16"/>
          <w:szCs w:val="16"/>
          <w:color w:val="auto"/>
        </w:rPr>
        <w:t>Anti-tau Morphomers are small molecule compounds designed to inhibit tau aggregation with the aim of interacting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 This molecule is expected to enter Phase 1 clinical studies in 2017 or 2018.</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Morphomer abeta: </w:t>
      </w:r>
      <w:r>
        <w:rPr>
          <w:rFonts w:ascii="Arial" w:cs="Arial" w:eastAsia="Arial" w:hAnsi="Arial"/>
          <w:sz w:val="18"/>
          <w:szCs w:val="18"/>
          <w:color w:val="auto"/>
        </w:rPr>
        <w:t>Our Morphomer abeta product candidate is a small molecule that inhibits and disrupts Abeta propagation and aggregation,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1437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858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 and Biogen under the non-exclusive research and development agreement signed in April 2016.</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To date, we have received payments totaling CHF 45 million including a CHF 14 million milestone payment associated with the recent announcement of the commencement of the Phase 1 clinical study of the lead anti-tau antibody candidate and a CHF 14 million milestone payment received in 2015 in connection with the ED-GO decision.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50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received an upfront payment of about CHF 25.9 million, a research contribution of CHF 1.5 million and a CHF 4.9 million clinical milestone payment and we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79" w:lineRule="auto"/>
        <w:rPr>
          <w:sz w:val="20"/>
          <w:szCs w:val="20"/>
          <w:color w:val="auto"/>
        </w:rPr>
      </w:pPr>
      <w:r>
        <w:rPr>
          <w:rFonts w:ascii="Arial" w:cs="Arial" w:eastAsia="Arial" w:hAnsi="Arial"/>
          <w:sz w:val="17"/>
          <w:szCs w:val="17"/>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 Aducanumab recently received Fast Track designation from the FDA as did crenezumab in 2008.</w:t>
      </w:r>
    </w:p>
    <w:p>
      <w:pPr>
        <w:spacing w:after="0" w:line="77" w:lineRule="exact"/>
        <w:rPr>
          <w:sz w:val="20"/>
          <w:szCs w:val="20"/>
          <w:color w:val="auto"/>
        </w:rPr>
      </w:pPr>
    </w:p>
    <w:p>
      <w:pPr>
        <w:ind w:left="900" w:right="80" w:hanging="325"/>
        <w:spacing w:after="0" w:line="276"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ABvac 40 (Araclon Bioscience) which has completed a Phase 1 study and Affitope-AD-02 (AFFiRiS AG / GlaxoSmithKline) and CAD-106 (Novartis International AG), each of which has completed a Phase 2 study.</w:t>
      </w:r>
    </w:p>
    <w:p>
      <w:pPr>
        <w:spacing w:after="0" w:line="77"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of August 31, 2016, we owned or co-owned approximately 22 issued U.S. patents and 173 issued patents in other jurisdictions, as well as 18 pending U.S. patent applications and 327 pending foreign patent applications. As of August 31, 2016, we licensed approximately 12 issued U.S. patents and 12 pending U.S. patent applications, as well as 110 issued patents in other jurisdictions and 258 pending foreign patent applications.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August 31,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ind w:firstLine="456"/>
        <w:spacing w:after="0" w:line="268"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August 31, 2016, we owned or co-owned approximately 20 patents (not including the patents in the individual countries where the issued European patent was validated) and 39 patent applications in 34 countries in our main patent family directed to the crenezumab antibody and methods of using the crenezumab antibody to treat certain indications, including AD. This patent portfolio includes three issued U.S. patents and two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23 issued patents and 11 pending patent applications in 30 countries. With respect to the U.S., we own two issued U.S. patents.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ACI-35 consists of approximately 14 issued patents and 16 pending patent applications in 27 countries. With respect to the U.S., we own one issued U.S. patent.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2016, we employed 62 employees, 9 of whom were part-time employees. 34 of our employees hold Ph.D. degrees and 19 hold M.Sc. degrees. Our 62 employees are from over 20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Due to the expansion of our research and development team and addition of scientists, we have entered into an agreement with EPFL to lease an additional 240 square meters of space in the Innovation Park. We are planning to occupy this space in November, 2016. We believe that once we have this additional space, our existing facilities are sufficient to meet our current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Advisors and Board of Directors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advisors and directors, including their ages, as at August 31, 2016. The term of each of our directors is one year and, accordingly, will expire at our 2016 annual shareholder meeting to be held in the fourth quarter of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40" w:type="dxa"/>
            <w:vAlign w:val="bottom"/>
            <w:vMerge w:val="restart"/>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45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456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182"/>
        </w:trPr>
        <w:tc>
          <w:tcPr>
            <w:tcW w:w="47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 and Advisors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ind w:left="360"/>
              <w:spacing w:after="0"/>
              <w:rPr>
                <w:sz w:val="20"/>
                <w:szCs w:val="20"/>
                <w:color w:val="auto"/>
              </w:rPr>
            </w:pPr>
            <w:r>
              <w:rPr>
                <w:rFonts w:ascii="Arial" w:cs="Arial" w:eastAsia="Arial" w:hAnsi="Arial"/>
                <w:sz w:val="18"/>
                <w:szCs w:val="18"/>
                <w:color w:val="auto"/>
              </w:rPr>
              <w:t>Julian Gray, M.D.,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20" w:type="dxa"/>
            <w:vAlign w:val="bottom"/>
            <w:gridSpan w:val="2"/>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Clinical Advisor</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06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and advisors,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since May 27, 2016.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 and Advisors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Julian Gray, M.D., Ph.D., Clinical Advisor: </w:t>
      </w:r>
      <w:r>
        <w:rPr>
          <w:rFonts w:ascii="Arial" w:cs="Arial" w:eastAsia="Arial" w:hAnsi="Arial"/>
          <w:sz w:val="17"/>
          <w:szCs w:val="17"/>
          <w:color w:val="auto"/>
        </w:rPr>
        <w:t>Dr. Gray has served as Clinical Advisor to our programs in neurodegenerative diseases since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 Dr. Hothum is a board member of various companies in the dievini portfolio and is the chairman of the advisory board of joimax GmbH.</w:t>
      </w:r>
    </w:p>
    <w:p>
      <w:pPr>
        <w:spacing w:after="0" w:line="17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broad industry experience embraces biotechnology and medical technology firms including previous Board positions with Cytos Biotechnology and Prionics.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board of directors is composed of six members. Each director is elected for a one-year term. The current members of our board of directors were appointed at a shareholders’ meeting held on April 14, 2015 to serve until the 2016 shareholders’ meeting to be held in the fourth quarter of 2016.</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and Peter Bollmann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audit and finance committee, which is expected to consist of Peter Bollmann, Detlev Riesner and Martin Velasco,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Peter Bollmann will serve as Chairman of the committee. The audit and finance committee will consist exclusively of members of our supervisory board who are financially literate, and Peter Bollmann is considered an “audit committee financial expert” as defined by the SEC. Our board of directors has determined that Peter Bollmann, Detlev Riesner and Martin Velasco satisfy the “independence” requirements set forth in Rule 10A-3 under the Exchange Act.</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jc w:val="center"/>
        <w:ind w:left="5580" w:right="540" w:hanging="5005"/>
        <w:spacing w:after="0" w:line="44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approve any audit and non-audit services proposed to be provided by the independent auditor to ensure independent auditor independence; 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16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95"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compensation, nomination and governance committee, which is expected to consist of Detlev Riesner (chair) and Martin Velasco,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August 31, 2016, there were 598,500 and 1,597,750 common shares underlying outstanding unvested options and vested options granted pursuant to our Prior Plans, respectively.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feature was removed. Instead, employees have the right, but not the obligation, to have their unvested options accelerated such that they vest immediately. A total of 1,250 options could be accelerated in the event this offering is completed.</w:t>
      </w:r>
    </w:p>
    <w:p>
      <w:pPr>
        <w:spacing w:after="0" w:line="170"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Option Exercise Price</w:t>
      </w:r>
      <w:r>
        <w:rPr>
          <w:rFonts w:ascii="Arial" w:cs="Arial" w:eastAsia="Arial" w:hAnsi="Arial"/>
          <w:sz w:val="18"/>
          <w:szCs w:val="18"/>
          <w:color w:val="auto"/>
        </w:rPr>
        <w:t>. With the exception of Plan A, the exercise price of all options issued under the Prior Plans is CHF 0.14548 per share.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exercise price for options issued under Plan A was CHF 0.93186 per share. However, this exercise price was amended in June 2015 with the approval of our board of directors to be CHF 0.14548 per share. As a result, as of August 31, 2016, all options outstanding under our Prior Plans have an exercise price of CHF 0.14548 per share.</w:t>
      </w:r>
    </w:p>
    <w:p>
      <w:pPr>
        <w:spacing w:after="0" w:line="18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have granted our Chief Financial Officer, in the aggregate, options that will give him the right to acquire 196,750 shares. Contingent upon continued employment and approval of our Board of Directors, such options will vest as follows:</w:t>
      </w:r>
    </w:p>
    <w:p>
      <w:pPr>
        <w:spacing w:after="0" w:line="76" w:lineRule="exact"/>
        <w:rPr>
          <w:sz w:val="20"/>
          <w:szCs w:val="20"/>
          <w:color w:val="auto"/>
        </w:rPr>
      </w:pPr>
    </w:p>
    <w:p>
      <w:pPr>
        <w:jc w:val="both"/>
        <w:ind w:left="900" w:right="60" w:hanging="325"/>
        <w:spacing w:after="0" w:line="286"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45,000 shares which became purchasable on July 15, 2015, on a four year period at a price of CHF 0.14548 per share with 25% having vested on July 14, 2016 and a further 25% vesting on each of July 14, 2017, July 14, 2018 and July 14, 2019; upon consummation of the proposed IPO, the 33,750 unvested options will be accelerated and will vest upon consummation of the IPO; and</w:t>
      </w:r>
    </w:p>
    <w:p>
      <w:pPr>
        <w:spacing w:after="0" w:line="70"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98,500 shares which were granted on July 15, 2016 at a price of CHF 0.14548 per share and will vest over a four year period with 25% vesting on each of July 14, 2017, July 14, 2018, July 14, 2019 and July 14, 2020;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53,250 shares which will be granted on July 15, 2017 at a price to be determined in July 2017 and will vest over a four year period with 25% of the granted options vesting on each of July 14, 2018, July 14, 2019, July 14, 2020 and July 14,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SHAREHOLDER</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shares as of August 31, 2016, as if the conversion of our preferred shares into common shares on a one-for-one basis had occurred, by:</w:t>
      </w:r>
    </w:p>
    <w:p>
      <w:pPr>
        <w:spacing w:after="0" w:line="76"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Upon completion of this offering, all of our outstanding preferred shares, including the preferred shares issued in the Series E Private Placement Extension, will be converted into common shares on a one-for-one basis and we will have only one class of shares issued and outstanding. All holders of our common shares will have the same voting rights upon the completion of this offering.</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August 31,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percentage of outstanding common shares is computed on the basis of 49,396,042 common shares outstanding as of August 31, 2016 (including the additional common shares issuable upon conversion of all of our preferred shares into common shares on a one-for-one basis upon the closing of this offering). Common shares that a person has the right to acquire within 60 days of August 31, 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of August 31, 2016, a total of 3,428,409 of our common shares (including the additional common shares issuable upon conversion of all of our preferred shares into common shares on a one-for-one basis upon the closing of this offering) were held by a total of 14 U.S. record holders.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w:t>
      </w:r>
    </w:p>
    <w:p>
      <w:pPr>
        <w:spacing w:after="0" w:line="46"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August 31, 2016. The percentage of common shares beneficially owned after this offering is based on common shares that will be issued and outstanding upon the completion of this offering (including the additional common shares issuable upon conversion of all of our preferred shares, including the preferred shares issued in the Series E Private Placement Extension, on a one-for-one basis upon the closing of this offering). For purposes of computing</w:t>
      </w:r>
    </w:p>
    <w:tbl>
      <w:tblPr>
        <w:tblLayout w:type="fixed"/>
        <w:tblInd w:w="0" w:type="dxa"/>
        <w:tblCellMar>
          <w:top w:w="0" w:type="dxa"/>
          <w:left w:w="0" w:type="dxa"/>
          <w:bottom w:w="0" w:type="dxa"/>
          <w:right w:w="0" w:type="dxa"/>
        </w:tblCellMar>
      </w:tblPr>
      <w:tr>
        <w:trPr>
          <w:trHeight w:val="204"/>
        </w:trPr>
        <w:tc>
          <w:tcPr>
            <w:tcW w:w="9820" w:type="dxa"/>
            <w:vAlign w:val="bottom"/>
            <w:gridSpan w:val="13"/>
          </w:tcPr>
          <w:p>
            <w:pPr>
              <w:spacing w:after="0" w:line="204" w:lineRule="exact"/>
              <w:rPr>
                <w:sz w:val="20"/>
                <w:szCs w:val="20"/>
                <w:color w:val="auto"/>
              </w:rPr>
            </w:pPr>
            <w:r>
              <w:rPr>
                <w:rFonts w:ascii="Arial" w:cs="Arial" w:eastAsia="Arial" w:hAnsi="Arial"/>
                <w:sz w:val="18"/>
                <w:szCs w:val="18"/>
                <w:color w:val="auto"/>
                <w:w w:val="91"/>
              </w:rPr>
              <w:t>percentage ownership after this offering, we have assumed the issuance and sale by us and the selling shareholder of an aggregate of</w:t>
            </w:r>
          </w:p>
        </w:tc>
        <w:tc>
          <w:tcPr>
            <w:tcW w:w="120" w:type="dxa"/>
            <w:vAlign w:val="bottom"/>
          </w:tcPr>
          <w:p>
            <w:pPr>
              <w:spacing w:after="0"/>
              <w:rPr>
                <w:sz w:val="17"/>
                <w:szCs w:val="17"/>
                <w:color w:val="auto"/>
              </w:rPr>
            </w:pPr>
          </w:p>
        </w:tc>
        <w:tc>
          <w:tcPr>
            <w:tcW w:w="1480" w:type="dxa"/>
            <w:vAlign w:val="bottom"/>
            <w:gridSpan w:val="2"/>
          </w:tcPr>
          <w:p>
            <w:pPr>
              <w:jc w:val="center"/>
              <w:ind w:right="20"/>
              <w:spacing w:after="0" w:line="204" w:lineRule="exact"/>
              <w:rPr>
                <w:sz w:val="20"/>
                <w:szCs w:val="20"/>
                <w:color w:val="auto"/>
              </w:rPr>
            </w:pPr>
            <w:r>
              <w:rPr>
                <w:rFonts w:ascii="Arial" w:cs="Arial" w:eastAsia="Arial" w:hAnsi="Arial"/>
                <w:sz w:val="18"/>
                <w:szCs w:val="18"/>
                <w:color w:val="auto"/>
                <w:w w:val="89"/>
              </w:rPr>
              <w:t>common</w:t>
            </w:r>
          </w:p>
        </w:tc>
        <w:tc>
          <w:tcPr>
            <w:tcW w:w="0" w:type="dxa"/>
            <w:vAlign w:val="bottom"/>
          </w:tcPr>
          <w:p>
            <w:pPr>
              <w:spacing w:after="0"/>
              <w:rPr>
                <w:sz w:val="1"/>
                <w:szCs w:val="1"/>
                <w:color w:val="auto"/>
              </w:rPr>
            </w:pPr>
          </w:p>
        </w:tc>
      </w:tr>
      <w:tr>
        <w:trPr>
          <w:trHeight w:val="230"/>
        </w:trPr>
        <w:tc>
          <w:tcPr>
            <w:tcW w:w="9820" w:type="dxa"/>
            <w:vAlign w:val="bottom"/>
            <w:gridSpan w:val="13"/>
          </w:tcPr>
          <w:p>
            <w:pPr>
              <w:spacing w:after="0"/>
              <w:rPr>
                <w:sz w:val="20"/>
                <w:szCs w:val="20"/>
                <w:color w:val="auto"/>
              </w:rPr>
            </w:pPr>
            <w:r>
              <w:rPr>
                <w:rFonts w:ascii="Arial" w:cs="Arial" w:eastAsia="Arial" w:hAnsi="Arial"/>
                <w:sz w:val="18"/>
                <w:szCs w:val="18"/>
                <w:color w:val="auto"/>
                <w:w w:val="91"/>
              </w:rPr>
              <w:t>shares in this offering and that the underwriters will not exercise their option to purchase additional shares from the selling shareholder.</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9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1"/>
              </w:rPr>
              <w:t>Shares Beneficially Owned</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120" w:type="dxa"/>
            <w:vAlign w:val="bottom"/>
          </w:tcPr>
          <w:p>
            <w:pPr>
              <w:spacing w:after="0"/>
              <w:rPr>
                <w:sz w:val="21"/>
                <w:szCs w:val="21"/>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94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Before This Offering</w:t>
            </w: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Shares Being Offered</w:t>
            </w: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After This Offering</w:t>
            </w:r>
          </w:p>
        </w:tc>
        <w:tc>
          <w:tcPr>
            <w:tcW w:w="1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30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940" w:type="dxa"/>
            <w:vAlign w:val="bottom"/>
            <w:gridSpan w:val="4"/>
            <w:vMerge w:val="continue"/>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52"/>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and Selling</w:t>
            </w:r>
          </w:p>
        </w:tc>
        <w:tc>
          <w:tcPr>
            <w:tcW w:w="8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720" w:type="dxa"/>
            <w:vAlign w:val="bottom"/>
            <w:gridSpan w:val="2"/>
            <w:vMerge w:val="continue"/>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rPr>
              <w:t>Number   Percent</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2"/>
                <w:szCs w:val="12"/>
                <w:color w:val="auto"/>
              </w:rPr>
            </w:pPr>
          </w:p>
        </w:tc>
        <w:tc>
          <w:tcPr>
            <w:tcW w:w="14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6"/>
              </w:rPr>
              <w:t>of Underwriters’ Over-</w:t>
            </w:r>
          </w:p>
        </w:tc>
        <w:tc>
          <w:tcPr>
            <w:tcW w:w="0" w:type="dxa"/>
            <w:vAlign w:val="bottom"/>
          </w:tcPr>
          <w:p>
            <w:pPr>
              <w:spacing w:after="0"/>
              <w:rPr>
                <w:sz w:val="1"/>
                <w:szCs w:val="1"/>
                <w:color w:val="auto"/>
              </w:rPr>
            </w:pPr>
          </w:p>
        </w:tc>
      </w:tr>
      <w:tr>
        <w:trPr>
          <w:trHeight w:val="176"/>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Shareholder</w:t>
            </w:r>
          </w:p>
        </w:tc>
        <w:tc>
          <w:tcPr>
            <w:tcW w:w="10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r>
        <w:trPr>
          <w:trHeight w:val="129"/>
        </w:trPr>
        <w:tc>
          <w:tcPr>
            <w:tcW w:w="1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Shareholders</w:t>
            </w:r>
          </w:p>
        </w:tc>
        <w:tc>
          <w:tcPr>
            <w:tcW w:w="34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dievini Hopp BioTech holding GmbH &amp; Co KG(1)</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18,041,000</w:t>
            </w:r>
          </w:p>
        </w:tc>
        <w:tc>
          <w:tcPr>
            <w:tcW w:w="1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36.5%</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Varuma AG(2)</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11,400,000</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Pfeifer(3)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3,083,250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Andreas Muhs(4)</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898,500</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Pavey(5)</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143,500</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Jean-Fabien Monin(6)</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327,500</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Martin Velasco(7)</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949,750</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Mathias Hothum(8)</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51,250</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Detlev Riesner(9)</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618,750</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Friedrich von Bohlen und Halbach(10)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78,750</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Bollmann</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2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(9 persons)</w:t>
            </w:r>
          </w:p>
        </w:tc>
        <w:tc>
          <w:tcPr>
            <w:tcW w:w="880" w:type="dxa"/>
            <w:vAlign w:val="bottom"/>
          </w:tcPr>
          <w:p>
            <w:pPr>
              <w:jc w:val="right"/>
              <w:spacing w:after="0"/>
              <w:rPr>
                <w:sz w:val="20"/>
                <w:szCs w:val="20"/>
                <w:color w:val="auto"/>
              </w:rPr>
            </w:pPr>
            <w:r>
              <w:rPr>
                <w:rFonts w:ascii="Arial" w:cs="Arial" w:eastAsia="Arial" w:hAnsi="Arial"/>
                <w:sz w:val="14"/>
                <w:szCs w:val="14"/>
                <w:color w:val="auto"/>
              </w:rPr>
              <w:t>6,151,250</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12.5%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ind w:left="460" w:right="200" w:hanging="452"/>
        <w:spacing w:after="0" w:line="238" w:lineRule="auto"/>
        <w:tabs>
          <w:tab w:leader="none" w:pos="4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18,041,000 shares held by dievini Hopp BioTech holding CmbH &amp; Co KG. Dietmar Hopp and Oliver Hopp control the voting and investment decisions of the ultimate parent company of dievini Hopp BioTech holding CmbH &amp; Co KG. The shares registered in the name of dievini Hopp BioTech holding CmbH &amp; Co KG may also be deemed to be beneficially owned by Friedrich von Bohlen und Halbach and Mathias Hothum, each of whom is a managing director of dievini Hopp BioTech holding CmbH &amp; Co KG. The address for dievini Hopp BioTech holding CmbH &amp; Co KG, Friedrich von Bohlen und Halbach and Mathias Hothum is Johann-Jakob-Astor Str. 57, 69190 Walldorf, Germany.</w:t>
      </w:r>
    </w:p>
    <w:p>
      <w:pPr>
        <w:spacing w:after="0" w:line="1" w:lineRule="exact"/>
        <w:rPr>
          <w:rFonts w:ascii="Arial" w:cs="Arial" w:eastAsia="Arial" w:hAnsi="Arial"/>
          <w:sz w:val="13"/>
          <w:szCs w:val="13"/>
          <w:color w:val="auto"/>
        </w:rPr>
      </w:pP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address for Varuma AG is Aeschenvorstadt 55, CH-4051 Basel, Switzerland. Rudolf Maag controls the voting and investment decisions of Varuma AG.</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2,915,250 of our common shares and options to purchase 168,000 of our common shares exercisable within 60 days of August 31, 2016.</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410,000 of our common shares and options to purchase 488,500 of our common shares exercisable within 60 days of August 31, 2016.</w:t>
      </w:r>
    </w:p>
    <w:p>
      <w:pPr>
        <w:ind w:left="460" w:right="20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options to purchase 45,000 of our common shares exercisable within 60 days of August 31, 2016 and options to purchase 98,500 of our common shares exercisable over a four year period between July 2016 and July 2020.</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265,000 of our common shares and options to purchase 62,500 of our common shares exercisable within 60 days of August 31, 2016.</w:t>
      </w:r>
    </w:p>
    <w:p>
      <w:pPr>
        <w:ind w:left="460" w:right="38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939,500 of our common shares and options to purchase 10,250 of our common shares exercisable within 60 days of August 31, 2016. Includes shares held through an entity controlled by Mr. Velasco and, as such, Mr. Velasco has sole voting and dispositive power over such shares.</w:t>
      </w:r>
    </w:p>
    <w:p>
      <w:pPr>
        <w:ind w:left="460" w:right="12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options to purchase 51,250 of our common shares exercisable within 60 days of August 31, 2016, and excludes the 18,041,000 shares registered in the name of dievini Hopp BioTech holding CmbH &amp; Co KG that may also be deemed to be beneficially owned by Friedrich von Bohlen und Halbach. See note (1) above. Mr. Hothum disclaims beneficial ownership of these shares except to the extent of any pecuniary interest therein.</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613,750 of our common shares and options to purchase 5,000 of our common shares exercisable within 60 days of August 31, 2016.</w:t>
      </w:r>
    </w:p>
    <w:p>
      <w:pPr>
        <w:jc w:val="both"/>
        <w:ind w:left="460" w:right="80" w:hanging="452"/>
        <w:spacing w:after="0" w:line="271" w:lineRule="auto"/>
        <w:tabs>
          <w:tab w:leader="none" w:pos="4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78,750 of our common shares, and excludes the 18,041,000 shares registered in the name of dievini Hopp BioTech holding CmbH &amp; Co KG that may also be beneficially owned by Friedrich von Bohlen und Halbach. See note (1) above. Mr. von Bohlen und Halbach disclaims beneficial ownership of these shares except to the extent of any pecuniary interest therein.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per share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dievini Hopp BioTech holding GmbH &amp; Co KG, Varuma AG and certain investors in the Series E Private Placement pursuant to which we granted them certain demand and piggyback registration rights for the resale of the common shares held by them, as described below. The shareholders party to the registration rights agreement hold an aggregate of</w:t>
      </w:r>
    </w:p>
    <w:p>
      <w:pPr>
        <w:ind w:right="20"/>
        <w:spacing w:after="0" w:line="292" w:lineRule="auto"/>
        <w:rPr>
          <w:sz w:val="20"/>
          <w:szCs w:val="20"/>
          <w:color w:val="auto"/>
        </w:rPr>
      </w:pPr>
      <w:r>
        <w:rPr>
          <w:rFonts w:ascii="Arial" w:cs="Arial" w:eastAsia="Arial" w:hAnsi="Arial"/>
          <w:sz w:val="16"/>
          <w:szCs w:val="16"/>
          <w:color w:val="auto"/>
        </w:rPr>
        <w:t>of our common shares, representing approximately % 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40"/>
          </w:cols>
          <w:pgMar w:left="240" w:top="460" w:right="7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 basis and (iii) any remaining shares from the 5,300,000 common shares issued in the CS AG Issuance, our issued fully paid-in share capital will consist of</w:t>
      </w:r>
    </w:p>
    <w:p>
      <w:pPr>
        <w:spacing w:after="0" w:line="2" w:lineRule="exact"/>
        <w:rPr>
          <w:sz w:val="20"/>
          <w:szCs w:val="20"/>
          <w:color w:val="auto"/>
        </w:rPr>
      </w:pPr>
    </w:p>
    <w:p>
      <w:pPr>
        <w:spacing w:after="0"/>
        <w:tabs>
          <w:tab w:leader="none" w:pos="1140" w:val="left"/>
          <w:tab w:leader="none" w:pos="2820" w:val="left"/>
        </w:tabs>
        <w:rPr>
          <w:sz w:val="20"/>
          <w:szCs w:val="20"/>
          <w:color w:val="auto"/>
        </w:rPr>
      </w:pP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divided into</w:t>
      </w:r>
      <w:r>
        <w:rPr>
          <w:sz w:val="20"/>
          <w:szCs w:val="20"/>
          <w:color w:val="auto"/>
        </w:rPr>
        <w:tab/>
      </w:r>
      <w:r>
        <w:rPr>
          <w:rFonts w:ascii="Arial" w:cs="Arial" w:eastAsia="Arial" w:hAnsi="Arial"/>
          <w:sz w:val="16"/>
          <w:szCs w:val="16"/>
          <w:color w:val="auto"/>
        </w:rPr>
        <w:t>common shares with a nominal value of CHF 0.02 each and no preferred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9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35" w:lineRule="exact"/>
        <w:rPr>
          <w:rFonts w:ascii="Arial" w:cs="Arial" w:eastAsia="Arial" w:hAnsi="Arial"/>
          <w:sz w:val="18"/>
          <w:szCs w:val="18"/>
          <w:color w:val="auto"/>
        </w:rPr>
      </w:pPr>
    </w:p>
    <w:p>
      <w:pPr>
        <w:ind w:left="900" w:right="20" w:hanging="446"/>
        <w:spacing w:after="0" w:line="334"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35" w:lineRule="exact"/>
        <w:rPr>
          <w:rFonts w:ascii="Arial" w:cs="Arial" w:eastAsia="Arial" w:hAnsi="Arial"/>
          <w:sz w:val="18"/>
          <w:szCs w:val="18"/>
          <w:color w:val="auto"/>
        </w:rPr>
      </w:pPr>
    </w:p>
    <w:p>
      <w:pPr>
        <w:ind w:left="900" w:right="200" w:hanging="446"/>
        <w:spacing w:after="0" w:line="25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following a shareholder or a group of shareholders acting in concert having accumulated shareholdings in excess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55" w:lineRule="exact"/>
        <w:rPr>
          <w:rFonts w:ascii="Arial" w:cs="Arial" w:eastAsia="Arial" w:hAnsi="Arial"/>
          <w:sz w:val="17"/>
          <w:szCs w:val="17"/>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of association, our board of directors is authorized at any time until October 20, 2017 to increase our nominal share capital by a maximum aggregate amount of CHF 426,950 (or CHF 320,950 after giving effect to the CS AG Share Issuance) through the issuance of not more than 21,347,500 shares (or 16,047,500 shares after giving effect to the CS AG Share Issuance), which would have to be fully paid-in, with a nominal value of CHF 0.02 each.</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shares to be sold in this offering have been issued out of our authorized share capital. Accordingly, upon the consummation of this</w:t>
      </w:r>
    </w:p>
    <w:p>
      <w:pPr>
        <w:spacing w:after="0" w:line="3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offering, our authorized but unissued share capital will remain at the amount of CHF</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nominal share capital may be increased by a maximum aggregate amount of CHF 91,868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 although in 2016 we expect to hold our ordinary general meeting in November, which we believe is permissible under Swiss law as the investors acquiring shares in this offering will be permitted to participate in such ordinary general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alleviating or withdrawing of restrictions upon the transfer of registered shares and the removal of the voting cap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14"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 w:lineRule="exact"/>
        <w:rPr>
          <w:sz w:val="20"/>
          <w:szCs w:val="20"/>
          <w:color w:val="auto"/>
        </w:rPr>
      </w:pPr>
    </w:p>
    <w:p>
      <w:pPr>
        <w:ind w:right="20" w:firstLine="456"/>
        <w:spacing w:after="0" w:line="200" w:lineRule="auto"/>
        <w:rPr>
          <w:sz w:val="20"/>
          <w:szCs w:val="20"/>
          <w:color w:val="auto"/>
        </w:rPr>
      </w:pPr>
      <w:r>
        <w:rPr>
          <w:rFonts w:ascii="Arial" w:cs="Arial" w:eastAsia="Arial" w:hAnsi="Arial"/>
          <w:sz w:val="17"/>
          <w:szCs w:val="17"/>
          <w:color w:val="auto"/>
        </w:rPr>
        <w:t xml:space="preserve">Our articles contain provisions that prevent investors from acquiring voting rights exceeding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outstanding share capital. Specifically, no individual or legal entity may, directly or indirectly, control voting rights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In the event that a shareholder should exceed the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ownership threshold,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183"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xml:space="preserve">) with his or her name and address (in the case of legal entities, the registered office) as a shareholder with voting rights. Our articles contain provisions that prevent investors from acquiring voting rights exceeding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of the outstanding share capital. Specifically, no individual or legal entity may, directly or indirectly, control voting rights with respect to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or more of the registered share capital recorded in the Commercial Register except if such individual or legal entity has submitted a tender offer to all shareholders. In the event that a shareholder should exceed the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ownership threshold, the registered shares exceeding the limit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shall be entered in our share registered as shares without voting rights.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demerger requires approval of two-thirds of the shares represented at a general meeting of shareholders and the absolute majority of the nominal value of the shares represented.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the Company, directly or indirectly, to current or former members of the board of directors and executive management to the extent related to their former role within the Company or not on customary market terms.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60" w:right="27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00"/>
          </w:cols>
          <w:pgMar w:left="240" w:top="459" w:right="2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left="740" w:hanging="381"/>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28"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7" w:lineRule="exact"/>
        <w:rPr>
          <w:sz w:val="20"/>
          <w:szCs w:val="20"/>
          <w:color w:val="auto"/>
        </w:rPr>
      </w:pPr>
    </w:p>
    <w:p>
      <w:pPr>
        <w:ind w:left="720" w:right="180" w:hanging="361"/>
        <w:spacing w:after="0" w:line="312" w:lineRule="auto"/>
        <w:tabs>
          <w:tab w:leader="none" w:pos="7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60"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1420"/>
          </w:cols>
          <w:pgMar w:left="240" w:top="460" w:right="23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pacing w:after="0" w:line="104" w:lineRule="exact"/>
        <w:rPr>
          <w:sz w:val="20"/>
          <w:szCs w:val="20"/>
          <w:color w:val="auto"/>
        </w:rPr>
      </w:pPr>
    </w:p>
    <w:p>
      <w:pPr>
        <w:sectPr>
          <w:pgSz w:w="11900" w:h="16838" w:orient="portrait"/>
          <w:cols w:equalWidth="0" w:num="2">
            <w:col w:w="5380" w:space="6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00"/>
          </w:cols>
          <w:pgMar w:left="240" w:top="459" w:right="25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20"/>
          </w:cols>
          <w:pgMar w:left="240" w:top="459" w:right="2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Upon completion of this offering, we will have common shares outstanding. Of these shares, common shares, or common shares if the underwriters exercise their option in full to purchase additional common shares, will be freely transferable without restriction or registration under the Securities Act, except for any common shares purchased by one of our existing “affiliates,” as that term is defined in Rule 144 under the Securities</w:t>
      </w:r>
    </w:p>
    <w:p>
      <w:pPr>
        <w:jc w:val="both"/>
        <w:ind w:right="200"/>
        <w:spacing w:after="0" w:line="254" w:lineRule="auto"/>
        <w:rPr>
          <w:sz w:val="20"/>
          <w:szCs w:val="20"/>
          <w:color w:val="auto"/>
        </w:rPr>
      </w:pPr>
      <w:r>
        <w:rPr>
          <w:rFonts w:ascii="Arial" w:cs="Arial" w:eastAsia="Arial" w:hAnsi="Arial"/>
          <w:sz w:val="18"/>
          <w:szCs w:val="18"/>
          <w:color w:val="auto"/>
        </w:rPr>
        <w:t>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pacing w:after="0" w:line="19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Additionally, of the options to purchase 2,196,250 common shares outstanding as of August 31, 2016 and assuming no outstanding options are exercised and no exercise of the underwriters’ option to purchase additional shares, options exercisable for 1,597,750 common shares will be vested and eligible for sale 180 days after the date of this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380"/>
          </w:cols>
          <w:pgMar w:left="240" w:top="460" w:right="27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00"/>
          </w:cols>
          <w:pgMar w:left="240" w:top="460" w:right="279" w:bottom="1440" w:gutter="0" w:footer="0" w:header="0"/>
          <w:type w:val="continuous"/>
        </w:sectPr>
      </w:pPr>
    </w:p>
    <w:p>
      <w:pPr>
        <w:ind w:left="900" w:right="26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80"/>
          </w:cols>
          <w:pgMar w:left="240" w:top="460" w:right="27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All of our directors and executive officers and the holders of substantially all of our capital stock (including the selling shareholder)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The following discussion is based on the tax laws, regulations and regulatory practices of Switzerland and the U.S. as in effect on the date hereof, which are subject to change (or subject to changes in interpretation), possibly with retroactive effect.</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our common shares (such shares for purposes of this “Taxation” section,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the opinion of Vischer Ltd., the following is a description of the material Swiss income tax consequences of owning and disposing our common shares.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if the Shares held by them as part of a Swiss business have an aggregate market value of at least CHF 1 million.</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bilateral tax treaty between the U.S. and Switzerland is eligible for a partial refund of the amount of the withholding tax in excess of the 15% treaty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such shareholder: (i) qualifies for benefits under this treaty and qualifies as beneficial owner of the Dividends; (ii) holds, directly or indirectly,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10% of the voting stock of the Company; (iii) does not qualify as a pension scheme or retirement arrangement for the purpose of the bilateral treaty; and</w:t>
      </w:r>
    </w:p>
    <w:p>
      <w:pPr>
        <w:spacing w:after="0" w:line="32" w:lineRule="exact"/>
        <w:rPr>
          <w:sz w:val="20"/>
          <w:szCs w:val="20"/>
          <w:color w:val="auto"/>
        </w:rPr>
      </w:pPr>
    </w:p>
    <w:p>
      <w:pPr>
        <w:ind w:right="40" w:firstLine="8"/>
        <w:spacing w:after="0" w:line="254" w:lineRule="auto"/>
        <w:tabs>
          <w:tab w:leader="none" w:pos="3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92"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00"/>
          </w:cols>
          <w:pgMar w:left="24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40" w:firstLine="8"/>
        <w:spacing w:after="0" w:line="261" w:lineRule="auto"/>
        <w:tabs>
          <w:tab w:leader="none" w:pos="2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and the selling shareholder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00" w:type="dxa"/>
            <w:vAlign w:val="bottom"/>
          </w:tcPr>
          <w:p>
            <w:pPr>
              <w:jc w:val="center"/>
              <w:ind w:left="434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5000" w:type="dxa"/>
            <w:vAlign w:val="bottom"/>
          </w:tcPr>
          <w:p>
            <w:pPr>
              <w:jc w:val="center"/>
              <w:ind w:left="4348"/>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14605</wp:posOffset>
            </wp:positionV>
            <wp:extent cx="5657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31750</wp:posOffset>
            </wp:positionV>
            <wp:extent cx="5657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5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selling shareholder has granted to the underwriters a 30-day over-allotment option to purchase up to additional common shares from it at the initial public offering price less the underwriting discounts and commissions. The option may be exercised only to cover any over-allotments of common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and the selling shareholder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Proceeds to the selling shareholder, before expenses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0"/>
                <w:szCs w:val="20"/>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the expenses paid or payable by us in connection with this offering, other than the underwriting discounts and commissions referred to</w:t>
      </w:r>
    </w:p>
    <w:p>
      <w:pPr>
        <w:spacing w:after="0" w:line="46" w:lineRule="exact"/>
        <w:rPr>
          <w:sz w:val="20"/>
          <w:szCs w:val="20"/>
          <w:color w:val="auto"/>
        </w:rPr>
      </w:pPr>
    </w:p>
    <w:p>
      <w:pPr>
        <w:jc w:val="both"/>
        <w:ind w:right="440"/>
        <w:spacing w:after="0" w:line="323" w:lineRule="auto"/>
        <w:rPr>
          <w:sz w:val="20"/>
          <w:szCs w:val="20"/>
          <w:color w:val="auto"/>
        </w:rPr>
      </w:pPr>
      <w:r>
        <w:rPr>
          <w:rFonts w:ascii="Arial" w:cs="Arial" w:eastAsia="Arial" w:hAnsi="Arial"/>
          <w:sz w:val="16"/>
          <w:szCs w:val="16"/>
          <w:color w:val="auto"/>
        </w:rPr>
        <w:t>above, will be approximately $ million. We have also agreed to reimburse the underwriters for certain expenses, including an amount not to exceed $30,000 in connection with the clearance of this offering with the Financial Industry Regulatory Authority, as set forth in the underwriting agreement.</w:t>
      </w:r>
    </w:p>
    <w:p>
      <w:pPr>
        <w:spacing w:after="0" w:line="13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officers and directors and the holders of substantially all of our capital stock (including the selling shareholder)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 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78"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60" w:hanging="446"/>
        <w:spacing w:after="0" w:line="264"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6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480" w:right="220" w:hanging="446"/>
        <w:spacing w:after="0" w:line="264"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40" w:hanging="446"/>
        <w:spacing w:after="0" w:line="342" w:lineRule="auto"/>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and the selling shareholder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52"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 standards for listing prospectuses under art. 27 ff. of the SIX Listing Rules or the listing rules of any other stock exchange or regulated trading facility in Switzerland.</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distribution of the common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common shares in Canada must be made under applicable securities laws which may vary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120" w:hanging="446"/>
        <w:spacing w:after="0" w:line="34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Arial" w:cs="Arial" w:eastAsia="Arial" w:hAnsi="Arial"/>
                <w:sz w:val="14"/>
                <w:szCs w:val="14"/>
                <w:b w:val="1"/>
                <w:bCs w:val="1"/>
                <w:color w:val="auto"/>
                <w:w w:val="85"/>
              </w:rPr>
              <w:t>Expenses</w:t>
            </w:r>
          </w:p>
        </w:tc>
        <w:tc>
          <w:tcPr>
            <w:tcW w:w="750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5,035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40"/>
          </w:cols>
          <w:pgMar w:left="240" w:top="460" w:right="3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and selling shareholder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60"/>
          </w:cols>
          <w:pgMar w:left="240" w:top="459" w:right="39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9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6080" w:type="dxa"/>
            <w:vAlign w:val="bottom"/>
            <w:gridSpan w:val="10"/>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45"/>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02">
              <w:r>
                <w:rPr>
                  <w:rFonts w:ascii="Arial" w:cs="Arial" w:eastAsia="Arial" w:hAnsi="Arial"/>
                  <w:sz w:val="18"/>
                  <w:szCs w:val="18"/>
                  <w:color w:val="0000EE"/>
                </w:rPr>
                <w:t>Balance Sheets as at June 30, 2016 and December 31, 2015</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Income Statements and Statements of Comprehensive Income for the Six Months Ended June 30,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Statements of Changes in Equity for the Six Months Ended June 30, 2016 and 2015</w:t>
              </w:r>
            </w:hyperlink>
          </w:p>
        </w:tc>
        <w:tc>
          <w:tcPr>
            <w:tcW w:w="2060" w:type="dxa"/>
            <w:vAlign w:val="bottom"/>
            <w:tcBorders>
              <w:top w:val="single" w:sz="8" w:color="0000EE"/>
            </w:tcBorders>
            <w:gridSpan w:val="4"/>
          </w:tcPr>
          <w:p>
            <w:pPr>
              <w:spacing w:after="0"/>
              <w:rPr>
                <w:sz w:val="17"/>
                <w:szCs w:val="17"/>
                <w:color w:val="auto"/>
              </w:rPr>
            </w:pPr>
          </w:p>
        </w:tc>
        <w:tc>
          <w:tcPr>
            <w:tcW w:w="160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5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05">
              <w:r>
                <w:rPr>
                  <w:rFonts w:ascii="Arial" w:cs="Arial" w:eastAsia="Arial" w:hAnsi="Arial"/>
                  <w:sz w:val="18"/>
                  <w:szCs w:val="18"/>
                  <w:color w:val="0000EE"/>
                  <w:w w:val="90"/>
                </w:rPr>
                <w:t>Statements of Cash Flows for the Six Months Ended June 30, 2016 and 2015</w:t>
              </w:r>
            </w:hyperlink>
          </w:p>
        </w:tc>
        <w:tc>
          <w:tcPr>
            <w:tcW w:w="4140" w:type="dxa"/>
            <w:vAlign w:val="bottom"/>
            <w:gridSpan w:val="8"/>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Notes to the Interim Condensed Financial Statements for the Six Months Ended June 30, 2016 and 2015</w:t>
              </w:r>
            </w:hyperlink>
          </w:p>
        </w:tc>
        <w:tc>
          <w:tcPr>
            <w:tcW w:w="222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90"/>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Balance Sheets as of December 31, 2015 and 2014</w:t>
              </w:r>
            </w:hyperlink>
          </w:p>
        </w:tc>
        <w:tc>
          <w:tcPr>
            <w:tcW w:w="5460" w:type="dxa"/>
            <w:vAlign w:val="bottom"/>
            <w:gridSpan w:val="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Income Statements and Statements of Comprehensive Income for the fiscal years ended December 31, 2015 and 2014</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Statements of Changes in Equity for the fiscal years ended December 31, 2015 and 2014</w:t>
              </w:r>
            </w:hyperlink>
          </w:p>
        </w:tc>
        <w:tc>
          <w:tcPr>
            <w:tcW w:w="2060" w:type="dxa"/>
            <w:vAlign w:val="bottom"/>
            <w:tcBorders>
              <w:top w:val="single" w:sz="8" w:color="0000EE"/>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Statements of Cash Flows for the fiscal years ended December 31, 2015 and 2014</w:t>
              </w:r>
            </w:hyperlink>
          </w:p>
        </w:tc>
        <w:tc>
          <w:tcPr>
            <w:tcW w:w="37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Notes to the Financial Statements for the fiscal years ended December 31, 2015 and 2014</w:t>
              </w:r>
            </w:hyperlink>
          </w:p>
        </w:tc>
        <w:tc>
          <w:tcPr>
            <w:tcW w:w="324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60" w:type="dxa"/>
            <w:vAlign w:val="bottom"/>
            <w:gridSpan w:val="9"/>
          </w:tcPr>
          <w:p>
            <w:pPr>
              <w:jc w:val="center"/>
              <w:ind w:right="2600"/>
              <w:spacing w:after="0"/>
              <w:rPr>
                <w:sz w:val="20"/>
                <w:szCs w:val="20"/>
                <w:color w:val="auto"/>
              </w:rPr>
            </w:pPr>
            <w:r>
              <w:rPr>
                <w:rFonts w:ascii="Arial" w:cs="Arial" w:eastAsia="Arial" w:hAnsi="Arial"/>
                <w:sz w:val="18"/>
                <w:szCs w:val="18"/>
                <w:color w:val="auto"/>
                <w:w w:val="96"/>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7"/>
              </w:rPr>
              <w:t>Notes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As at June 30,</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753</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income</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15,678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82,377</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102,529</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103,282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123,379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(33,825)</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90,542</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3,196</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3,196</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2,625</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expenses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4,719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liabilities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9,544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6,101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103,282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32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10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Notes</w:t>
            </w:r>
          </w:p>
        </w:tc>
        <w:tc>
          <w:tcPr>
            <w:tcW w:w="7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Contract revenue</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20,451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20,451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14,401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(11,018)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08"/>
              <w:spacing w:after="0"/>
              <w:rPr>
                <w:sz w:val="20"/>
                <w:szCs w:val="20"/>
                <w:color w:val="auto"/>
              </w:rPr>
            </w:pPr>
            <w:r>
              <w:rPr>
                <w:rFonts w:ascii="Arial" w:cs="Arial" w:eastAsia="Arial" w:hAnsi="Arial"/>
                <w:sz w:val="18"/>
                <w:szCs w:val="18"/>
                <w:color w:val="auto"/>
              </w:rPr>
              <w:t>(2,750)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(13,768)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(8,932)</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6,683</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207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448"/>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(EPS):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w w:val="86"/>
              </w:rPr>
              <w:t>47,209,976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42,725,207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diluted</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w w:val="86"/>
              </w:rPr>
              <w:t>49,101,623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45,845,283</w:t>
            </w:r>
          </w:p>
        </w:tc>
        <w:tc>
          <w:tcPr>
            <w:tcW w:w="0" w:type="dxa"/>
            <w:vAlign w:val="bottom"/>
          </w:tcPr>
          <w:p>
            <w:pPr>
              <w:spacing w:after="0"/>
              <w:rPr>
                <w:sz w:val="1"/>
                <w:szCs w:val="1"/>
                <w:color w:val="auto"/>
              </w:rPr>
            </w:pPr>
          </w:p>
        </w:tc>
      </w:tr>
      <w:tr>
        <w:trPr>
          <w:trHeight w:val="54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w w:val="92"/>
              </w:rPr>
              <w:t>Other comprehensive income not to be reclassified to income or loss in subsequent periods (net of tax)</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4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854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2015</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83,077</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(54,928)</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928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110,496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(40,381)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71,043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Issue of capital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60</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13,377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8"/>
              </w:rPr>
              <w:t>13,437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extension shares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13,178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199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2016</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988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123,379</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(33,825)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90,542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Income for the period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6,774</w:t>
            </w:r>
          </w:p>
        </w:tc>
        <w:tc>
          <w:tcPr>
            <w:tcW w:w="64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 for the period to net cash flows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and equipment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(7,088)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(7,202)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16,063</w:t>
            </w:r>
          </w:p>
        </w:tc>
        <w:tc>
          <w:tcPr>
            <w:tcW w:w="0" w:type="dxa"/>
            <w:vAlign w:val="bottom"/>
          </w:tcPr>
          <w:p>
            <w:pPr>
              <w:spacing w:after="0"/>
              <w:rPr>
                <w:sz w:val="1"/>
                <w:szCs w:val="1"/>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13,344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common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13,159</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Exchange gain / (loss) on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82,377</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1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the Company developed using our proprietary SupraAntigen platform. Phase 3 clinical studies for crenezumab were commenced in early 2016. The Company uses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interim condensed financial statements of AC Immune SA for the six months period ended June 30, 2016 were authorized for issue in accordance with a resolution of the Board of Directors on August 25, 2016.</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82.4 million as of June 30, 2016 which includes the $13.5 million (CHF 13.2 million) the Company raised in the Series E Extension financing in April 2016. The Company also received a clinical milestone payment of CHF 14 million in July 2016 related to the collaboration with Genentech on the anti-tau antibody program.</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20" w:firstLine="8"/>
        <w:spacing w:after="0" w:line="323" w:lineRule="auto"/>
        <w:tabs>
          <w:tab w:leader="none" w:pos="21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interim condensed financial statements for the six-month period ended June 30,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disclosed in Note 5,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41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(all figures in CHF ‘000)</w:t>
            </w:r>
          </w:p>
        </w:tc>
        <w:tc>
          <w:tcPr>
            <w:tcW w:w="3000" w:type="dxa"/>
            <w:vAlign w:val="bottom"/>
          </w:tcPr>
          <w:p>
            <w:pPr>
              <w:spacing w:after="0"/>
              <w:rPr>
                <w:sz w:val="24"/>
                <w:szCs w:val="24"/>
                <w:color w:val="auto"/>
              </w:rPr>
            </w:pPr>
          </w:p>
        </w:tc>
        <w:tc>
          <w:tcPr>
            <w:tcW w:w="3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20,135</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Grant revenue</w:t>
            </w:r>
          </w:p>
        </w:tc>
        <w:tc>
          <w:tcPr>
            <w:tcW w:w="4920" w:type="dxa"/>
            <w:vAlign w:val="bottom"/>
            <w:gridSpan w:val="3"/>
          </w:tcPr>
          <w:p>
            <w:pPr>
              <w:jc w:val="right"/>
              <w:ind w:right="940"/>
              <w:spacing w:after="0"/>
              <w:rPr>
                <w:sz w:val="20"/>
                <w:szCs w:val="20"/>
                <w:color w:val="auto"/>
              </w:rPr>
            </w:pPr>
            <w:r>
              <w:rPr>
                <w:rFonts w:ascii="Arial" w:cs="Arial" w:eastAsia="Arial" w:hAnsi="Arial"/>
                <w:sz w:val="18"/>
                <w:szCs w:val="18"/>
                <w:color w:val="auto"/>
              </w:rPr>
              <w:t>315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9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30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20,451</w:t>
            </w:r>
          </w:p>
        </w:tc>
        <w:tc>
          <w:tcPr>
            <w:tcW w:w="9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920" w:type="dxa"/>
            <w:vAlign w:val="bottom"/>
            <w:gridSpan w:val="3"/>
          </w:tcPr>
          <w:p>
            <w:pPr>
              <w:jc w:val="right"/>
              <w:ind w:right="3560"/>
              <w:spacing w:after="0"/>
              <w:rPr>
                <w:sz w:val="20"/>
                <w:szCs w:val="20"/>
                <w:color w:val="auto"/>
              </w:rPr>
            </w:pPr>
            <w:r>
              <w:rPr>
                <w:rFonts w:ascii="Arial" w:cs="Arial" w:eastAsia="Arial" w:hAnsi="Arial"/>
                <w:sz w:val="18"/>
                <w:szCs w:val="18"/>
                <w:color w:val="auto"/>
              </w:rPr>
              <w:t>F-7</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right="7780" w:firstLine="8"/>
        <w:spacing w:after="0" w:line="453" w:lineRule="auto"/>
        <w:tabs>
          <w:tab w:leader="none" w:pos="446"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color w:val="auto"/>
        </w:rPr>
        <w:t>Licensing and collaboration agreements 4.1 Research collaboration and license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December of 2014, the Company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The Company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received an upfront payment of CHF 25.9 million which it recognized in 2014 and is eligible to receive development, regulatory and commercialization milestone payments for AD and a potential second indication outside of AD. Additionally, the Company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part of this agreement, AC Immune has committed to spend CHF 13.8 million in research and</w:t>
      </w:r>
    </w:p>
    <w:p>
      <w:pPr>
        <w:spacing w:after="0" w:line="23"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development to the end of Phase 1b which is currently anticipated to be completed at the end of 2016. Under the terms of the agreement, Janssen may terminate the agreement at any time after completion of the Phase 1b clinical study by providing 90 days’ notice to the Company.</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2016, the Company received payments of CHF 1.5 million for pre-payment of research and external research costs the Company expects to incur during 2016. Pursuant to the terms of the collaboration agreement, there is a performance obligation until the end of the year. As a result, the Company is recognizing the proceeds from this payment over a 12-month period on a straight-line basis. In June 2016, the Company received a CHF 4.9 million payment for reaching a clinical milestone in the Phase 1b study. As the Company met all performance obligations on reaching the milestone, it recognized this income as revenue.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2012, the Company entered into an exclusive global license agreement and research collaboration with Genentech, Inc. to commercialize its anti-tau antibodies for use as immunotherapeutics. The value of this exclusive, worldwide alliance is potentially greater than CHF 400 million and includes upfront and milestone payments. In addition to milestones, the Company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Until June 30, 2016, the Company has received payments totalling CHF 31 million including a CHF 14 million milestone payment received in 2015. In June 2016, Genentech informed the Company that the first patient had been injected with the anti-tau antibody making the Company eligible for a CHF 14 million milestone payment and which also triggered a small licensing fee payment from AC Immune to a third party. The Company received the proceeds from this milestone payment in July 2016. Pursuant to the exclusive global license agreement, there is no further performance obligation attached to this payment, therefore the Company recognized the full amount as collaboration and license revenue in the six month period ended June 30,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Genentech may terminate the agreement at any time by providing three months’ notice to AC Immune. In such event all costs incurred are still refundable.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the Company will be entitled to receive royalties that are tied to annual sales volumes with different royalty rates applicable in the U.S. and Europe. These percentage rates range from the high single digits to the mid-teens.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Under the agreement with Genentech, the Company may become eligible to receive payments totaling up to approximately $340 million, excluding royalties.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date, the Company has received payments of $65 million (CHF 70.1 million).</w:t>
      </w:r>
    </w:p>
    <w:p>
      <w:pPr>
        <w:spacing w:after="0" w:line="355"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estimated tax expense for the six-month period ended June 30, 2016 is zero. The estimated tax expense is based on the best estimate of the weighted average annual income tax rate expected for the full financial year ended December 31, 2016. As the Company expects to incur a loss for the full year, it does not anticipate any income tax expense.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accordance with IAS 34 and consistent with prior years, the Company has not recognized any deferred tax assets relating to tax losses available but offset against future profits as the recognition criteria have not been met at the balance sheet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42"/>
        </w:trPr>
        <w:tc>
          <w:tcPr>
            <w:tcW w:w="64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Tax expense calculated at the statutory rate of 22.5%</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(1,524)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of expected tax rate for full year (2016)</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1,524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Effect of unrecognized carry forward tax loss (2015)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r>
      <w:tr>
        <w:trPr>
          <w:trHeight w:val="20"/>
        </w:trPr>
        <w:tc>
          <w:tcPr>
            <w:tcW w:w="6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to the fact that AC Immune is expected to report a loss for the full year 2016, no tax on income was payable in H1 2016. In H1 2015, no income tax was payable due to the fact that AC Immune could offset taxable income with tax loss carry forwards.</w:t>
      </w:r>
    </w:p>
    <w:p>
      <w:pPr>
        <w:spacing w:after="0" w:line="315"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carrying amounts of financial assets and financial liabilities which are a reasonable approximation of the fair value of financial assets and financial liabilities: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2"/>
        </w:trPr>
        <w:tc>
          <w:tcPr>
            <w:tcW w:w="402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2016</w:t>
            </w:r>
          </w:p>
        </w:tc>
        <w:tc>
          <w:tcPr>
            <w:tcW w:w="2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82,377</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assets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98,055</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w:t>
            </w:r>
          </w:p>
        </w:tc>
        <w:tc>
          <w:tcPr>
            <w:tcW w:w="1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Trade payables and other payables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cash balance as at June 30, 2016 contains restricted cash totaling CHF 106 thousand related to the Credit Suisse AG, Zurich (“CS AG”) Share Issuance. This cash will remain restricted while CS AG holds shares of AC Immune pursuant to the CS AG Share Issuance agreement. The table above contains assets and liabilities held at amortization cost.</w:t>
      </w:r>
    </w:p>
    <w:p>
      <w:pPr>
        <w:spacing w:after="0" w:line="326"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May 25, 2016, AC Immune entered into a subscription agreement, pursuant to which AC Immune issued 5,300,000 common shares, each with a nominal value of CHF 0.02 to CS AG at a price equal to the CHF 0.02 per share nominal value for an aggregate subscription amount of CHF 106,000 (the “CS AG Share Issuance”). CS AG will hold these shares as nominee in anticipation of the consummation of AC Immune’s IPO and CS AG has agreed not to exercise any voting rights in respect to these shares. While CS AG owns the shares, it cannot sell any of the shares without the prior consent of AC Immune and any proceeds CS AG receives above the CHF 0.02 nominal value per share, net of fees, is to be remitted to AC Immune. In connection with the CS AG Share Issuance, AC Immune gave CS AG an option to put all or part of the shares it acquired back to AC Immune at CHF 0.02 per share at any point in time, for any reason (the “Put Option”). Similarly, CS AG gave AC Immune 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call whereby AC Immune could acquire all or part of the shares it sold to CS AG at CHF 0.02 per share at any point in time, for any reason (the “Call Option”). The CS AG Share Issuance agreement has a termination date of June 30, 2017.</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Due to the existence of the Put Option, the CS AG Share Issuance has resulted in the creation a contingent liability. CS AG can exercise the Put Option for any reason at any point in time. If the Put Option is exercised, AC Immune will be required to acquire any common shares that CS AG has indicated it wants to sell under the Put Option, at CHF 0.02 per common share.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of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59"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of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60"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in July 2015, Genentech announced it will commence Phase 3 clinical studies for crenezumab in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2014, we recognized revenue associated with a research grant given to us by a European Institution in October of 2011 and which had a 3-year duration.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revenues on a straight line basis over the period of the grant.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60"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of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2016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6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has been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October 23,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0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From January 1, 2013 through August 31, 2016, the registrant issued options to purchase 963,000 shares of its common stock to its employees and directors with an exercise price of CHF 0.14548 per share.</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0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From January 1, 2013 through August 31, 2016, a total of 2,246,250 options were exercised by the registrant’s employees and directors for aggregate consideration of CHF 326,784.</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77"/>
        <w:spacing w:after="0"/>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On April 15, 2016, the registrant issued 1,401,792 shares of preferred stock for an aggregate subscription amount of $13.5 million.</w:t>
      </w:r>
    </w:p>
    <w:p>
      <w:pPr>
        <w:spacing w:after="0" w:line="128" w:lineRule="exact"/>
        <w:rPr>
          <w:rFonts w:ascii="Arial" w:cs="Arial" w:eastAsia="Arial" w:hAnsi="Arial"/>
          <w:sz w:val="17"/>
          <w:szCs w:val="17"/>
          <w:color w:val="auto"/>
        </w:rPr>
      </w:pPr>
    </w:p>
    <w:p>
      <w:pPr>
        <w:ind w:left="460" w:right="560" w:firstLine="443"/>
        <w:spacing w:after="0" w:line="277" w:lineRule="auto"/>
        <w:tabs>
          <w:tab w:leader="none" w:pos="10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On May 25, 2016, the registrant issued 5,300,000 shares of its common stock to Credit Suisse AG, Zurich for an aggregate subscription amount of CHF 106,000.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Lausanne, Switzerland on September 6, 2016.</w:t>
      </w:r>
    </w:p>
    <w:p>
      <w:pPr>
        <w:spacing w:after="0" w:line="208"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Pavey</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George Pavey</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2016 in the capacities indicated:</w:t>
      </w:r>
    </w:p>
    <w:p>
      <w:pPr>
        <w:sectPr>
          <w:pgSz w:w="11900" w:h="16838" w:orient="portrait"/>
          <w:cols w:equalWidth="0" w:num="1">
            <w:col w:w="11060"/>
          </w:cols>
          <w:pgMar w:left="240" w:top="460" w:right="59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72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3"/>
              </w:rPr>
              <w:t>Andrea Pfeifer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6"/>
              </w:rPr>
              <w:t>George Pavey</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Jean-Fabien Monin</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Administrative Officer (principal operating</w:t>
            </w: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4"/>
            <w:vMerge w:val="continue"/>
          </w:tcPr>
          <w:p>
            <w:pPr>
              <w:spacing w:after="0"/>
              <w:rPr>
                <w:sz w:val="17"/>
                <w:szCs w:val="17"/>
                <w:color w:val="auto"/>
              </w:rPr>
            </w:pPr>
          </w:p>
        </w:tc>
        <w:tc>
          <w:tcPr>
            <w:tcW w:w="3920" w:type="dxa"/>
            <w:vAlign w:val="bottom"/>
            <w:gridSpan w:val="3"/>
          </w:tcPr>
          <w:p>
            <w:pPr>
              <w:jc w:val="center"/>
              <w:ind w:left="131"/>
              <w:spacing w:after="0" w:line="203" w:lineRule="exact"/>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Jean-Fabien Monin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1"/>
              </w:rPr>
              <w:t>Chairman and 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Martin Velasco</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Detlev Riesner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Mathias Hothum</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Friedrich von Bohlen und Halbach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Peter Bollman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0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Andrea Pfeifer</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20"/>
              <w:spacing w:after="0"/>
              <w:rPr>
                <w:sz w:val="20"/>
                <w:szCs w:val="20"/>
                <w:color w:val="auto"/>
              </w:rPr>
            </w:pPr>
            <w:r>
              <w:rPr>
                <w:rFonts w:ascii="Arial" w:cs="Arial" w:eastAsia="Arial" w:hAnsi="Arial"/>
                <w:sz w:val="18"/>
                <w:szCs w:val="18"/>
                <w:color w:val="auto"/>
                <w:w w:val="87"/>
              </w:rPr>
              <w:t>/s/ George Pavey</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George Pavey</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2016</w:t>
      </w:r>
    </w:p>
    <w:p>
      <w:pPr>
        <w:spacing w:after="0" w:line="2081" w:lineRule="exact"/>
        <w:rPr>
          <w:sz w:val="20"/>
          <w:szCs w:val="20"/>
          <w:color w:val="auto"/>
        </w:rPr>
      </w:pPr>
    </w:p>
    <w:p>
      <w:pPr>
        <w:sectPr>
          <w:pgSz w:w="11900" w:h="16838" w:orient="portrait"/>
          <w:cols w:equalWidth="0" w:num="2">
            <w:col w:w="9000" w:space="700"/>
            <w:col w:w="1360"/>
          </w:cols>
          <w:pgMar w:left="240" w:top="460" w:right="599" w:bottom="1440" w:gutter="0" w:footer="0" w:header="0"/>
          <w:type w:val="continuous"/>
        </w:sectPr>
      </w:pP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060"/>
          </w:cols>
          <w:pgMar w:left="240" w:top="460" w:right="59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3"/>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5"/>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0600" w:type="dxa"/>
            <w:vAlign w:val="bottom"/>
          </w:tcPr>
          <w:p>
            <w:pPr>
              <w:ind w:left="520"/>
              <w:spacing w:after="0"/>
              <w:rPr>
                <w:sz w:val="20"/>
                <w:szCs w:val="20"/>
                <w:color w:val="auto"/>
              </w:rPr>
            </w:pPr>
            <w:r>
              <w:rPr>
                <w:rFonts w:ascii="Arial" w:cs="Arial" w:eastAsia="Arial" w:hAnsi="Arial"/>
                <w:sz w:val="18"/>
                <w:szCs w:val="18"/>
                <w:color w:val="auto"/>
              </w:rPr>
              <w:t>AC Immune SA 2013 Equity Incentive Plan*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Fidelity entities and AC Immune SA, dated October 16, 2015*</w:t>
            </w:r>
          </w:p>
        </w:tc>
      </w:tr>
      <w:tr>
        <w:trPr>
          <w:trHeight w:val="338"/>
        </w:trPr>
        <w:tc>
          <w:tcPr>
            <w:tcW w:w="40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Temasek entities and AC Immune SA, dated October 16, 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5420" w:firstLine="8"/>
        <w:spacing w:after="0" w:line="277" w:lineRule="auto"/>
        <w:tabs>
          <w:tab w:leader="none" w:pos="4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Filed in redacted form subject to a Request for Confidential Treatment. * Previously filed.</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240" w:top="460" w:right="65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21, 2016, in Amendment No. 3 to the Registration Statement (Form F-1 No. 333-211714) and related Prospectus of AC Immune SA for the registration of its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
      <w:numFmt w:val="bullet"/>
      <w:start w:val="1"/>
    </w:lvl>
    <w:lvl w:ilvl="1">
      <w:lvlJc w:val="left"/>
      <w:lvlText w:val="•"/>
      <w:numFmt w:val="bullet"/>
      <w:start w:val="1"/>
    </w:lvl>
  </w:abstractNum>
  <w:abstractNum w:abstractNumId="2">
    <w:nsid w:val="3B0FD379"/>
    <w:multiLevelType w:val="hybridMultilevel"/>
    <w:lvl w:ilvl="0">
      <w:lvlJc w:val="left"/>
      <w:lvlText w:val="•"/>
      <w:numFmt w:val="bullet"/>
      <w:start w:val="1"/>
    </w:lvl>
    <w:lvl w:ilvl="1">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1)"/>
      <w:numFmt w:val="lowerRoman"/>
      <w:start w:val="1"/>
    </w:lvl>
  </w:abstractNum>
  <w:abstractNum w:abstractNumId="10">
    <w:nsid w:val="71EA1109"/>
    <w:multiLevelType w:val="hybridMultilevel"/>
    <w:lvl w:ilvl="0">
      <w:lvlJc w:val="left"/>
      <w:lvlText w:val="(%1)"/>
      <w:numFmt w:val="lowerRoman"/>
      <w:start w:val="3"/>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1)"/>
      <w:numFmt w:val="lowerRoman"/>
      <w:start w:val="3"/>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lvl w:ilvl="1">
      <w:lvlJc w:val="left"/>
      <w:lvlText w:val="(%2)"/>
      <w:numFmt w:val="lowerRoman"/>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1)"/>
      <w:numFmt w:val="decimal"/>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1)"/>
      <w:numFmt w:val="lowerRoman"/>
      <w:start w:val="1"/>
    </w:lvl>
  </w:abstractNum>
  <w:abstractNum w:abstractNumId="49">
    <w:nsid w:val="3FA62ACA"/>
    <w:multiLevelType w:val="hybridMultilevel"/>
    <w:lvl w:ilvl="0">
      <w:lvlJc w:val="left"/>
      <w:lvlText w:val="(%1)"/>
      <w:numFmt w:val="decimal"/>
      <w:start w:val="1"/>
    </w:lvl>
  </w:abstractNum>
  <w:abstractNum w:abstractNumId="50">
    <w:nsid w:val="14FCE74E"/>
    <w:multiLevelType w:val="hybridMultilevel"/>
    <w:lvl w:ilvl="0">
      <w:lvlJc w:val="left"/>
      <w:lvlText w:val="(%1)"/>
      <w:numFmt w:val="decimal"/>
      <w:start w:val="1"/>
    </w:lvl>
  </w:abstractNum>
  <w:abstractNum w:abstractNumId="51">
    <w:nsid w:val="6A3DD3E8"/>
    <w:multiLevelType w:val="hybridMultilevel"/>
    <w:lvl w:ilvl="0">
      <w:lvlJc w:val="left"/>
      <w:lvlText w:val="(%1)"/>
      <w:numFmt w:val="lowerRoman"/>
      <w:start w:val="1"/>
    </w:lvl>
  </w:abstractNum>
  <w:abstractNum w:abstractNumId="52">
    <w:nsid w:val="71C91298"/>
    <w:multiLevelType w:val="hybridMultilevel"/>
    <w:lvl w:ilvl="0">
      <w:lvlJc w:val="left"/>
      <w:lvlText w:val="(%1)"/>
      <w:numFmt w:val="decimal"/>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lvl w:ilvl="1">
      <w:lvlJc w:val="left"/>
      <w:lvlText w:val="•"/>
      <w:numFmt w:val="bullet"/>
      <w:start w:val="1"/>
    </w:lvl>
  </w:abstractNum>
  <w:abstractNum w:abstractNumId="56">
    <w:nsid w:val="5092CA79"/>
    <w:multiLevelType w:val="hybridMultilevel"/>
    <w:lvl w:ilvl="0">
      <w:lvlJc w:val="left"/>
      <w:lvlText w:val="•"/>
      <w:numFmt w:val="bullet"/>
      <w:start w:val="1"/>
    </w:lvl>
    <w:lvl w:ilvl="1">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lvl w:ilvl="1">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
      <w:numFmt w:val="bullet"/>
      <w:start w:val="1"/>
    </w:lvl>
    <w:lvl w:ilvl="1">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lvl w:ilvl="1">
      <w:lvlJc w:val="left"/>
      <w:lvlText w:val="•"/>
      <w:numFmt w:val="bullet"/>
      <w:start w:val="1"/>
    </w:lvl>
  </w:abstractNum>
  <w:abstractNum w:abstractNumId="68">
    <w:nsid w:val="23D86AAC"/>
    <w:multiLevelType w:val="hybridMultilevel"/>
    <w:lvl w:ilvl="0">
      <w:lvlJc w:val="left"/>
      <w:lvlText w:val="(%1)"/>
      <w:numFmt w:val="decimal"/>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amp;"/>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
      <w:numFmt w:val="bullet"/>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1)"/>
      <w:numFmt w:val="decimal"/>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
      <w:numFmt w:val="bullet"/>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w:numFmt w:val="bullet"/>
      <w:start w:val="1"/>
    </w:lvl>
  </w:abstractNum>
  <w:abstractNum w:abstractNumId="107">
    <w:nsid w:val="20EE1348"/>
    <w:multiLevelType w:val="hybridMultilevel"/>
    <w:lvl w:ilvl="0">
      <w:lvlJc w:val="left"/>
      <w:lvlText w:val="•"/>
      <w:numFmt w:val="bullet"/>
      <w:start w:val="1"/>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1)"/>
      <w:numFmt w:val="lowerRoman"/>
      <w:start w:val="4"/>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
      <w:numFmt w:val="bullet"/>
      <w:start w:val="1"/>
    </w:lvl>
  </w:abstractNum>
  <w:abstractNum w:abstractNumId="118">
    <w:nsid w:val="5551B9F3"/>
    <w:multiLevelType w:val="hybridMultilevel"/>
    <w:lvl w:ilvl="0">
      <w:lvlJc w:val="left"/>
      <w:lvlText w:val="(%1)"/>
      <w:numFmt w:val="lowerRoman"/>
      <w:start w:val="2"/>
    </w:lvl>
  </w:abstractNum>
  <w:abstractNum w:abstractNumId="119">
    <w:nsid w:val="24F6AB8E"/>
    <w:multiLevelType w:val="hybridMultilevel"/>
    <w:lvl w:ilvl="0">
      <w:lvlJc w:val="left"/>
      <w:lvlText w:val="•"/>
      <w:numFmt w:val="bullet"/>
      <w:start w:val="1"/>
    </w:lvl>
    <w:lvl w:ilvl="1">
      <w:lvlJc w:val="left"/>
      <w:lvlText w:val="•"/>
      <w:numFmt w:val="bullet"/>
      <w:start w:val="1"/>
    </w:lvl>
  </w:abstractNum>
  <w:abstractNum w:abstractNumId="120">
    <w:nsid w:val="634C574C"/>
    <w:multiLevelType w:val="hybridMultilevel"/>
    <w:lvl w:ilvl="0">
      <w:lvlJc w:val="left"/>
      <w:lvlText w:val="•"/>
      <w:numFmt w:val="bullet"/>
      <w:start w:val="1"/>
    </w:lvl>
    <w:lvl w:ilvl="1">
      <w:lvlJc w:val="left"/>
      <w:lvlText w:val="•"/>
      <w:numFmt w:val="bullet"/>
      <w:start w:val="1"/>
    </w:lvl>
  </w:abstractNum>
  <w:abstractNum w:abstractNumId="121">
    <w:nsid w:val="24E99DD7"/>
    <w:multiLevelType w:val="hybridMultilevel"/>
    <w:lvl w:ilvl="0">
      <w:lvlJc w:val="left"/>
      <w:lvlText w:val="•"/>
      <w:numFmt w:val="bullet"/>
      <w:start w:val="1"/>
    </w:lvl>
  </w:abstractNum>
  <w:abstractNum w:abstractNumId="122">
    <w:nsid w:val="2A31B62D"/>
    <w:multiLevelType w:val="hybridMultilevel"/>
    <w:lvl w:ilvl="0">
      <w:lvlJc w:val="left"/>
      <w:lvlText w:val="•"/>
      <w:numFmt w:val="bullet"/>
      <w:start w:val="1"/>
    </w:lvl>
  </w:abstractNum>
  <w:abstractNum w:abstractNumId="123">
    <w:nsid w:val="1849C29B"/>
    <w:multiLevelType w:val="hybridMultilevel"/>
    <w:lvl w:ilvl="0">
      <w:lvlJc w:val="left"/>
      <w:lvlText w:val="•"/>
      <w:numFmt w:val="bullet"/>
      <w:start w:val="1"/>
    </w:lvl>
  </w:abstractNum>
  <w:abstractNum w:abstractNumId="124">
    <w:nsid w:val="7DFF9D09"/>
    <w:multiLevelType w:val="hybridMultilevel"/>
    <w:lvl w:ilvl="0">
      <w:lvlJc w:val="left"/>
      <w:lvlText w:val="(%1)"/>
      <w:numFmt w:val="lowerRoman"/>
      <w:start w:val="1"/>
    </w:lvl>
  </w:abstractNum>
  <w:abstractNum w:abstractNumId="125">
    <w:nsid w:val="754342"/>
    <w:multiLevelType w:val="hybridMultilevel"/>
    <w:lvl w:ilvl="0">
      <w:lvlJc w:val="left"/>
      <w:lvlText w:val="•"/>
      <w:numFmt w:val="bullet"/>
      <w:start w:val="1"/>
    </w:lvl>
  </w:abstractNum>
  <w:abstractNum w:abstractNumId="126">
    <w:nsid w:val="69E7F3E5"/>
    <w:multiLevelType w:val="hybridMultilevel"/>
    <w:lvl w:ilvl="0">
      <w:lvlJc w:val="left"/>
      <w:lvlText w:val="•"/>
      <w:numFmt w:val="bullet"/>
      <w:start w:val="1"/>
    </w:lvl>
  </w:abstractNum>
  <w:abstractNum w:abstractNumId="127">
    <w:nsid w:val="2A6DE806"/>
    <w:multiLevelType w:val="hybridMultilevel"/>
    <w:lvl w:ilvl="0">
      <w:lvlJc w:val="left"/>
      <w:lvlText w:val="%1."/>
      <w:numFmt w:val="decimal"/>
      <w:start w:val="1"/>
    </w:lvl>
  </w:abstractNum>
  <w:abstractNum w:abstractNumId="128">
    <w:nsid w:val="1816F8C4"/>
    <w:multiLevelType w:val="hybridMultilevel"/>
    <w:lvl w:ilvl="0">
      <w:lvlJc w:val="left"/>
      <w:lvlText w:val="%1."/>
      <w:numFmt w:val="decimal"/>
      <w:start w:val="2"/>
    </w:lvl>
  </w:abstractNum>
  <w:abstractNum w:abstractNumId="129">
    <w:nsid w:val="37DF2233"/>
    <w:multiLevelType w:val="hybridMultilevel"/>
    <w:lvl w:ilvl="0">
      <w:lvlJc w:val="left"/>
      <w:lvlText w:val="(%1)"/>
      <w:numFmt w:val="lowerRoman"/>
      <w:start w:val="1"/>
    </w:lvl>
  </w:abstractNum>
  <w:abstractNum w:abstractNumId="130">
    <w:nsid w:val="7AB49DAF"/>
    <w:multiLevelType w:val="hybridMultilevel"/>
    <w:lvl w:ilvl="0">
      <w:lvlJc w:val="left"/>
      <w:lvlText w:val="%1."/>
      <w:numFmt w:val="decimal"/>
      <w:start w:val="4"/>
    </w:lvl>
  </w:abstractNum>
  <w:abstractNum w:abstractNumId="131">
    <w:nsid w:val="759F82CD"/>
    <w:multiLevelType w:val="hybridMultilevel"/>
    <w:lvl w:ilvl="0">
      <w:lvlJc w:val="left"/>
      <w:lvlText w:val="%1."/>
      <w:numFmt w:val="decimal"/>
      <w:start w:val="5"/>
    </w:lvl>
  </w:abstractNum>
  <w:abstractNum w:abstractNumId="132">
    <w:nsid w:val="61E74EA3"/>
    <w:multiLevelType w:val="hybridMultilevel"/>
    <w:lvl w:ilvl="0">
      <w:lvlJc w:val="left"/>
      <w:lvlText w:val="%1."/>
      <w:numFmt w:val="decimal"/>
      <w:start w:val="6"/>
    </w:lvl>
  </w:abstractNum>
  <w:abstractNum w:abstractNumId="133">
    <w:nsid w:val="597B4D84"/>
    <w:multiLevelType w:val="hybridMultilevel"/>
    <w:lvl w:ilvl="0">
      <w:lvlJc w:val="left"/>
      <w:lvlText w:val="%1."/>
      <w:numFmt w:val="decimal"/>
      <w:start w:val="7"/>
    </w:lvl>
  </w:abstractNum>
  <w:abstractNum w:abstractNumId="134">
    <w:nsid w:val="F819E7F"/>
    <w:multiLevelType w:val="hybridMultilevel"/>
    <w:lvl w:ilvl="0">
      <w:lvlJc w:val="left"/>
      <w:lvlText w:val="%1."/>
      <w:numFmt w:val="decimal"/>
      <w:start w:val="1"/>
    </w:lvl>
  </w:abstractNum>
  <w:abstractNum w:abstractNumId="135">
    <w:nsid w:val="57C7D42D"/>
    <w:multiLevelType w:val="hybridMultilevel"/>
    <w:lvl w:ilvl="0">
      <w:lvlJc w:val="left"/>
      <w:lvlText w:val="%1."/>
      <w:numFmt w:val="decimal"/>
      <w:start w:val="2"/>
    </w:lvl>
  </w:abstractNum>
  <w:abstractNum w:abstractNumId="136">
    <w:nsid w:val="312167AD"/>
    <w:multiLevelType w:val="hybridMultilevel"/>
    <w:lvl w:ilvl="0">
      <w:lvlJc w:val="left"/>
      <w:lvlText w:val="(%1)"/>
      <w:numFmt w:val="lowerRoman"/>
      <w:start w:val="1"/>
    </w:lvl>
  </w:abstractNum>
  <w:abstractNum w:abstractNumId="137">
    <w:nsid w:val="631B64D4"/>
    <w:multiLevelType w:val="hybridMultilevel"/>
    <w:lvl w:ilvl="0">
      <w:lvlJc w:val="left"/>
      <w:lvlText w:val="(%1)"/>
      <w:numFmt w:val="lowerRoman"/>
      <w:start w:val="3"/>
    </w:lvl>
  </w:abstractNum>
  <w:abstractNum w:abstractNumId="138">
    <w:nsid w:val="78B5E776"/>
    <w:multiLevelType w:val="hybridMultilevel"/>
    <w:lvl w:ilvl="0">
      <w:lvlJc w:val="left"/>
      <w:lvlText w:val="%1."/>
      <w:numFmt w:val="decimal"/>
      <w:start w:val="3"/>
    </w:lvl>
  </w:abstractNum>
  <w:abstractNum w:abstractNumId="139">
    <w:nsid w:val="75486E47"/>
    <w:multiLevelType w:val="hybridMultilevel"/>
    <w:lvl w:ilvl="0">
      <w:lvlJc w:val="left"/>
      <w:lvlText w:val="•"/>
      <w:numFmt w:val="bullet"/>
      <w:start w:val="1"/>
    </w:lvl>
  </w:abstractNum>
  <w:abstractNum w:abstractNumId="140">
    <w:nsid w:val="6E534CDE"/>
    <w:multiLevelType w:val="hybridMultilevel"/>
    <w:lvl w:ilvl="0">
      <w:lvlJc w:val="left"/>
      <w:lvlText w:val="%1."/>
      <w:numFmt w:val="decimal"/>
      <w:start w:val="6"/>
    </w:lvl>
  </w:abstractNum>
  <w:abstractNum w:abstractNumId="141">
    <w:nsid w:val="1A0DDE32"/>
    <w:multiLevelType w:val="hybridMultilevel"/>
    <w:lvl w:ilvl="0">
      <w:lvlJc w:val="left"/>
      <w:lvlText w:val="%1."/>
      <w:numFmt w:val="decimal"/>
      <w:start w:val="9"/>
    </w:lvl>
  </w:abstractNum>
  <w:abstractNum w:abstractNumId="142">
    <w:nsid w:val="65968C1C"/>
    <w:multiLevelType w:val="hybridMultilevel"/>
    <w:lvl w:ilvl="0">
      <w:lvlJc w:val="left"/>
      <w:lvlText w:val="%1."/>
      <w:numFmt w:val="decimal"/>
      <w:start w:val="12"/>
    </w:lvl>
  </w:abstractNum>
  <w:abstractNum w:abstractNumId="143">
    <w:nsid w:val="46263DEC"/>
    <w:multiLevelType w:val="hybridMultilevel"/>
    <w:lvl w:ilvl="0">
      <w:lvlJc w:val="left"/>
      <w:lvlText w:val="%1."/>
      <w:numFmt w:val="decimal"/>
      <w:start w:val="13"/>
    </w:lvl>
  </w:abstractNum>
  <w:abstractNum w:abstractNumId="144">
    <w:nsid w:val="260D8C4A"/>
    <w:multiLevelType w:val="hybridMultilevel"/>
    <w:lvl w:ilvl="0">
      <w:lvlJc w:val="left"/>
      <w:lvlText w:val="%1."/>
      <w:numFmt w:val="decimal"/>
      <w:start w:val="15"/>
    </w:lvl>
  </w:abstractNum>
  <w:abstractNum w:abstractNumId="145">
    <w:nsid w:val="73D4D3C4"/>
    <w:multiLevelType w:val="hybridMultilevel"/>
    <w:lvl w:ilvl="0">
      <w:lvlJc w:val="left"/>
      <w:lvlText w:val="%1."/>
      <w:numFmt w:val="decimal"/>
      <w:start w:val="16"/>
    </w:lvl>
  </w:abstractNum>
  <w:abstractNum w:abstractNumId="146">
    <w:nsid w:val="746F2E30"/>
    <w:multiLevelType w:val="hybridMultilevel"/>
    <w:lvl w:ilvl="0">
      <w:lvlJc w:val="left"/>
      <w:lvlText w:val="%1."/>
      <w:numFmt w:val="decimal"/>
      <w:start w:val="19"/>
    </w:lvl>
  </w:abstractNum>
  <w:abstractNum w:abstractNumId="147">
    <w:nsid w:val="6FDE8AF6"/>
    <w:multiLevelType w:val="hybridMultilevel"/>
    <w:lvl w:ilvl="0">
      <w:lvlJc w:val="left"/>
      <w:lvlText w:val="%1."/>
      <w:numFmt w:val="decimal"/>
      <w:start w:val="20"/>
    </w:lvl>
  </w:abstractNum>
  <w:abstractNum w:abstractNumId="148">
    <w:nsid w:val="3FC32E20"/>
    <w:multiLevelType w:val="hybridMultilevel"/>
    <w:lvl w:ilvl="0">
      <w:lvlJc w:val="left"/>
      <w:lvlText w:val="%1."/>
      <w:numFmt w:val="decimal"/>
      <w:start w:val="21"/>
    </w:lvl>
  </w:abstractNum>
  <w:abstractNum w:abstractNumId="149">
    <w:nsid w:val="49C0E823"/>
    <w:multiLevelType w:val="hybridMultilevel"/>
    <w:lvl w:ilvl="0">
      <w:lvlJc w:val="left"/>
      <w:lvlText w:val="%1."/>
      <w:numFmt w:val="decimal"/>
      <w:start w:val="22"/>
    </w:lvl>
  </w:abstractNum>
  <w:abstractNum w:abstractNumId="150">
    <w:nsid w:val="14D53685"/>
    <w:multiLevelType w:val="hybridMultilevel"/>
    <w:lvl w:ilvl="0">
      <w:lvlJc w:val="left"/>
      <w:lvlText w:val="%1."/>
      <w:numFmt w:val="decimal"/>
      <w:start w:val="23"/>
    </w:lvl>
  </w:abstractNum>
  <w:abstractNum w:abstractNumId="151">
    <w:nsid w:val="230F856C"/>
    <w:multiLevelType w:val="hybridMultilevel"/>
    <w:lvl w:ilvl="0">
      <w:lvlJc w:val="left"/>
      <w:lvlText w:val="%1."/>
      <w:numFmt w:val="decimal"/>
      <w:start w:val="1"/>
    </w:lvl>
  </w:abstractNum>
  <w:abstractNum w:abstractNumId="152">
    <w:nsid w:val="6EAA85FB"/>
    <w:multiLevelType w:val="hybridMultilevel"/>
    <w:lvl w:ilvl="0">
      <w:lvlJc w:val="left"/>
      <w:lvlText w:val="%1."/>
      <w:numFmt w:val="decimal"/>
      <w:start w:val="6"/>
    </w:lvl>
  </w:abstractNum>
  <w:abstractNum w:abstractNumId="153">
    <w:nsid w:val="3F06ECB2"/>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4">
    <w:nsid w:val="3B594807"/>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5">
    <w:nsid w:val="6CAA23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2019-12-09T03:03:15Z</dcterms:created>
  <dcterms:modified xsi:type="dcterms:W3CDTF">2019-12-09T03:03:15Z</dcterms:modified>
</cp:coreProperties>
</file>