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379"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For the month of November,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2783205</wp:posOffset>
            </wp:positionH>
            <wp:positionV relativeFrom="paragraph">
              <wp:posOffset>50800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Commission File Number: 001-37891</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 IMMUNE SA</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jc w:val="center"/>
        <w:ind w:right="-19"/>
        <w:spacing w:after="0" w:line="234" w:lineRule="auto"/>
        <w:rPr>
          <w:sz w:val="20"/>
          <w:szCs w:val="20"/>
          <w:color w:val="auto"/>
        </w:rPr>
      </w:pPr>
      <w:r>
        <w:rPr>
          <w:rFonts w:ascii="Arial" w:cs="Arial" w:eastAsia="Arial" w:hAnsi="Arial"/>
          <w:sz w:val="22"/>
          <w:szCs w:val="22"/>
          <w:b w:val="1"/>
          <w:bCs w:val="1"/>
          <w:color w:val="auto"/>
        </w:rPr>
        <w:t>EPFL Innovation Park</w:t>
      </w:r>
    </w:p>
    <w:p>
      <w:pPr>
        <w:jc w:val="center"/>
        <w:ind w:right="-19"/>
        <w:spacing w:after="0" w:line="230" w:lineRule="auto"/>
        <w:rPr>
          <w:sz w:val="20"/>
          <w:szCs w:val="20"/>
          <w:color w:val="auto"/>
        </w:rPr>
      </w:pPr>
      <w:r>
        <w:rPr>
          <w:rFonts w:ascii="Arial" w:cs="Arial" w:eastAsia="Arial" w:hAnsi="Arial"/>
          <w:sz w:val="22"/>
          <w:szCs w:val="22"/>
          <w:b w:val="1"/>
          <w:bCs w:val="1"/>
          <w:color w:val="auto"/>
        </w:rPr>
        <w:t>Building B</w:t>
      </w:r>
    </w:p>
    <w:p>
      <w:pPr>
        <w:jc w:val="center"/>
        <w:ind w:right="-19"/>
        <w:spacing w:after="0" w:line="236" w:lineRule="auto"/>
        <w:rPr>
          <w:sz w:val="20"/>
          <w:szCs w:val="20"/>
          <w:color w:val="auto"/>
        </w:rPr>
      </w:pPr>
      <w:r>
        <w:rPr>
          <w:rFonts w:ascii="Arial" w:cs="Arial" w:eastAsia="Arial" w:hAnsi="Arial"/>
          <w:sz w:val="22"/>
          <w:szCs w:val="22"/>
          <w:b w:val="1"/>
          <w:bCs w:val="1"/>
          <w:color w:val="auto"/>
        </w:rPr>
        <w:t>1015 Lausanne, Switzerland</w:t>
      </w: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2560"/>
        <w:spacing w:after="0"/>
        <w:tabs>
          <w:tab w:leader="none" w:pos="4500" w:val="left"/>
          <w:tab w:leader="none" w:pos="68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2611755</wp:posOffset>
            </wp:positionH>
            <wp:positionV relativeFrom="paragraph">
              <wp:posOffset>14605</wp:posOffset>
            </wp:positionV>
            <wp:extent cx="6172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23495</wp:posOffset>
            </wp:positionV>
            <wp:extent cx="608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2820"/>
        <w:spacing w:after="0"/>
        <w:tabs>
          <w:tab w:leader="none" w:pos="7080" w:val="left"/>
          <w:tab w:leader="none" w:pos="86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14605</wp:posOffset>
            </wp:positionV>
            <wp:extent cx="608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23495</wp:posOffset>
            </wp:positionV>
            <wp:extent cx="617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2820"/>
        <w:spacing w:after="0"/>
        <w:tabs>
          <w:tab w:leader="none" w:pos="7080" w:val="left"/>
          <w:tab w:leader="none" w:pos="86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14605</wp:posOffset>
            </wp:positionV>
            <wp:extent cx="608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23495</wp:posOffset>
            </wp:positionV>
            <wp:extent cx="617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263525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225" w:right="459"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2020</w:t>
      </w:r>
    </w:p>
    <w:p>
      <w:pPr>
        <w:spacing w:after="0" w:line="31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580"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160" w:type="dxa"/>
            <w:vAlign w:val="bottom"/>
          </w:tcPr>
          <w:p>
            <w:pPr>
              <w:jc w:val="center"/>
              <w:ind w:right="990"/>
              <w:spacing w:after="0"/>
              <w:rPr>
                <w:sz w:val="20"/>
                <w:szCs w:val="20"/>
                <w:color w:val="auto"/>
              </w:rPr>
            </w:pPr>
            <w:r>
              <w:rPr>
                <w:rFonts w:ascii="Arial" w:cs="Arial" w:eastAsia="Arial" w:hAnsi="Arial"/>
                <w:sz w:val="18"/>
                <w:szCs w:val="18"/>
                <w:b w:val="1"/>
                <w:bCs w:val="1"/>
                <w:color w:val="auto"/>
              </w:rPr>
              <w:t>EXHIBIT INDEX</w:t>
            </w:r>
          </w:p>
        </w:tc>
      </w:tr>
      <w:tr>
        <w:trPr>
          <w:trHeight w:val="630"/>
        </w:trPr>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34"/>
        </w:trPr>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20"/>
                <w:szCs w:val="20"/>
                <w:color w:val="auto"/>
              </w:rPr>
            </w:pPr>
          </w:p>
        </w:tc>
        <w:tc>
          <w:tcPr>
            <w:tcW w:w="10160" w:type="dxa"/>
            <w:vAlign w:val="bottom"/>
            <w:tcBorders>
              <w:bottom w:val="single" w:sz="8" w:color="auto"/>
            </w:tcBorders>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020" w:type="dxa"/>
            <w:vAlign w:val="bottom"/>
          </w:tcPr>
          <w:p>
            <w:pPr>
              <w:jc w:val="right"/>
              <w:ind w:right="610"/>
              <w:spacing w:after="0" w:line="195" w:lineRule="exact"/>
              <w:rPr>
                <w:sz w:val="20"/>
                <w:szCs w:val="20"/>
                <w:color w:val="auto"/>
              </w:rPr>
            </w:pPr>
            <w:r>
              <w:rPr>
                <w:rFonts w:ascii="Arial" w:cs="Arial" w:eastAsia="Arial" w:hAnsi="Arial"/>
                <w:sz w:val="18"/>
                <w:szCs w:val="18"/>
                <w:color w:val="auto"/>
                <w:w w:val="85"/>
              </w:rPr>
              <w:t>99.1</w:t>
            </w:r>
          </w:p>
        </w:tc>
        <w:tc>
          <w:tcPr>
            <w:tcW w:w="60" w:type="dxa"/>
            <w:vAlign w:val="bottom"/>
          </w:tcPr>
          <w:p>
            <w:pPr>
              <w:spacing w:after="0"/>
              <w:rPr>
                <w:sz w:val="16"/>
                <w:szCs w:val="16"/>
                <w:color w:val="auto"/>
              </w:rPr>
            </w:pPr>
          </w:p>
        </w:tc>
        <w:tc>
          <w:tcPr>
            <w:tcW w:w="10160" w:type="dxa"/>
            <w:vAlign w:val="bottom"/>
          </w:tcPr>
          <w:p>
            <w:pPr>
              <w:ind w:left="20"/>
              <w:spacing w:after="0" w:line="195" w:lineRule="exact"/>
              <w:rPr>
                <w:sz w:val="20"/>
                <w:szCs w:val="20"/>
                <w:color w:val="auto"/>
              </w:rPr>
            </w:pPr>
            <w:r>
              <w:rPr>
                <w:rFonts w:ascii="Arial" w:cs="Arial" w:eastAsia="Arial" w:hAnsi="Arial"/>
                <w:sz w:val="18"/>
                <w:szCs w:val="18"/>
                <w:color w:val="auto"/>
                <w:w w:val="98"/>
              </w:rPr>
              <w:t>Interim Condensed Financial Statements (Unaudited) (IFRS) as of and for the three and nine months ended September 30, 2020</w:t>
            </w:r>
          </w:p>
        </w:tc>
      </w:tr>
      <w:tr>
        <w:trPr>
          <w:trHeight w:val="216"/>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99.2</w:t>
            </w:r>
          </w:p>
        </w:tc>
        <w:tc>
          <w:tcPr>
            <w:tcW w:w="60" w:type="dxa"/>
            <w:vAlign w:val="bottom"/>
          </w:tcPr>
          <w:p>
            <w:pPr>
              <w:spacing w:after="0"/>
              <w:rPr>
                <w:sz w:val="18"/>
                <w:szCs w:val="18"/>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30"/>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99.3</w:t>
            </w:r>
          </w:p>
        </w:tc>
        <w:tc>
          <w:tcPr>
            <w:tcW w:w="60" w:type="dxa"/>
            <w:vAlign w:val="bottom"/>
          </w:tcPr>
          <w:p>
            <w:pPr>
              <w:spacing w:after="0"/>
              <w:rPr>
                <w:sz w:val="20"/>
                <w:szCs w:val="20"/>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Press Release dated November 13, 2020</w:t>
            </w:r>
          </w:p>
        </w:tc>
      </w:tr>
      <w:tr>
        <w:trPr>
          <w:trHeight w:val="351"/>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gridSpan w:val="2"/>
          </w:tcPr>
          <w:p>
            <w:pPr>
              <w:jc w:val="right"/>
              <w:ind w:right="5470"/>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3"/>
          </w:tcPr>
          <w:p>
            <w:pPr>
              <w:ind w:left="240"/>
              <w:spacing w:after="0"/>
              <w:rPr>
                <w:sz w:val="20"/>
                <w:szCs w:val="20"/>
                <w:color w:val="auto"/>
              </w:rPr>
            </w:pPr>
            <w:r>
              <w:rPr>
                <w:rFonts w:ascii="Arial" w:cs="Arial" w:eastAsia="Arial" w:hAnsi="Arial"/>
                <w:sz w:val="18"/>
                <w:szCs w:val="18"/>
                <w:b w:val="1"/>
                <w:bCs w:val="1"/>
                <w:color w:val="auto"/>
              </w:rPr>
              <w:t>As of September 30,</w:t>
            </w:r>
          </w:p>
        </w:tc>
        <w:tc>
          <w:tcPr>
            <w:tcW w:w="2020" w:type="dxa"/>
            <w:vAlign w:val="bottom"/>
          </w:tcPr>
          <w:p>
            <w:pPr>
              <w:jc w:val="right"/>
              <w:ind w:right="1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4"/>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gridSpan w:val="2"/>
          </w:tcPr>
          <w:p>
            <w:pPr>
              <w:ind w:left="60"/>
              <w:spacing w:after="0"/>
              <w:rPr>
                <w:sz w:val="20"/>
                <w:szCs w:val="20"/>
                <w:color w:val="auto"/>
              </w:rPr>
            </w:pPr>
            <w:r>
              <w:rPr>
                <w:rFonts w:ascii="Arial" w:cs="Arial" w:eastAsia="Arial" w:hAnsi="Arial"/>
                <w:sz w:val="18"/>
                <w:szCs w:val="18"/>
                <w:b w:val="1"/>
                <w:bCs w:val="1"/>
                <w:color w:val="auto"/>
              </w:rPr>
              <w:t>Notes</w:t>
            </w:r>
          </w:p>
        </w:tc>
        <w:tc>
          <w:tcPr>
            <w:tcW w:w="19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6320" w:type="dxa"/>
            <w:vAlign w:val="bottom"/>
            <w:vMerge w:val="continue"/>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5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rPr>
              <w:t>Right-of-use assets</w:t>
            </w:r>
          </w:p>
        </w:tc>
        <w:tc>
          <w:tcPr>
            <w:tcW w:w="5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D5EAEA"/>
          </w:tcPr>
          <w:p>
            <w:pPr>
              <w:spacing w:after="0"/>
              <w:rPr>
                <w:sz w:val="18"/>
                <w:szCs w:val="18"/>
                <w:color w:val="auto"/>
              </w:rPr>
            </w:pPr>
          </w:p>
        </w:tc>
        <w:tc>
          <w:tcPr>
            <w:tcW w:w="20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Long-term financial assets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7"/>
        </w:trPr>
        <w:tc>
          <w:tcPr>
            <w:tcW w:w="63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56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6,021</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2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assets</w:t>
            </w:r>
          </w:p>
        </w:tc>
        <w:tc>
          <w:tcPr>
            <w:tcW w:w="5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Prepaid expenses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5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D5EAEA"/>
          </w:tcPr>
          <w:p>
            <w:pPr>
              <w:spacing w:after="0"/>
              <w:rPr>
                <w:sz w:val="18"/>
                <w:szCs w:val="18"/>
                <w:color w:val="auto"/>
              </w:rPr>
            </w:pPr>
          </w:p>
        </w:tc>
        <w:tc>
          <w:tcPr>
            <w:tcW w:w="20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5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D5EAEA"/>
          </w:tcPr>
          <w:p>
            <w:pPr>
              <w:spacing w:after="0"/>
              <w:rPr>
                <w:sz w:val="18"/>
                <w:szCs w:val="18"/>
                <w:color w:val="auto"/>
              </w:rPr>
            </w:pPr>
          </w:p>
        </w:tc>
        <w:tc>
          <w:tcPr>
            <w:tcW w:w="20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176,567</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193,587</w:t>
            </w:r>
          </w:p>
        </w:tc>
        <w:tc>
          <w:tcPr>
            <w:tcW w:w="0" w:type="dxa"/>
            <w:vAlign w:val="bottom"/>
          </w:tcPr>
          <w:p>
            <w:pPr>
              <w:spacing w:after="0"/>
              <w:rPr>
                <w:sz w:val="1"/>
                <w:szCs w:val="1"/>
                <w:color w:val="auto"/>
              </w:rPr>
            </w:pPr>
          </w:p>
        </w:tc>
      </w:tr>
      <w:tr>
        <w:trPr>
          <w:trHeight w:val="210"/>
        </w:trPr>
        <w:tc>
          <w:tcPr>
            <w:tcW w:w="63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56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250,589</w:t>
            </w:r>
          </w:p>
        </w:tc>
        <w:tc>
          <w:tcPr>
            <w:tcW w:w="12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2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292,774</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5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256,610</w:t>
            </w:r>
          </w:p>
        </w:tc>
        <w:tc>
          <w:tcPr>
            <w:tcW w:w="12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299,250</w:t>
            </w: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18"/>
                <w:szCs w:val="18"/>
                <w:color w:val="auto"/>
              </w:rPr>
            </w:pPr>
          </w:p>
        </w:tc>
        <w:tc>
          <w:tcPr>
            <w:tcW w:w="5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18"/>
                <w:szCs w:val="18"/>
                <w:color w:val="auto"/>
              </w:rPr>
            </w:pPr>
          </w:p>
        </w:tc>
        <w:tc>
          <w:tcPr>
            <w:tcW w:w="5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5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0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Share premium</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346,842</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346,526</w:t>
            </w: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rPr>
              <w:t>Treasury shares</w:t>
            </w:r>
          </w:p>
        </w:tc>
        <w:tc>
          <w:tcPr>
            <w:tcW w:w="5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8"/>
                <w:szCs w:val="18"/>
                <w:color w:val="auto"/>
              </w:rPr>
            </w:pPr>
          </w:p>
        </w:tc>
        <w:tc>
          <w:tcPr>
            <w:tcW w:w="202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Accumulated losses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(115,038)</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29"/>
        </w:trPr>
        <w:tc>
          <w:tcPr>
            <w:tcW w:w="63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56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233,243</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272,442</w:t>
            </w:r>
          </w:p>
        </w:tc>
        <w:tc>
          <w:tcPr>
            <w:tcW w:w="0" w:type="dxa"/>
            <w:vAlign w:val="bottom"/>
          </w:tcPr>
          <w:p>
            <w:pPr>
              <w:spacing w:after="0"/>
              <w:rPr>
                <w:sz w:val="1"/>
                <w:szCs w:val="1"/>
                <w:color w:val="auto"/>
              </w:rPr>
            </w:pPr>
          </w:p>
        </w:tc>
      </w:tr>
      <w:tr>
        <w:trPr>
          <w:trHeight w:val="419"/>
        </w:trPr>
        <w:tc>
          <w:tcPr>
            <w:tcW w:w="63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rPr>
              <w:t>Long-term lease liabilities</w:t>
            </w:r>
          </w:p>
        </w:tc>
        <w:tc>
          <w:tcPr>
            <w:tcW w:w="5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D5EAEA"/>
          </w:tcPr>
          <w:p>
            <w:pPr>
              <w:spacing w:after="0"/>
              <w:rPr>
                <w:sz w:val="18"/>
                <w:szCs w:val="18"/>
                <w:color w:val="auto"/>
              </w:rPr>
            </w:pPr>
          </w:p>
        </w:tc>
        <w:tc>
          <w:tcPr>
            <w:tcW w:w="20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16"/>
        </w:trPr>
        <w:tc>
          <w:tcPr>
            <w:tcW w:w="63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56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9,520</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2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liabilities</w:t>
            </w:r>
          </w:p>
        </w:tc>
        <w:tc>
          <w:tcPr>
            <w:tcW w:w="5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0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10,996</w:t>
            </w: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11,797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Short-term deferred income</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financing obligation</w:t>
            </w:r>
          </w:p>
        </w:tc>
        <w:tc>
          <w:tcPr>
            <w:tcW w:w="5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D5EAEA"/>
          </w:tcPr>
          <w:p>
            <w:pPr>
              <w:spacing w:after="0"/>
              <w:rPr>
                <w:sz w:val="18"/>
                <w:szCs w:val="18"/>
                <w:color w:val="auto"/>
              </w:rPr>
            </w:pPr>
          </w:p>
        </w:tc>
        <w:tc>
          <w:tcPr>
            <w:tcW w:w="20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D5EAEA"/>
          </w:tcPr>
          <w:p>
            <w:pPr>
              <w:spacing w:after="0"/>
              <w:rPr>
                <w:sz w:val="18"/>
                <w:szCs w:val="18"/>
                <w:color w:val="auto"/>
              </w:rPr>
            </w:pPr>
          </w:p>
        </w:tc>
        <w:tc>
          <w:tcPr>
            <w:tcW w:w="2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Short-term lease liabilities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9"/>
        </w:trPr>
        <w:tc>
          <w:tcPr>
            <w:tcW w:w="63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56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13,847</w:t>
            </w:r>
          </w:p>
        </w:tc>
        <w:tc>
          <w:tcPr>
            <w:tcW w:w="12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2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liabilities</w:t>
            </w:r>
          </w:p>
        </w:tc>
        <w:tc>
          <w:tcPr>
            <w:tcW w:w="5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23,367</w:t>
            </w:r>
          </w:p>
        </w:tc>
        <w:tc>
          <w:tcPr>
            <w:tcW w:w="12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26,808</w:t>
            </w:r>
          </w:p>
        </w:tc>
        <w:tc>
          <w:tcPr>
            <w:tcW w:w="0" w:type="dxa"/>
            <w:vAlign w:val="bottom"/>
          </w:tcPr>
          <w:p>
            <w:pPr>
              <w:spacing w:after="0"/>
              <w:rPr>
                <w:sz w:val="1"/>
                <w:szCs w:val="1"/>
                <w:color w:val="auto"/>
              </w:rPr>
            </w:pPr>
          </w:p>
        </w:tc>
      </w:tr>
      <w:tr>
        <w:trPr>
          <w:trHeight w:val="217"/>
        </w:trPr>
        <w:tc>
          <w:tcPr>
            <w:tcW w:w="63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560" w:type="dxa"/>
            <w:vAlign w:val="bottom"/>
            <w:tcBorders>
              <w:bottom w:val="single" w:sz="8" w:color="D5EAEA"/>
            </w:tcBorders>
            <w:shd w:val="clear" w:color="auto" w:fill="D5EAEA"/>
          </w:tcPr>
          <w:p>
            <w:pPr>
              <w:spacing w:after="0"/>
              <w:rPr>
                <w:sz w:val="18"/>
                <w:szCs w:val="18"/>
                <w:color w:val="auto"/>
              </w:rPr>
            </w:pPr>
          </w:p>
        </w:tc>
        <w:tc>
          <w:tcPr>
            <w:tcW w:w="120" w:type="dxa"/>
            <w:vAlign w:val="bottom"/>
            <w:tcBorders>
              <w:bottom w:val="single" w:sz="8" w:color="D5EAEA"/>
            </w:tcBorders>
            <w:shd w:val="clear" w:color="auto" w:fill="D5EAEA"/>
          </w:tcPr>
          <w:p>
            <w:pPr>
              <w:spacing w:after="0"/>
              <w:rPr>
                <w:sz w:val="18"/>
                <w:szCs w:val="18"/>
                <w:color w:val="auto"/>
              </w:rPr>
            </w:pPr>
          </w:p>
        </w:tc>
        <w:tc>
          <w:tcPr>
            <w:tcW w:w="19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256,610</w:t>
            </w:r>
          </w:p>
        </w:tc>
        <w:tc>
          <w:tcPr>
            <w:tcW w:w="120" w:type="dxa"/>
            <w:vAlign w:val="bottom"/>
            <w:tcBorders>
              <w:bottom w:val="single" w:sz="8" w:color="D5EAEA"/>
            </w:tcBorders>
            <w:shd w:val="clear" w:color="auto" w:fill="D5EAEA"/>
          </w:tcPr>
          <w:p>
            <w:pPr>
              <w:spacing w:after="0"/>
              <w:rPr>
                <w:sz w:val="18"/>
                <w:szCs w:val="18"/>
                <w:color w:val="auto"/>
              </w:rPr>
            </w:pPr>
          </w:p>
        </w:tc>
        <w:tc>
          <w:tcPr>
            <w:tcW w:w="100" w:type="dxa"/>
            <w:vAlign w:val="bottom"/>
            <w:tcBorders>
              <w:bottom w:val="single" w:sz="8" w:color="D5EAEA"/>
            </w:tcBorders>
            <w:shd w:val="clear" w:color="auto" w:fill="D5EAEA"/>
          </w:tcPr>
          <w:p>
            <w:pPr>
              <w:spacing w:after="0"/>
              <w:rPr>
                <w:sz w:val="18"/>
                <w:szCs w:val="18"/>
                <w:color w:val="auto"/>
              </w:rPr>
            </w:pPr>
          </w:p>
        </w:tc>
        <w:tc>
          <w:tcPr>
            <w:tcW w:w="2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299,250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9"/>
          </w:tcPr>
          <w:p>
            <w:pPr>
              <w:ind w:left="400"/>
              <w:spacing w:after="0"/>
              <w:rPr>
                <w:sz w:val="20"/>
                <w:szCs w:val="20"/>
                <w:color w:val="auto"/>
              </w:rPr>
            </w:pPr>
            <w:r>
              <w:rPr>
                <w:rFonts w:ascii="Arial" w:cs="Arial" w:eastAsia="Arial" w:hAnsi="Arial"/>
                <w:sz w:val="18"/>
                <w:szCs w:val="18"/>
                <w:b w:val="1"/>
                <w:bCs w:val="1"/>
                <w:color w:val="auto"/>
              </w:rPr>
              <w:t>For the Three Months</w:t>
            </w:r>
          </w:p>
        </w:tc>
        <w:tc>
          <w:tcPr>
            <w:tcW w:w="100" w:type="dxa"/>
            <w:vAlign w:val="bottom"/>
          </w:tcPr>
          <w:p>
            <w:pPr>
              <w:spacing w:after="0"/>
              <w:rPr>
                <w:sz w:val="18"/>
                <w:szCs w:val="18"/>
                <w:color w:val="auto"/>
              </w:rPr>
            </w:pPr>
          </w:p>
        </w:tc>
        <w:tc>
          <w:tcPr>
            <w:tcW w:w="2800" w:type="dxa"/>
            <w:vAlign w:val="bottom"/>
            <w:gridSpan w:val="7"/>
          </w:tcPr>
          <w:p>
            <w:pPr>
              <w:ind w:left="54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Notes</w:t>
            </w:r>
          </w:p>
        </w:tc>
        <w:tc>
          <w:tcPr>
            <w:tcW w:w="2600" w:type="dxa"/>
            <w:vAlign w:val="bottom"/>
            <w:gridSpan w:val="9"/>
          </w:tcPr>
          <w:p>
            <w:pPr>
              <w:ind w:left="420"/>
              <w:spacing w:after="0"/>
              <w:rPr>
                <w:sz w:val="20"/>
                <w:szCs w:val="20"/>
                <w:color w:val="auto"/>
              </w:rPr>
            </w:pPr>
            <w:r>
              <w:rPr>
                <w:rFonts w:ascii="Arial" w:cs="Arial" w:eastAsia="Arial" w:hAnsi="Arial"/>
                <w:sz w:val="18"/>
                <w:szCs w:val="18"/>
                <w:b w:val="1"/>
                <w:bCs w:val="1"/>
                <w:color w:val="auto"/>
              </w:rPr>
              <w:t>Ended September 30,</w:t>
            </w:r>
          </w:p>
        </w:tc>
        <w:tc>
          <w:tcPr>
            <w:tcW w:w="100" w:type="dxa"/>
            <w:vAlign w:val="bottom"/>
          </w:tcPr>
          <w:p>
            <w:pPr>
              <w:spacing w:after="0"/>
              <w:rPr>
                <w:sz w:val="20"/>
                <w:szCs w:val="20"/>
                <w:color w:val="auto"/>
              </w:rPr>
            </w:pPr>
          </w:p>
        </w:tc>
        <w:tc>
          <w:tcPr>
            <w:tcW w:w="280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14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D7EAEA"/>
            </w:tcBorders>
            <w:shd w:val="clear" w:color="auto" w:fill="D7EAEA"/>
          </w:tcPr>
          <w:p>
            <w:pPr>
              <w:spacing w:after="0"/>
              <w:rPr>
                <w:sz w:val="20"/>
                <w:szCs w:val="20"/>
                <w:color w:val="auto"/>
              </w:rPr>
            </w:pPr>
            <w:r>
              <w:rPr>
                <w:rFonts w:ascii="Arial" w:cs="Arial" w:eastAsia="Arial" w:hAnsi="Arial"/>
                <w:sz w:val="18"/>
                <w:szCs w:val="18"/>
                <w:b w:val="1"/>
                <w:bCs w:val="1"/>
                <w:color w:val="auto"/>
              </w:rPr>
              <w:t>Revenue</w:t>
            </w:r>
          </w:p>
        </w:tc>
        <w:tc>
          <w:tcPr>
            <w:tcW w:w="680" w:type="dxa"/>
            <w:vAlign w:val="bottom"/>
            <w:tcBorders>
              <w:top w:val="single" w:sz="8" w:color="auto"/>
            </w:tcBorders>
            <w:shd w:val="clear" w:color="auto" w:fill="D7EAEA"/>
          </w:tcPr>
          <w:p>
            <w:pPr>
              <w:spacing w:after="0"/>
              <w:rPr>
                <w:sz w:val="18"/>
                <w:szCs w:val="18"/>
                <w:color w:val="auto"/>
              </w:rPr>
            </w:pPr>
          </w:p>
        </w:tc>
        <w:tc>
          <w:tcPr>
            <w:tcW w:w="100" w:type="dxa"/>
            <w:vAlign w:val="bottom"/>
            <w:tcBorders>
              <w:top w:val="single" w:sz="8" w:color="D7EAEA"/>
            </w:tcBorders>
            <w:shd w:val="clear" w:color="auto" w:fill="D7EAEA"/>
          </w:tcPr>
          <w:p>
            <w:pPr>
              <w:spacing w:after="0"/>
              <w:rPr>
                <w:sz w:val="18"/>
                <w:szCs w:val="18"/>
                <w:color w:val="auto"/>
              </w:rPr>
            </w:pPr>
          </w:p>
        </w:tc>
        <w:tc>
          <w:tcPr>
            <w:tcW w:w="20" w:type="dxa"/>
            <w:vAlign w:val="bottom"/>
            <w:tcBorders>
              <w:top w:val="single" w:sz="8" w:color="D7EAEA"/>
            </w:tcBorders>
            <w:shd w:val="clear" w:color="auto" w:fill="D7EAEA"/>
          </w:tcPr>
          <w:p>
            <w:pPr>
              <w:spacing w:after="0"/>
              <w:rPr>
                <w:sz w:val="18"/>
                <w:szCs w:val="18"/>
                <w:color w:val="auto"/>
              </w:rPr>
            </w:pPr>
          </w:p>
        </w:tc>
        <w:tc>
          <w:tcPr>
            <w:tcW w:w="1140" w:type="dxa"/>
            <w:vAlign w:val="bottom"/>
            <w:tcBorders>
              <w:top w:val="single" w:sz="8" w:color="auto"/>
            </w:tcBorders>
            <w:shd w:val="clear" w:color="auto" w:fill="D7EAEA"/>
          </w:tcPr>
          <w:p>
            <w:pPr>
              <w:spacing w:after="0"/>
              <w:rPr>
                <w:sz w:val="18"/>
                <w:szCs w:val="18"/>
                <w:color w:val="auto"/>
              </w:rPr>
            </w:pPr>
          </w:p>
        </w:tc>
        <w:tc>
          <w:tcPr>
            <w:tcW w:w="80" w:type="dxa"/>
            <w:vAlign w:val="bottom"/>
            <w:tcBorders>
              <w:top w:val="single" w:sz="8" w:color="D7EAEA"/>
            </w:tcBorders>
            <w:shd w:val="clear" w:color="auto" w:fill="D7EAEA"/>
          </w:tcPr>
          <w:p>
            <w:pPr>
              <w:spacing w:after="0"/>
              <w:rPr>
                <w:sz w:val="18"/>
                <w:szCs w:val="18"/>
                <w:color w:val="auto"/>
              </w:rPr>
            </w:pPr>
          </w:p>
        </w:tc>
        <w:tc>
          <w:tcPr>
            <w:tcW w:w="120" w:type="dxa"/>
            <w:vAlign w:val="bottom"/>
            <w:tcBorders>
              <w:top w:val="single" w:sz="8" w:color="D7EAEA"/>
            </w:tcBorders>
            <w:shd w:val="clear" w:color="auto" w:fill="D7EAEA"/>
          </w:tcPr>
          <w:p>
            <w:pPr>
              <w:spacing w:after="0"/>
              <w:rPr>
                <w:sz w:val="18"/>
                <w:szCs w:val="18"/>
                <w:color w:val="auto"/>
              </w:rPr>
            </w:pPr>
          </w:p>
        </w:tc>
        <w:tc>
          <w:tcPr>
            <w:tcW w:w="40" w:type="dxa"/>
            <w:vAlign w:val="bottom"/>
            <w:tcBorders>
              <w:top w:val="single" w:sz="8" w:color="D7EAEA"/>
            </w:tcBorders>
            <w:shd w:val="clear" w:color="auto" w:fill="D7EAEA"/>
          </w:tcPr>
          <w:p>
            <w:pPr>
              <w:spacing w:after="0"/>
              <w:rPr>
                <w:sz w:val="18"/>
                <w:szCs w:val="18"/>
                <w:color w:val="auto"/>
              </w:rPr>
            </w:pPr>
          </w:p>
        </w:tc>
        <w:tc>
          <w:tcPr>
            <w:tcW w:w="100" w:type="dxa"/>
            <w:vAlign w:val="bottom"/>
            <w:tcBorders>
              <w:top w:val="single" w:sz="8" w:color="D7EAEA"/>
            </w:tcBorders>
            <w:shd w:val="clear" w:color="auto" w:fill="D7EAEA"/>
          </w:tcPr>
          <w:p>
            <w:pPr>
              <w:spacing w:after="0"/>
              <w:rPr>
                <w:sz w:val="18"/>
                <w:szCs w:val="18"/>
                <w:color w:val="auto"/>
              </w:rPr>
            </w:pPr>
          </w:p>
        </w:tc>
        <w:tc>
          <w:tcPr>
            <w:tcW w:w="980" w:type="dxa"/>
            <w:vAlign w:val="bottom"/>
            <w:tcBorders>
              <w:top w:val="single" w:sz="8" w:color="auto"/>
            </w:tcBorders>
            <w:shd w:val="clear" w:color="auto" w:fill="D7EAEA"/>
          </w:tcPr>
          <w:p>
            <w:pPr>
              <w:spacing w:after="0"/>
              <w:rPr>
                <w:sz w:val="18"/>
                <w:szCs w:val="18"/>
                <w:color w:val="auto"/>
              </w:rPr>
            </w:pPr>
          </w:p>
        </w:tc>
        <w:tc>
          <w:tcPr>
            <w:tcW w:w="20" w:type="dxa"/>
            <w:vAlign w:val="bottom"/>
            <w:tcBorders>
              <w:top w:val="single" w:sz="8" w:color="auto"/>
            </w:tcBorders>
            <w:shd w:val="clear" w:color="auto" w:fill="D7EAEA"/>
          </w:tcPr>
          <w:p>
            <w:pPr>
              <w:spacing w:after="0"/>
              <w:rPr>
                <w:sz w:val="18"/>
                <w:szCs w:val="18"/>
                <w:color w:val="auto"/>
              </w:rPr>
            </w:pPr>
          </w:p>
        </w:tc>
        <w:tc>
          <w:tcPr>
            <w:tcW w:w="100" w:type="dxa"/>
            <w:vAlign w:val="bottom"/>
            <w:tcBorders>
              <w:top w:val="single" w:sz="8" w:color="D7EAEA"/>
            </w:tcBorders>
            <w:shd w:val="clear" w:color="auto" w:fill="D7EAEA"/>
          </w:tcPr>
          <w:p>
            <w:pPr>
              <w:spacing w:after="0"/>
              <w:rPr>
                <w:sz w:val="18"/>
                <w:szCs w:val="18"/>
                <w:color w:val="auto"/>
              </w:rPr>
            </w:pPr>
          </w:p>
        </w:tc>
        <w:tc>
          <w:tcPr>
            <w:tcW w:w="20" w:type="dxa"/>
            <w:vAlign w:val="bottom"/>
            <w:tcBorders>
              <w:top w:val="single" w:sz="8" w:color="D7EAEA"/>
            </w:tcBorders>
            <w:shd w:val="clear" w:color="auto" w:fill="D7EAEA"/>
          </w:tcPr>
          <w:p>
            <w:pPr>
              <w:spacing w:after="0"/>
              <w:rPr>
                <w:sz w:val="18"/>
                <w:szCs w:val="18"/>
                <w:color w:val="auto"/>
              </w:rPr>
            </w:pPr>
          </w:p>
        </w:tc>
        <w:tc>
          <w:tcPr>
            <w:tcW w:w="100" w:type="dxa"/>
            <w:vAlign w:val="bottom"/>
            <w:tcBorders>
              <w:top w:val="single" w:sz="8" w:color="D7EAEA"/>
            </w:tcBorders>
            <w:shd w:val="clear" w:color="auto" w:fill="D7EAEA"/>
          </w:tcPr>
          <w:p>
            <w:pPr>
              <w:spacing w:after="0"/>
              <w:rPr>
                <w:sz w:val="18"/>
                <w:szCs w:val="18"/>
                <w:color w:val="auto"/>
              </w:rPr>
            </w:pPr>
          </w:p>
        </w:tc>
        <w:tc>
          <w:tcPr>
            <w:tcW w:w="1220" w:type="dxa"/>
            <w:vAlign w:val="bottom"/>
            <w:tcBorders>
              <w:top w:val="single" w:sz="8" w:color="auto"/>
            </w:tcBorders>
            <w:shd w:val="clear" w:color="auto" w:fill="D7EAEA"/>
          </w:tcPr>
          <w:p>
            <w:pPr>
              <w:spacing w:after="0"/>
              <w:rPr>
                <w:sz w:val="18"/>
                <w:szCs w:val="18"/>
                <w:color w:val="auto"/>
              </w:rPr>
            </w:pPr>
          </w:p>
        </w:tc>
        <w:tc>
          <w:tcPr>
            <w:tcW w:w="120" w:type="dxa"/>
            <w:vAlign w:val="bottom"/>
            <w:tcBorders>
              <w:top w:val="single" w:sz="8" w:color="D7EAEA"/>
            </w:tcBorders>
            <w:shd w:val="clear" w:color="auto" w:fill="D7EAEA"/>
          </w:tcPr>
          <w:p>
            <w:pPr>
              <w:spacing w:after="0"/>
              <w:rPr>
                <w:sz w:val="18"/>
                <w:szCs w:val="18"/>
                <w:color w:val="auto"/>
              </w:rPr>
            </w:pPr>
          </w:p>
        </w:tc>
        <w:tc>
          <w:tcPr>
            <w:tcW w:w="100" w:type="dxa"/>
            <w:vAlign w:val="bottom"/>
            <w:tcBorders>
              <w:top w:val="single" w:sz="8" w:color="auto"/>
            </w:tcBorders>
            <w:shd w:val="clear" w:color="auto" w:fill="D7EAEA"/>
          </w:tcPr>
          <w:p>
            <w:pPr>
              <w:spacing w:after="0"/>
              <w:rPr>
                <w:sz w:val="18"/>
                <w:szCs w:val="18"/>
                <w:color w:val="auto"/>
              </w:rPr>
            </w:pPr>
          </w:p>
        </w:tc>
        <w:tc>
          <w:tcPr>
            <w:tcW w:w="120" w:type="dxa"/>
            <w:vAlign w:val="bottom"/>
            <w:tcBorders>
              <w:top w:val="single" w:sz="8" w:color="auto"/>
            </w:tcBorders>
            <w:shd w:val="clear" w:color="auto" w:fill="D7EAEA"/>
          </w:tcPr>
          <w:p>
            <w:pPr>
              <w:spacing w:after="0"/>
              <w:rPr>
                <w:sz w:val="18"/>
                <w:szCs w:val="18"/>
                <w:color w:val="auto"/>
              </w:rPr>
            </w:pPr>
          </w:p>
        </w:tc>
        <w:tc>
          <w:tcPr>
            <w:tcW w:w="100" w:type="dxa"/>
            <w:vAlign w:val="bottom"/>
            <w:tcBorders>
              <w:top w:val="single" w:sz="8" w:color="auto"/>
            </w:tcBorders>
            <w:shd w:val="clear" w:color="auto" w:fill="D7EAEA"/>
          </w:tcPr>
          <w:p>
            <w:pPr>
              <w:spacing w:after="0"/>
              <w:rPr>
                <w:sz w:val="18"/>
                <w:szCs w:val="18"/>
                <w:color w:val="auto"/>
              </w:rPr>
            </w:pPr>
          </w:p>
        </w:tc>
        <w:tc>
          <w:tcPr>
            <w:tcW w:w="1120" w:type="dxa"/>
            <w:vAlign w:val="bottom"/>
            <w:tcBorders>
              <w:top w:val="single" w:sz="8" w:color="auto"/>
            </w:tcBorders>
            <w:shd w:val="clear" w:color="auto" w:fill="D7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33,208</w:t>
            </w:r>
          </w:p>
        </w:tc>
        <w:tc>
          <w:tcPr>
            <w:tcW w:w="2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14,487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revenue</w:t>
            </w:r>
          </w:p>
        </w:tc>
        <w:tc>
          <w:tcPr>
            <w:tcW w:w="68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0" w:type="dxa"/>
            <w:vAlign w:val="bottom"/>
            <w:tcBorders>
              <w:top w:val="single" w:sz="8" w:color="D5EAEA"/>
              <w:bottom w:val="single" w:sz="8" w:color="D5EAEA"/>
            </w:tcBorders>
            <w:shd w:val="clear" w:color="auto" w:fill="D5EAEA"/>
          </w:tcPr>
          <w:p>
            <w:pPr>
              <w:spacing w:after="0"/>
              <w:rPr>
                <w:sz w:val="19"/>
                <w:szCs w:val="19"/>
                <w:color w:val="auto"/>
              </w:rPr>
            </w:pP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1,123</w:t>
            </w: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4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gridSpan w:val="3"/>
            <w:shd w:val="clear" w:color="auto" w:fill="D5EAEA"/>
          </w:tcPr>
          <w:p>
            <w:pPr>
              <w:jc w:val="right"/>
              <w:spacing w:after="0"/>
              <w:rPr>
                <w:sz w:val="20"/>
                <w:szCs w:val="20"/>
                <w:color w:val="auto"/>
              </w:rPr>
            </w:pPr>
            <w:r>
              <w:rPr>
                <w:rFonts w:ascii="Arial" w:cs="Arial" w:eastAsia="Arial" w:hAnsi="Arial"/>
                <w:sz w:val="18"/>
                <w:szCs w:val="18"/>
                <w:color w:val="auto"/>
              </w:rPr>
              <w:t>33,208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0" w:type="dxa"/>
            <w:vAlign w:val="bottom"/>
            <w:tcBorders>
              <w:top w:val="single" w:sz="8" w:color="D5EAEA"/>
              <w:bottom w:val="single" w:sz="8" w:color="D5EAEA"/>
            </w:tcBorders>
            <w:shd w:val="clear" w:color="auto" w:fill="D5EAEA"/>
          </w:tcPr>
          <w:p>
            <w:pPr>
              <w:spacing w:after="0"/>
              <w:rPr>
                <w:sz w:val="19"/>
                <w:szCs w:val="19"/>
                <w:color w:val="auto"/>
              </w:rPr>
            </w:pPr>
          </w:p>
        </w:tc>
        <w:tc>
          <w:tcPr>
            <w:tcW w:w="1320" w:type="dxa"/>
            <w:vAlign w:val="bottom"/>
            <w:tcBorders>
              <w:top w:val="single" w:sz="8" w:color="auto"/>
              <w:bottom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14,487</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D5EAEA"/>
          </w:tcPr>
          <w:p>
            <w:pPr>
              <w:spacing w:after="0"/>
              <w:rPr>
                <w:sz w:val="19"/>
                <w:szCs w:val="19"/>
                <w:color w:val="auto"/>
              </w:rPr>
            </w:pPr>
          </w:p>
        </w:tc>
        <w:tc>
          <w:tcPr>
            <w:tcW w:w="100" w:type="dxa"/>
            <w:vAlign w:val="bottom"/>
            <w:tcBorders>
              <w:top w:val="single" w:sz="8" w:color="auto"/>
              <w:bottom w:val="single" w:sz="8" w:color="auto"/>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109,596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960" w:type="dxa"/>
            <w:vAlign w:val="bottom"/>
          </w:tcPr>
          <w:p>
            <w:pPr>
              <w:spacing w:after="0"/>
              <w:rPr>
                <w:sz w:val="20"/>
                <w:szCs w:val="20"/>
                <w:color w:val="auto"/>
              </w:rPr>
            </w:pPr>
            <w:r>
              <w:rPr>
                <w:rFonts w:ascii="Arial" w:cs="Arial" w:eastAsia="Arial" w:hAnsi="Arial"/>
                <w:sz w:val="18"/>
                <w:szCs w:val="18"/>
                <w:b w:val="1"/>
                <w:bCs w:val="1"/>
                <w:color w:val="auto"/>
              </w:rPr>
              <w:t>Operating income/(expenses)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Research &amp; development expenses</w:t>
            </w: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(15,518)</w:t>
            </w:r>
          </w:p>
        </w:tc>
        <w:tc>
          <w:tcPr>
            <w:tcW w:w="1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gridSpan w:val="4"/>
            <w:shd w:val="clear" w:color="auto" w:fill="D5EAEA"/>
          </w:tcPr>
          <w:p>
            <w:pPr>
              <w:jc w:val="right"/>
              <w:ind w:right="100"/>
              <w:spacing w:after="0"/>
              <w:rPr>
                <w:sz w:val="20"/>
                <w:szCs w:val="20"/>
                <w:color w:val="auto"/>
              </w:rPr>
            </w:pPr>
            <w:r>
              <w:rPr>
                <w:rFonts w:ascii="Arial" w:cs="Arial" w:eastAsia="Arial" w:hAnsi="Arial"/>
                <w:sz w:val="18"/>
                <w:szCs w:val="18"/>
                <w:color w:val="auto"/>
              </w:rPr>
              <w:t>(11,478)</w:t>
            </w:r>
          </w:p>
        </w:tc>
        <w:tc>
          <w:tcPr>
            <w:tcW w:w="20" w:type="dxa"/>
            <w:vAlign w:val="bottom"/>
            <w:shd w:val="clear" w:color="auto" w:fill="D5EAEA"/>
          </w:tcPr>
          <w:p>
            <w:pPr>
              <w:spacing w:after="0"/>
              <w:rPr>
                <w:sz w:val="18"/>
                <w:szCs w:val="18"/>
                <w:color w:val="auto"/>
              </w:rPr>
            </w:pPr>
          </w:p>
        </w:tc>
        <w:tc>
          <w:tcPr>
            <w:tcW w:w="144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(43,536)</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(35,770)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(3,956)</w:t>
            </w:r>
          </w:p>
        </w:tc>
        <w:tc>
          <w:tcPr>
            <w:tcW w:w="2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(13,553)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Other operating income/(expenses)</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gridSpan w:val="4"/>
            <w:shd w:val="clear" w:color="auto" w:fill="D5EAEA"/>
          </w:tcPr>
          <w:p>
            <w:pPr>
              <w:jc w:val="right"/>
              <w:ind w:right="100"/>
              <w:spacing w:after="0"/>
              <w:rPr>
                <w:sz w:val="20"/>
                <w:szCs w:val="20"/>
                <w:color w:val="auto"/>
              </w:rPr>
            </w:pPr>
            <w:r>
              <w:rPr>
                <w:rFonts w:ascii="Arial" w:cs="Arial" w:eastAsia="Arial" w:hAnsi="Arial"/>
                <w:sz w:val="18"/>
                <w:szCs w:val="18"/>
                <w:color w:val="auto"/>
              </w:rPr>
              <w:t>203</w:t>
            </w:r>
          </w:p>
        </w:tc>
        <w:tc>
          <w:tcPr>
            <w:tcW w:w="20" w:type="dxa"/>
            <w:vAlign w:val="bottom"/>
            <w:shd w:val="clear" w:color="auto" w:fill="D5EAEA"/>
          </w:tcPr>
          <w:p>
            <w:pPr>
              <w:spacing w:after="0"/>
              <w:rPr>
                <w:sz w:val="18"/>
                <w:szCs w:val="18"/>
                <w:color w:val="auto"/>
              </w:rPr>
            </w:pPr>
          </w:p>
        </w:tc>
        <w:tc>
          <w:tcPr>
            <w:tcW w:w="144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operating income/(expenses)</w:t>
            </w:r>
          </w:p>
        </w:tc>
        <w:tc>
          <w:tcPr>
            <w:tcW w:w="68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20" w:type="dxa"/>
            <w:vAlign w:val="bottom"/>
            <w:tcBorders>
              <w:bottom w:val="single" w:sz="8" w:color="D5EAEA"/>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(19,928)</w:t>
            </w:r>
          </w:p>
        </w:tc>
        <w:tc>
          <w:tcPr>
            <w:tcW w:w="8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40" w:type="dxa"/>
            <w:vAlign w:val="bottom"/>
            <w:tcBorders>
              <w:bottom w:val="single" w:sz="8" w:color="D5EAEA"/>
            </w:tcBorders>
          </w:tcPr>
          <w:p>
            <w:pPr>
              <w:spacing w:after="0"/>
              <w:rPr>
                <w:sz w:val="18"/>
                <w:szCs w:val="18"/>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(15,231)</w:t>
            </w:r>
          </w:p>
        </w:tc>
        <w:tc>
          <w:tcPr>
            <w:tcW w:w="100" w:type="dxa"/>
            <w:vAlign w:val="bottom"/>
            <w:tcBorders>
              <w:bottom w:val="single" w:sz="8" w:color="D5EAEA"/>
            </w:tcBorders>
          </w:tcPr>
          <w:p>
            <w:pPr>
              <w:spacing w:after="0"/>
              <w:rPr>
                <w:sz w:val="18"/>
                <w:szCs w:val="18"/>
                <w:color w:val="auto"/>
              </w:rPr>
            </w:pPr>
          </w:p>
        </w:tc>
        <w:tc>
          <w:tcPr>
            <w:tcW w:w="20" w:type="dxa"/>
            <w:vAlign w:val="bottom"/>
            <w:tcBorders>
              <w:bottom w:val="single" w:sz="8" w:color="D5EAEA"/>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(56,282)</w:t>
            </w:r>
          </w:p>
        </w:tc>
        <w:tc>
          <w:tcPr>
            <w:tcW w:w="12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income/(loss)</w:t>
            </w: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(18,805)</w:t>
            </w:r>
          </w:p>
        </w:tc>
        <w:tc>
          <w:tcPr>
            <w:tcW w:w="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10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17,977</w:t>
            </w: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3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(41,795)</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63,359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Finance expense, net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Change in fair value of conversion feature</w:t>
            </w: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380" w:type="dxa"/>
            <w:vAlign w:val="bottom"/>
            <w:gridSpan w:val="4"/>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120" w:type="dxa"/>
            <w:vAlign w:val="bottom"/>
            <w:gridSpan w:val="4"/>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660" w:type="dxa"/>
            <w:vAlign w:val="bottom"/>
            <w:gridSpan w:val="5"/>
            <w:shd w:val="clear" w:color="auto" w:fill="D5EAEA"/>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gridSpan w:val="4"/>
            <w:shd w:val="clear" w:color="auto" w:fill="D5EAEA"/>
          </w:tcPr>
          <w:p>
            <w:pPr>
              <w:jc w:val="right"/>
              <w:ind w:right="100"/>
              <w:spacing w:after="0"/>
              <w:rPr>
                <w:sz w:val="20"/>
                <w:szCs w:val="20"/>
                <w:color w:val="auto"/>
              </w:rPr>
            </w:pPr>
            <w:r>
              <w:rPr>
                <w:rFonts w:ascii="Arial" w:cs="Arial" w:eastAsia="Arial" w:hAnsi="Arial"/>
                <w:sz w:val="18"/>
                <w:szCs w:val="18"/>
                <w:color w:val="auto"/>
              </w:rPr>
              <w:t>(86)</w:t>
            </w:r>
          </w:p>
        </w:tc>
        <w:tc>
          <w:tcPr>
            <w:tcW w:w="20" w:type="dxa"/>
            <w:vAlign w:val="bottom"/>
            <w:shd w:val="clear" w:color="auto" w:fill="D5EAEA"/>
          </w:tcPr>
          <w:p>
            <w:pPr>
              <w:spacing w:after="0"/>
              <w:rPr>
                <w:sz w:val="18"/>
                <w:szCs w:val="18"/>
                <w:color w:val="auto"/>
              </w:rPr>
            </w:pPr>
          </w:p>
        </w:tc>
        <w:tc>
          <w:tcPr>
            <w:tcW w:w="144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Finance result, net</w:t>
            </w:r>
          </w:p>
        </w:tc>
        <w:tc>
          <w:tcPr>
            <w:tcW w:w="68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D5EAEA"/>
            </w:tcBorders>
          </w:tcPr>
          <w:p>
            <w:pPr>
              <w:spacing w:after="0"/>
              <w:rPr>
                <w:sz w:val="18"/>
                <w:szCs w:val="18"/>
                <w:color w:val="auto"/>
              </w:rPr>
            </w:pPr>
          </w:p>
        </w:tc>
        <w:tc>
          <w:tcPr>
            <w:tcW w:w="20" w:type="dxa"/>
            <w:vAlign w:val="bottom"/>
            <w:tcBorders>
              <w:bottom w:val="single" w:sz="8" w:color="D5EAEA"/>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40" w:type="dxa"/>
            <w:vAlign w:val="bottom"/>
            <w:tcBorders>
              <w:bottom w:val="single" w:sz="8" w:color="D5EAEA"/>
            </w:tcBorders>
          </w:tcPr>
          <w:p>
            <w:pPr>
              <w:spacing w:after="0"/>
              <w:rPr>
                <w:sz w:val="18"/>
                <w:szCs w:val="18"/>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D5EAEA"/>
            </w:tcBorders>
          </w:tcPr>
          <w:p>
            <w:pPr>
              <w:spacing w:after="0"/>
              <w:rPr>
                <w:sz w:val="18"/>
                <w:szCs w:val="18"/>
                <w:color w:val="auto"/>
              </w:rPr>
            </w:pPr>
          </w:p>
        </w:tc>
        <w:tc>
          <w:tcPr>
            <w:tcW w:w="20" w:type="dxa"/>
            <w:vAlign w:val="bottom"/>
            <w:tcBorders>
              <w:bottom w:val="single" w:sz="8" w:color="D5EAEA"/>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18"/>
                <w:szCs w:val="18"/>
                <w:color w:val="auto"/>
              </w:rPr>
            </w:pP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Income/(loss) before tax</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(18,994)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18,213</w:t>
            </w:r>
          </w:p>
        </w:tc>
        <w:tc>
          <w:tcPr>
            <w:tcW w:w="2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(42,421)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Income tax expense</w:t>
            </w:r>
          </w:p>
        </w:tc>
        <w:tc>
          <w:tcPr>
            <w:tcW w:w="68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4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auto"/>
              <w:bottom w:val="single" w:sz="8" w:color="auto"/>
            </w:tcBorders>
            <w:shd w:val="clear" w:color="auto" w:fill="D5EAEA"/>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2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auto"/>
              <w:bottom w:val="single" w:sz="8" w:color="auto"/>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5EAEA"/>
            </w:tcBorders>
            <w:gridSpan w:val="2"/>
            <w:shd w:val="clear" w:color="auto" w:fill="D5EAEA"/>
          </w:tcPr>
          <w:p>
            <w:pPr>
              <w:spacing w:after="0"/>
              <w:rPr>
                <w:sz w:val="18"/>
                <w:szCs w:val="18"/>
                <w:color w:val="auto"/>
              </w:rPr>
            </w:pPr>
          </w:p>
        </w:tc>
        <w:tc>
          <w:tcPr>
            <w:tcW w:w="120" w:type="dxa"/>
            <w:vAlign w:val="bottom"/>
            <w:tcBorders>
              <w:top w:val="single" w:sz="8" w:color="auto"/>
              <w:bottom w:val="single" w:sz="8" w:color="auto"/>
            </w:tcBorders>
            <w:shd w:val="clear" w:color="auto" w:fill="D5EAEA"/>
          </w:tcPr>
          <w:p>
            <w:pPr>
              <w:spacing w:after="0"/>
              <w:rPr>
                <w:sz w:val="18"/>
                <w:szCs w:val="18"/>
                <w:color w:val="auto"/>
              </w:rPr>
            </w:pPr>
          </w:p>
        </w:tc>
        <w:tc>
          <w:tcPr>
            <w:tcW w:w="100" w:type="dxa"/>
            <w:vAlign w:val="bottom"/>
            <w:tcBorders>
              <w:top w:val="single" w:sz="8" w:color="auto"/>
              <w:bottom w:val="single" w:sz="8" w:color="auto"/>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Income/(loss) for the period</w:t>
            </w:r>
          </w:p>
        </w:tc>
        <w:tc>
          <w:tcPr>
            <w:tcW w:w="68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20" w:type="dxa"/>
            <w:vAlign w:val="bottom"/>
            <w:tcBorders>
              <w:bottom w:val="single" w:sz="8" w:color="D5EAEA"/>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(18,994)</w:t>
            </w:r>
          </w:p>
        </w:tc>
        <w:tc>
          <w:tcPr>
            <w:tcW w:w="8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40" w:type="dxa"/>
            <w:vAlign w:val="bottom"/>
            <w:tcBorders>
              <w:bottom w:val="single" w:sz="8" w:color="D5EAEA"/>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18,213</w:t>
            </w:r>
          </w:p>
        </w:tc>
        <w:tc>
          <w:tcPr>
            <w:tcW w:w="100" w:type="dxa"/>
            <w:vAlign w:val="bottom"/>
            <w:tcBorders>
              <w:bottom w:val="single" w:sz="8" w:color="D5EAEA"/>
            </w:tcBorders>
          </w:tcPr>
          <w:p>
            <w:pPr>
              <w:spacing w:after="0"/>
              <w:rPr>
                <w:sz w:val="18"/>
                <w:szCs w:val="18"/>
                <w:color w:val="auto"/>
              </w:rPr>
            </w:pPr>
          </w:p>
        </w:tc>
        <w:tc>
          <w:tcPr>
            <w:tcW w:w="20" w:type="dxa"/>
            <w:vAlign w:val="bottom"/>
            <w:tcBorders>
              <w:bottom w:val="single" w:sz="8" w:color="D5EAEA"/>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(42,421)</w:t>
            </w:r>
          </w:p>
        </w:tc>
        <w:tc>
          <w:tcPr>
            <w:tcW w:w="12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18"/>
                <w:szCs w:val="18"/>
                <w:color w:val="auto"/>
              </w:rPr>
            </w:pP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Earnings/(loss) per share:</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w w:val="99"/>
              </w:rPr>
              <w:t>Basic income/(loss) for the period attributable to equity holders</w:t>
            </w: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gridSpan w:val="4"/>
            <w:shd w:val="clear" w:color="auto" w:fill="D5EAEA"/>
          </w:tcPr>
          <w:p>
            <w:pPr>
              <w:jc w:val="right"/>
              <w:ind w:right="100"/>
              <w:spacing w:after="0"/>
              <w:rPr>
                <w:sz w:val="20"/>
                <w:szCs w:val="20"/>
                <w:color w:val="auto"/>
              </w:rPr>
            </w:pPr>
            <w:r>
              <w:rPr>
                <w:rFonts w:ascii="Arial" w:cs="Arial" w:eastAsia="Arial" w:hAnsi="Arial"/>
                <w:sz w:val="18"/>
                <w:szCs w:val="18"/>
                <w:color w:val="auto"/>
              </w:rPr>
              <w:t>0.25</w:t>
            </w:r>
          </w:p>
        </w:tc>
        <w:tc>
          <w:tcPr>
            <w:tcW w:w="20" w:type="dxa"/>
            <w:vAlign w:val="bottom"/>
            <w:shd w:val="clear" w:color="auto" w:fill="D5EAEA"/>
          </w:tcPr>
          <w:p>
            <w:pPr>
              <w:spacing w:after="0"/>
              <w:rPr>
                <w:sz w:val="18"/>
                <w:szCs w:val="18"/>
                <w:color w:val="auto"/>
              </w:rPr>
            </w:pPr>
          </w:p>
        </w:tc>
        <w:tc>
          <w:tcPr>
            <w:tcW w:w="144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w w:val="96"/>
              </w:rPr>
              <w:t>Diluted income/(loss) for the period attributable to equity holders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0"/>
                <w:szCs w:val="20"/>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9"/>
          </w:tcPr>
          <w:p>
            <w:pPr>
              <w:jc w:val="right"/>
              <w:ind w:right="440"/>
              <w:spacing w:after="0"/>
              <w:rPr>
                <w:sz w:val="20"/>
                <w:szCs w:val="20"/>
                <w:color w:val="auto"/>
              </w:rPr>
            </w:pPr>
            <w:r>
              <w:rPr>
                <w:rFonts w:ascii="Arial" w:cs="Arial" w:eastAsia="Arial" w:hAnsi="Arial"/>
                <w:sz w:val="18"/>
                <w:szCs w:val="18"/>
                <w:b w:val="1"/>
                <w:bCs w:val="1"/>
                <w:color w:val="auto"/>
              </w:rPr>
              <w:t>For the Three Months</w:t>
            </w:r>
          </w:p>
        </w:tc>
        <w:tc>
          <w:tcPr>
            <w:tcW w:w="100" w:type="dxa"/>
            <w:vAlign w:val="bottom"/>
          </w:tcPr>
          <w:p>
            <w:pPr>
              <w:spacing w:after="0"/>
              <w:rPr>
                <w:sz w:val="24"/>
                <w:szCs w:val="24"/>
                <w:color w:val="auto"/>
              </w:rPr>
            </w:pPr>
          </w:p>
        </w:tc>
        <w:tc>
          <w:tcPr>
            <w:tcW w:w="280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Income/(Loss)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9"/>
          </w:tcPr>
          <w:p>
            <w:pPr>
              <w:ind w:left="540"/>
              <w:spacing w:after="0"/>
              <w:rPr>
                <w:sz w:val="20"/>
                <w:szCs w:val="20"/>
                <w:color w:val="auto"/>
              </w:rPr>
            </w:pPr>
            <w:r>
              <w:rPr>
                <w:rFonts w:ascii="Arial" w:cs="Arial" w:eastAsia="Arial" w:hAnsi="Arial"/>
                <w:sz w:val="18"/>
                <w:szCs w:val="18"/>
                <w:b w:val="1"/>
                <w:bCs w:val="1"/>
                <w:color w:val="auto"/>
              </w:rPr>
              <w:t>ended September 30,</w:t>
            </w:r>
          </w:p>
        </w:tc>
        <w:tc>
          <w:tcPr>
            <w:tcW w:w="100" w:type="dxa"/>
            <w:vAlign w:val="bottom"/>
          </w:tcPr>
          <w:p>
            <w:pPr>
              <w:spacing w:after="0"/>
              <w:rPr>
                <w:sz w:val="20"/>
                <w:szCs w:val="20"/>
                <w:color w:val="auto"/>
              </w:rPr>
            </w:pPr>
          </w:p>
        </w:tc>
        <w:tc>
          <w:tcPr>
            <w:tcW w:w="2800" w:type="dxa"/>
            <w:vAlign w:val="bottom"/>
            <w:gridSpan w:val="7"/>
          </w:tcPr>
          <w:p>
            <w:pPr>
              <w:ind w:left="58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 CHF thousands)</w:t>
            </w:r>
          </w:p>
        </w:tc>
        <w:tc>
          <w:tcPr>
            <w:tcW w:w="68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D5EAEA"/>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bottom w:val="single" w:sz="8" w:color="D5EAEA"/>
            </w:tcBorders>
          </w:tcPr>
          <w:p>
            <w:pPr>
              <w:spacing w:after="0"/>
              <w:rPr>
                <w:sz w:val="18"/>
                <w:szCs w:val="18"/>
                <w:color w:val="auto"/>
              </w:rPr>
            </w:pPr>
          </w:p>
        </w:tc>
        <w:tc>
          <w:tcPr>
            <w:tcW w:w="100" w:type="dxa"/>
            <w:vAlign w:val="bottom"/>
            <w:tcBorders>
              <w:top w:val="single" w:sz="8" w:color="auto"/>
              <w:bottom w:val="single" w:sz="8" w:color="D5EAEA"/>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D5EAEA"/>
          </w:tcPr>
          <w:p>
            <w:pPr>
              <w:spacing w:after="0"/>
              <w:rPr>
                <w:sz w:val="18"/>
                <w:szCs w:val="18"/>
                <w:color w:val="auto"/>
              </w:rPr>
            </w:pPr>
          </w:p>
        </w:tc>
        <w:tc>
          <w:tcPr>
            <w:tcW w:w="6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Income/(loss) for the period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(18,994)</w:t>
            </w:r>
          </w:p>
        </w:tc>
        <w:tc>
          <w:tcPr>
            <w:tcW w:w="4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18,213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6"/>
          </w:tcPr>
          <w:p>
            <w:pPr>
              <w:jc w:val="right"/>
              <w:ind w:right="100"/>
              <w:spacing w:after="0"/>
              <w:rPr>
                <w:sz w:val="20"/>
                <w:szCs w:val="20"/>
                <w:color w:val="auto"/>
              </w:rPr>
            </w:pPr>
            <w:r>
              <w:rPr>
                <w:rFonts w:ascii="Arial" w:cs="Arial" w:eastAsia="Arial" w:hAnsi="Arial"/>
                <w:sz w:val="18"/>
                <w:szCs w:val="18"/>
                <w:color w:val="auto"/>
              </w:rPr>
              <w:t>(42,421)</w:t>
            </w:r>
          </w:p>
        </w:tc>
        <w:tc>
          <w:tcPr>
            <w:tcW w:w="1120" w:type="dxa"/>
            <w:vAlign w:val="bottom"/>
          </w:tcPr>
          <w:p>
            <w:pPr>
              <w:jc w:val="right"/>
              <w:spacing w:after="0"/>
              <w:rPr>
                <w:sz w:val="20"/>
                <w:szCs w:val="20"/>
                <w:color w:val="auto"/>
              </w:rPr>
            </w:pPr>
            <w:r>
              <w:rPr>
                <w:rFonts w:ascii="Arial" w:cs="Arial" w:eastAsia="Arial" w:hAnsi="Arial"/>
                <w:sz w:val="18"/>
                <w:szCs w:val="18"/>
                <w:color w:val="auto"/>
              </w:rPr>
              <w:t>64,888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60" w:type="dxa"/>
            <w:vAlign w:val="bottom"/>
            <w:gridSpan w:val="4"/>
            <w:shd w:val="clear" w:color="auto" w:fill="D5EAEA"/>
          </w:tcPr>
          <w:p>
            <w:pPr>
              <w:spacing w:after="0" w:line="201" w:lineRule="exact"/>
              <w:rPr>
                <w:sz w:val="20"/>
                <w:szCs w:val="20"/>
                <w:color w:val="auto"/>
              </w:rPr>
            </w:pPr>
            <w:r>
              <w:rPr>
                <w:rFonts w:ascii="Arial" w:cs="Arial" w:eastAsia="Arial" w:hAnsi="Arial"/>
                <w:sz w:val="18"/>
                <w:szCs w:val="18"/>
                <w:color w:val="auto"/>
                <w:w w:val="93"/>
              </w:rPr>
              <w:t>Other comprehensive income/(loss) not to be reclassified to income or loss in</w:t>
            </w:r>
          </w:p>
        </w:tc>
        <w:tc>
          <w:tcPr>
            <w:tcW w:w="114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subsequent periods (net of tax):</w:t>
            </w:r>
          </w:p>
        </w:tc>
        <w:tc>
          <w:tcPr>
            <w:tcW w:w="68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20" w:type="dxa"/>
            <w:vAlign w:val="bottom"/>
            <w:shd w:val="clear" w:color="auto" w:fill="D5EAEA"/>
          </w:tcPr>
          <w:p>
            <w:pPr>
              <w:spacing w:after="0"/>
              <w:rPr>
                <w:sz w:val="20"/>
                <w:szCs w:val="20"/>
                <w:color w:val="auto"/>
              </w:rPr>
            </w:pPr>
          </w:p>
        </w:tc>
        <w:tc>
          <w:tcPr>
            <w:tcW w:w="1140" w:type="dxa"/>
            <w:vAlign w:val="bottom"/>
            <w:shd w:val="clear" w:color="auto" w:fill="D5EAEA"/>
          </w:tcPr>
          <w:p>
            <w:pPr>
              <w:spacing w:after="0"/>
              <w:rPr>
                <w:sz w:val="20"/>
                <w:szCs w:val="20"/>
                <w:color w:val="auto"/>
              </w:rPr>
            </w:pPr>
          </w:p>
        </w:tc>
        <w:tc>
          <w:tcPr>
            <w:tcW w:w="8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4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980" w:type="dxa"/>
            <w:vAlign w:val="bottom"/>
            <w:shd w:val="clear" w:color="auto" w:fill="D5EAEA"/>
          </w:tcPr>
          <w:p>
            <w:pPr>
              <w:spacing w:after="0"/>
              <w:rPr>
                <w:sz w:val="20"/>
                <w:szCs w:val="20"/>
                <w:color w:val="auto"/>
              </w:rPr>
            </w:pPr>
          </w:p>
        </w:tc>
        <w:tc>
          <w:tcPr>
            <w:tcW w:w="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22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120" w:type="dxa"/>
            <w:vAlign w:val="bottom"/>
            <w:shd w:val="clear" w:color="auto" w:fill="D5EAEA"/>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Re-measurement losses on defined benefit plans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comprehensive income/(loss) for the period</w:t>
            </w:r>
          </w:p>
        </w:tc>
        <w:tc>
          <w:tcPr>
            <w:tcW w:w="68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20" w:type="dxa"/>
            <w:vAlign w:val="bottom"/>
            <w:tcBorders>
              <w:top w:val="single" w:sz="8" w:color="auto"/>
              <w:bottom w:val="single" w:sz="8" w:color="auto"/>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(18,994)</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0" w:type="dxa"/>
            <w:vAlign w:val="bottom"/>
            <w:tcBorders>
              <w:top w:val="single" w:sz="8" w:color="auto"/>
              <w:bottom w:val="single" w:sz="8" w:color="auto"/>
            </w:tcBorders>
            <w:shd w:val="clear" w:color="auto" w:fill="D5EAEA"/>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18,213</w:t>
            </w:r>
          </w:p>
        </w:tc>
        <w:tc>
          <w:tcPr>
            <w:tcW w:w="2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20" w:type="dxa"/>
            <w:vAlign w:val="bottom"/>
            <w:tcBorders>
              <w:top w:val="single" w:sz="8" w:color="auto"/>
              <w:bottom w:val="single" w:sz="8" w:color="auto"/>
            </w:tcBorders>
            <w:shd w:val="clear" w:color="auto" w:fill="D5EAEA"/>
          </w:tcPr>
          <w:p>
            <w:pPr>
              <w:spacing w:after="0"/>
              <w:rPr>
                <w:sz w:val="18"/>
                <w:szCs w:val="18"/>
                <w:color w:val="auto"/>
              </w:rPr>
            </w:pPr>
          </w:p>
        </w:tc>
        <w:tc>
          <w:tcPr>
            <w:tcW w:w="1660" w:type="dxa"/>
            <w:vAlign w:val="bottom"/>
            <w:tcBorders>
              <w:top w:val="single" w:sz="8" w:color="auto"/>
              <w:bottom w:val="single" w:sz="8" w:color="auto"/>
            </w:tcBorders>
            <w:gridSpan w:val="5"/>
            <w:shd w:val="clear" w:color="auto" w:fill="D5EAEA"/>
          </w:tcPr>
          <w:p>
            <w:pPr>
              <w:jc w:val="right"/>
              <w:spacing w:after="0"/>
              <w:rPr>
                <w:sz w:val="20"/>
                <w:szCs w:val="20"/>
                <w:color w:val="auto"/>
              </w:rPr>
            </w:pPr>
            <w:r>
              <w:rPr>
                <w:rFonts w:ascii="Arial" w:cs="Arial" w:eastAsia="Arial" w:hAnsi="Arial"/>
                <w:sz w:val="18"/>
                <w:szCs w:val="18"/>
                <w:color w:val="auto"/>
              </w:rPr>
              <w:t>(42,421)</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64,888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capital</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premium</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losses</w:t>
            </w:r>
          </w:p>
        </w:tc>
        <w:tc>
          <w:tcPr>
            <w:tcW w:w="124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7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2019</w:t>
            </w: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298,149</w:t>
            </w:r>
          </w:p>
        </w:tc>
        <w:tc>
          <w:tcPr>
            <w:tcW w:w="100" w:type="dxa"/>
            <w:vAlign w:val="bottom"/>
            <w:tcBorders>
              <w:top w:val="single" w:sz="8" w:color="D5EAEA"/>
            </w:tcBorders>
            <w:shd w:val="clear" w:color="auto" w:fill="D5EAEA"/>
          </w:tcPr>
          <w:p>
            <w:pPr>
              <w:spacing w:after="0"/>
              <w:rPr>
                <w:sz w:val="18"/>
                <w:szCs w:val="18"/>
                <w:color w:val="auto"/>
              </w:rPr>
            </w:pPr>
          </w:p>
        </w:tc>
        <w:tc>
          <w:tcPr>
            <w:tcW w:w="14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(121,877)</w:t>
            </w:r>
          </w:p>
        </w:tc>
        <w:tc>
          <w:tcPr>
            <w:tcW w:w="12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177,623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64,888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income</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64,888</w:t>
            </w:r>
          </w:p>
        </w:tc>
        <w:tc>
          <w:tcPr>
            <w:tcW w:w="120" w:type="dxa"/>
            <w:vAlign w:val="bottom"/>
            <w:tcBorders>
              <w:bottom w:val="single" w:sz="8" w:color="D5EAEA"/>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Share-based payments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2,027</w:t>
            </w:r>
          </w:p>
        </w:tc>
        <w:tc>
          <w:tcPr>
            <w:tcW w:w="1220" w:type="dxa"/>
            <w:vAlign w:val="bottom"/>
          </w:tcPr>
          <w:p>
            <w:pPr>
              <w:jc w:val="right"/>
              <w:spacing w:after="0"/>
              <w:rPr>
                <w:sz w:val="20"/>
                <w:szCs w:val="20"/>
                <w:color w:val="auto"/>
              </w:rPr>
            </w:pPr>
            <w:r>
              <w:rPr>
                <w:rFonts w:ascii="Arial" w:cs="Arial" w:eastAsia="Arial" w:hAnsi="Arial"/>
                <w:sz w:val="18"/>
                <w:szCs w:val="18"/>
                <w:color w:val="auto"/>
              </w:rPr>
              <w:t>2,027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60"/>
              <w:spacing w:after="0"/>
              <w:rPr>
                <w:sz w:val="20"/>
                <w:szCs w:val="20"/>
                <w:color w:val="auto"/>
              </w:rPr>
            </w:pPr>
            <w:r>
              <w:rPr>
                <w:rFonts w:ascii="Arial" w:cs="Arial" w:eastAsia="Arial" w:hAnsi="Arial"/>
                <w:sz w:val="18"/>
                <w:szCs w:val="18"/>
                <w:color w:val="auto"/>
              </w:rPr>
              <w:t>conversion of note agreement, net of transaction costs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47,705</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D5EAEA"/>
          </w:tcPr>
          <w:p>
            <w:pPr>
              <w:ind w:left="60"/>
              <w:spacing w:after="0"/>
              <w:rPr>
                <w:sz w:val="20"/>
                <w:szCs w:val="20"/>
                <w:color w:val="auto"/>
              </w:rPr>
            </w:pPr>
            <w:r>
              <w:rPr>
                <w:rFonts w:ascii="Arial" w:cs="Arial" w:eastAsia="Arial" w:hAnsi="Arial"/>
                <w:sz w:val="18"/>
                <w:szCs w:val="18"/>
                <w:color w:val="auto"/>
              </w:rPr>
              <w:t>restricted share awards</w:t>
            </w: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570</w:t>
            </w:r>
          </w:p>
        </w:tc>
        <w:tc>
          <w:tcPr>
            <w:tcW w:w="15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(570)</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60"/>
              <w:spacing w:after="0"/>
              <w:rPr>
                <w:sz w:val="20"/>
                <w:szCs w:val="20"/>
                <w:color w:val="auto"/>
              </w:rPr>
            </w:pPr>
            <w:r>
              <w:rPr>
                <w:rFonts w:ascii="Arial" w:cs="Arial" w:eastAsia="Arial" w:hAnsi="Arial"/>
                <w:sz w:val="18"/>
                <w:szCs w:val="18"/>
                <w:color w:val="auto"/>
              </w:rPr>
              <w:t>exercise of options, net of transaction costs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346,479</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4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(55,532)</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292,383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Treasury</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capital</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premium</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shares</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Accumulated losses</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09"/>
        </w:trPr>
        <w:tc>
          <w:tcPr>
            <w:tcW w:w="52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2020</w:t>
            </w:r>
          </w:p>
        </w:tc>
        <w:tc>
          <w:tcPr>
            <w:tcW w:w="7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346,526</w:t>
            </w: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D5EAEA"/>
            </w:tcBorders>
            <w:shd w:val="clear" w:color="auto" w:fill="D5EAEA"/>
          </w:tcPr>
          <w:p>
            <w:pPr>
              <w:spacing w:after="0"/>
              <w:rPr>
                <w:sz w:val="18"/>
                <w:szCs w:val="18"/>
                <w:color w:val="auto"/>
              </w:rPr>
            </w:pPr>
          </w:p>
        </w:tc>
        <w:tc>
          <w:tcPr>
            <w:tcW w:w="15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(75,521)</w:t>
            </w:r>
          </w:p>
        </w:tc>
        <w:tc>
          <w:tcPr>
            <w:tcW w:w="100" w:type="dxa"/>
            <w:vAlign w:val="bottom"/>
            <w:tcBorders>
              <w:top w:val="single" w:sz="8" w:color="D5EAEA"/>
            </w:tcBorders>
            <w:shd w:val="clear" w:color="auto" w:fill="D5EAEA"/>
          </w:tcPr>
          <w:p>
            <w:pPr>
              <w:spacing w:after="0"/>
              <w:rPr>
                <w:sz w:val="18"/>
                <w:szCs w:val="18"/>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272,442</w:t>
            </w: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(42,421)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(42,421)</w:t>
            </w: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9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2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income</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5EAEA"/>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(42,421)</w:t>
            </w:r>
          </w:p>
        </w:tc>
        <w:tc>
          <w:tcPr>
            <w:tcW w:w="100" w:type="dxa"/>
            <w:vAlign w:val="bottom"/>
            <w:tcBorders>
              <w:bottom w:val="single" w:sz="8" w:color="D5EAEA"/>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(42,421)</w:t>
            </w:r>
          </w:p>
        </w:tc>
      </w:tr>
      <w:tr>
        <w:trPr>
          <w:trHeight w:val="209"/>
        </w:trPr>
        <w:tc>
          <w:tcPr>
            <w:tcW w:w="5200" w:type="dxa"/>
            <w:vAlign w:val="bottom"/>
            <w:shd w:val="clear" w:color="auto" w:fill="D5EAEA"/>
          </w:tcPr>
          <w:p>
            <w:pPr>
              <w:spacing w:after="0"/>
              <w:rPr>
                <w:sz w:val="18"/>
                <w:szCs w:val="18"/>
                <w:color w:val="auto"/>
              </w:rPr>
            </w:pPr>
          </w:p>
        </w:tc>
        <w:tc>
          <w:tcPr>
            <w:tcW w:w="7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5EAEA"/>
          </w:tcPr>
          <w:p>
            <w:pPr>
              <w:spacing w:after="0"/>
              <w:rPr>
                <w:sz w:val="18"/>
                <w:szCs w:val="18"/>
                <w:color w:val="auto"/>
              </w:rPr>
            </w:pPr>
          </w:p>
        </w:tc>
        <w:tc>
          <w:tcPr>
            <w:tcW w:w="15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Share-based payments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3,079</w:t>
            </w:r>
          </w:p>
        </w:tc>
        <w:tc>
          <w:tcPr>
            <w:tcW w:w="900" w:type="dxa"/>
            <w:vAlign w:val="bottom"/>
          </w:tcPr>
          <w:p>
            <w:pPr>
              <w:jc w:val="right"/>
              <w:spacing w:after="0"/>
              <w:rPr>
                <w:sz w:val="20"/>
                <w:szCs w:val="20"/>
                <w:color w:val="auto"/>
              </w:rPr>
            </w:pPr>
            <w:r>
              <w:rPr>
                <w:rFonts w:ascii="Arial" w:cs="Arial" w:eastAsia="Arial" w:hAnsi="Arial"/>
                <w:sz w:val="18"/>
                <w:szCs w:val="18"/>
                <w:color w:val="auto"/>
              </w:rPr>
              <w:t>3,079</w:t>
            </w: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7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5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r>
      <w:tr>
        <w:trPr>
          <w:trHeight w:val="216"/>
        </w:trPr>
        <w:tc>
          <w:tcPr>
            <w:tcW w:w="5200" w:type="dxa"/>
            <w:vAlign w:val="bottom"/>
          </w:tcPr>
          <w:p>
            <w:pPr>
              <w:ind w:left="60"/>
              <w:spacing w:after="0"/>
              <w:rPr>
                <w:sz w:val="20"/>
                <w:szCs w:val="20"/>
                <w:color w:val="auto"/>
              </w:rPr>
            </w:pPr>
            <w:r>
              <w:rPr>
                <w:rFonts w:ascii="Arial" w:cs="Arial" w:eastAsia="Arial" w:hAnsi="Arial"/>
                <w:sz w:val="18"/>
                <w:szCs w:val="18"/>
                <w:color w:val="auto"/>
              </w:rPr>
              <w:t>held as treasury shares, net of transaction costs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D5EAEA"/>
          </w:tcPr>
          <w:p>
            <w:pPr>
              <w:ind w:left="60"/>
              <w:spacing w:after="0"/>
              <w:rPr>
                <w:sz w:val="20"/>
                <w:szCs w:val="20"/>
                <w:color w:val="auto"/>
              </w:rPr>
            </w:pPr>
            <w:r>
              <w:rPr>
                <w:rFonts w:ascii="Arial" w:cs="Arial" w:eastAsia="Arial" w:hAnsi="Arial"/>
                <w:sz w:val="18"/>
                <w:szCs w:val="18"/>
                <w:color w:val="auto"/>
              </w:rPr>
              <w:t>restricted share awards</w:t>
            </w:r>
          </w:p>
        </w:tc>
        <w:tc>
          <w:tcPr>
            <w:tcW w:w="9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175</w:t>
            </w:r>
          </w:p>
        </w:tc>
        <w:tc>
          <w:tcPr>
            <w:tcW w:w="13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(175)</w:t>
            </w: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ind w:left="60"/>
              <w:spacing w:after="0"/>
              <w:rPr>
                <w:sz w:val="20"/>
                <w:szCs w:val="20"/>
                <w:color w:val="auto"/>
              </w:rPr>
            </w:pPr>
            <w:r>
              <w:rPr>
                <w:rFonts w:ascii="Arial" w:cs="Arial" w:eastAsia="Arial" w:hAnsi="Arial"/>
                <w:sz w:val="18"/>
                <w:szCs w:val="18"/>
                <w:color w:val="auto"/>
              </w:rPr>
              <w:t>exercise of options, net of transaction costs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7"/>
        </w:trPr>
        <w:tc>
          <w:tcPr>
            <w:tcW w:w="52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September 30, 2020</w:t>
            </w:r>
          </w:p>
        </w:tc>
        <w:tc>
          <w:tcPr>
            <w:tcW w:w="7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346,842</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D5EAEA"/>
              <w:bottom w:val="single" w:sz="8" w:color="D5EAEA"/>
            </w:tcBorders>
            <w:shd w:val="clear" w:color="auto" w:fill="D5EAEA"/>
          </w:tcPr>
          <w:p>
            <w:pPr>
              <w:spacing w:after="0"/>
              <w:rPr>
                <w:sz w:val="18"/>
                <w:szCs w:val="18"/>
                <w:color w:val="auto"/>
              </w:rPr>
            </w:pPr>
          </w:p>
        </w:tc>
        <w:tc>
          <w:tcPr>
            <w:tcW w:w="15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(115,038)</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233,243</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1"/>
              </w:rPr>
              <w:t>For the Nine Months</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Notes</w:t>
            </w:r>
          </w:p>
        </w:tc>
        <w:tc>
          <w:tcPr>
            <w:tcW w:w="23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Ended September 30,</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Net income/(loss) for the period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(42,421)</w:t>
            </w:r>
          </w:p>
        </w:tc>
        <w:tc>
          <w:tcPr>
            <w:tcW w:w="1120" w:type="dxa"/>
            <w:vAlign w:val="bottom"/>
          </w:tcPr>
          <w:p>
            <w:pPr>
              <w:jc w:val="right"/>
              <w:spacing w:after="0"/>
              <w:rPr>
                <w:sz w:val="20"/>
                <w:szCs w:val="20"/>
                <w:color w:val="auto"/>
              </w:rPr>
            </w:pPr>
            <w:r>
              <w:rPr>
                <w:rFonts w:ascii="Arial" w:cs="Arial" w:eastAsia="Arial" w:hAnsi="Arial"/>
                <w:sz w:val="18"/>
                <w:szCs w:val="18"/>
                <w:color w:val="auto"/>
              </w:rPr>
              <w:t>64,888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w:t>
            </w: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1,127</w:t>
            </w:r>
          </w:p>
        </w:tc>
        <w:tc>
          <w:tcPr>
            <w:tcW w:w="1120" w:type="dxa"/>
            <w:vAlign w:val="bottom"/>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right-of-use assets</w:t>
            </w:r>
          </w:p>
        </w:tc>
        <w:tc>
          <w:tcPr>
            <w:tcW w:w="10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323</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Finance expense, net</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399</w:t>
            </w:r>
          </w:p>
        </w:tc>
        <w:tc>
          <w:tcPr>
            <w:tcW w:w="1120" w:type="dxa"/>
            <w:vAlign w:val="bottom"/>
          </w:tcPr>
          <w:p>
            <w:pPr>
              <w:jc w:val="right"/>
              <w:spacing w:after="0"/>
              <w:rPr>
                <w:sz w:val="20"/>
                <w:szCs w:val="20"/>
                <w:color w:val="auto"/>
              </w:rPr>
            </w:pPr>
            <w:r>
              <w:rPr>
                <w:rFonts w:ascii="Arial" w:cs="Arial" w:eastAsia="Arial" w:hAnsi="Arial"/>
                <w:sz w:val="18"/>
                <w:szCs w:val="18"/>
                <w:color w:val="auto"/>
              </w:rPr>
              <w:t>1,320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3,079</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Change in net employee defined benefit liability</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544</w:t>
            </w: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Change in fair value of conversion feature</w:t>
            </w:r>
          </w:p>
        </w:tc>
        <w:tc>
          <w:tcPr>
            <w:tcW w:w="10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152</w:t>
            </w:r>
          </w:p>
        </w:tc>
        <w:tc>
          <w:tcPr>
            <w:tcW w:w="1120" w:type="dxa"/>
            <w:vAlign w:val="bottom"/>
          </w:tcPr>
          <w:p>
            <w:pPr>
              <w:jc w:val="right"/>
              <w:spacing w:after="0"/>
              <w:rPr>
                <w:sz w:val="20"/>
                <w:szCs w:val="20"/>
                <w:color w:val="auto"/>
              </w:rPr>
            </w:pPr>
            <w:r>
              <w:rPr>
                <w:rFonts w:ascii="Arial" w:cs="Arial" w:eastAsia="Arial" w:hAnsi="Arial"/>
                <w:sz w:val="18"/>
                <w:szCs w:val="18"/>
                <w:color w:val="auto"/>
              </w:rPr>
              <w:t>1,686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Changes in working capital:</w:t>
            </w: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(Increase) in prepaid expenses</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120" w:type="dxa"/>
            <w:vAlign w:val="bottom"/>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income</w:t>
            </w: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151</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(Increase) in other current receivables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120" w:type="dxa"/>
            <w:vAlign w:val="bottom"/>
          </w:tcPr>
          <w:p>
            <w:pPr>
              <w:jc w:val="right"/>
              <w:spacing w:after="0"/>
              <w:rPr>
                <w:sz w:val="20"/>
                <w:szCs w:val="20"/>
                <w:color w:val="auto"/>
              </w:rPr>
            </w:pPr>
            <w:r>
              <w:rPr>
                <w:rFonts w:ascii="Arial" w:cs="Arial" w:eastAsia="Arial" w:hAnsi="Arial"/>
                <w:sz w:val="18"/>
                <w:szCs w:val="18"/>
                <w:color w:val="auto"/>
              </w:rPr>
              <w:t>(2,734)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expenses</w:t>
            </w: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(827)</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(Decrease)/increase in deferred income</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(3,390)</w:t>
            </w:r>
          </w:p>
        </w:tc>
        <w:tc>
          <w:tcPr>
            <w:tcW w:w="1120" w:type="dxa"/>
            <w:vAlign w:val="bottom"/>
          </w:tcPr>
          <w:p>
            <w:pPr>
              <w:jc w:val="right"/>
              <w:spacing w:after="0"/>
              <w:rPr>
                <w:sz w:val="20"/>
                <w:szCs w:val="20"/>
                <w:color w:val="auto"/>
              </w:rPr>
            </w:pPr>
            <w:r>
              <w:rPr>
                <w:rFonts w:ascii="Arial" w:cs="Arial" w:eastAsia="Arial" w:hAnsi="Arial"/>
                <w:sz w:val="18"/>
                <w:szCs w:val="18"/>
                <w:color w:val="auto"/>
              </w:rPr>
              <w:t>5,437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B"/>
          </w:tcPr>
          <w:p>
            <w:pPr>
              <w:spacing w:after="0"/>
              <w:rPr>
                <w:sz w:val="20"/>
                <w:szCs w:val="20"/>
                <w:color w:val="auto"/>
              </w:rPr>
            </w:pPr>
            <w:r>
              <w:rPr>
                <w:rFonts w:ascii="Arial" w:cs="Arial" w:eastAsia="Arial" w:hAnsi="Arial"/>
                <w:sz w:val="18"/>
                <w:szCs w:val="18"/>
                <w:color w:val="auto"/>
              </w:rPr>
              <w:t>Increase/(decrease) in trade and other payables</w:t>
            </w:r>
          </w:p>
        </w:tc>
        <w:tc>
          <w:tcPr>
            <w:tcW w:w="1000" w:type="dxa"/>
            <w:vAlign w:val="bottom"/>
            <w:shd w:val="clear" w:color="auto" w:fill="D5EAEB"/>
          </w:tcPr>
          <w:p>
            <w:pPr>
              <w:spacing w:after="0"/>
              <w:rPr>
                <w:sz w:val="18"/>
                <w:szCs w:val="18"/>
                <w:color w:val="auto"/>
              </w:rPr>
            </w:pPr>
          </w:p>
        </w:tc>
        <w:tc>
          <w:tcPr>
            <w:tcW w:w="120" w:type="dxa"/>
            <w:vAlign w:val="bottom"/>
            <w:shd w:val="clear" w:color="auto" w:fill="D5EAEB"/>
          </w:tcPr>
          <w:p>
            <w:pPr>
              <w:spacing w:after="0"/>
              <w:rPr>
                <w:sz w:val="18"/>
                <w:szCs w:val="18"/>
                <w:color w:val="auto"/>
              </w:rPr>
            </w:pPr>
          </w:p>
        </w:tc>
        <w:tc>
          <w:tcPr>
            <w:tcW w:w="1220" w:type="dxa"/>
            <w:vAlign w:val="bottom"/>
            <w:gridSpan w:val="2"/>
            <w:shd w:val="clear" w:color="auto" w:fill="D5EAEB"/>
          </w:tcPr>
          <w:p>
            <w:pPr>
              <w:jc w:val="right"/>
              <w:ind w:right="10"/>
              <w:spacing w:after="0"/>
              <w:rPr>
                <w:sz w:val="20"/>
                <w:szCs w:val="20"/>
                <w:color w:val="auto"/>
              </w:rPr>
            </w:pPr>
            <w:r>
              <w:rPr>
                <w:rFonts w:ascii="Arial" w:cs="Arial" w:eastAsia="Arial" w:hAnsi="Arial"/>
                <w:sz w:val="18"/>
                <w:szCs w:val="18"/>
                <w:color w:val="auto"/>
              </w:rPr>
              <w:t>943</w:t>
            </w:r>
          </w:p>
        </w:tc>
        <w:tc>
          <w:tcPr>
            <w:tcW w:w="1120" w:type="dxa"/>
            <w:vAlign w:val="bottom"/>
            <w:shd w:val="clear" w:color="auto" w:fill="D5EAEB"/>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Arial" w:cs="Arial" w:eastAsia="Arial" w:hAnsi="Arial"/>
                <w:sz w:val="18"/>
                <w:szCs w:val="18"/>
                <w:b w:val="1"/>
                <w:bCs w:val="1"/>
                <w:color w:val="auto"/>
              </w:rPr>
              <w:t>Cash (used in)/provided by operating activities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(39,997)</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B"/>
          </w:tcPr>
          <w:p>
            <w:pPr>
              <w:spacing w:after="0"/>
              <w:rPr>
                <w:sz w:val="20"/>
                <w:szCs w:val="20"/>
                <w:color w:val="auto"/>
              </w:rPr>
            </w:pPr>
            <w:r>
              <w:rPr>
                <w:rFonts w:ascii="Arial" w:cs="Arial" w:eastAsia="Arial" w:hAnsi="Arial"/>
                <w:sz w:val="18"/>
                <w:szCs w:val="18"/>
                <w:color w:val="auto"/>
              </w:rPr>
              <w:t>Interest received</w:t>
            </w:r>
          </w:p>
        </w:tc>
        <w:tc>
          <w:tcPr>
            <w:tcW w:w="1000" w:type="dxa"/>
            <w:vAlign w:val="bottom"/>
            <w:shd w:val="clear" w:color="auto" w:fill="D5EAEB"/>
          </w:tcPr>
          <w:p>
            <w:pPr>
              <w:spacing w:after="0"/>
              <w:rPr>
                <w:sz w:val="18"/>
                <w:szCs w:val="18"/>
                <w:color w:val="auto"/>
              </w:rPr>
            </w:pPr>
          </w:p>
        </w:tc>
        <w:tc>
          <w:tcPr>
            <w:tcW w:w="120" w:type="dxa"/>
            <w:vAlign w:val="bottom"/>
            <w:shd w:val="clear" w:color="auto" w:fill="D5EAEB"/>
          </w:tcPr>
          <w:p>
            <w:pPr>
              <w:spacing w:after="0"/>
              <w:rPr>
                <w:sz w:val="18"/>
                <w:szCs w:val="18"/>
                <w:color w:val="auto"/>
              </w:rPr>
            </w:pPr>
          </w:p>
        </w:tc>
        <w:tc>
          <w:tcPr>
            <w:tcW w:w="1220" w:type="dxa"/>
            <w:vAlign w:val="bottom"/>
            <w:gridSpan w:val="2"/>
            <w:shd w:val="clear" w:color="auto" w:fill="D5EAEB"/>
          </w:tcPr>
          <w:p>
            <w:pPr>
              <w:jc w:val="right"/>
              <w:ind w:right="10"/>
              <w:spacing w:after="0"/>
              <w:rPr>
                <w:sz w:val="20"/>
                <w:szCs w:val="20"/>
                <w:color w:val="auto"/>
              </w:rPr>
            </w:pPr>
            <w:r>
              <w:rPr>
                <w:rFonts w:ascii="Arial" w:cs="Arial" w:eastAsia="Arial" w:hAnsi="Arial"/>
                <w:sz w:val="18"/>
                <w:szCs w:val="18"/>
                <w:color w:val="auto"/>
              </w:rPr>
              <w:t>78</w:t>
            </w:r>
          </w:p>
        </w:tc>
        <w:tc>
          <w:tcPr>
            <w:tcW w:w="1120" w:type="dxa"/>
            <w:vAlign w:val="bottom"/>
            <w:shd w:val="clear" w:color="auto" w:fill="D5EAEB"/>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Interest paid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Finance costs</w:t>
            </w: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(7)</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(used in)/provided by operating activities</w:t>
            </w:r>
          </w:p>
        </w:tc>
        <w:tc>
          <w:tcPr>
            <w:tcW w:w="100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(40,154</w:t>
            </w:r>
          </w:p>
        </w:tc>
        <w:tc>
          <w:tcPr>
            <w:tcW w:w="10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 net</w:t>
            </w:r>
          </w:p>
        </w:tc>
        <w:tc>
          <w:tcPr>
            <w:tcW w:w="10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25,000</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1120" w:type="dxa"/>
            <w:vAlign w:val="bottom"/>
          </w:tcPr>
          <w:p>
            <w:pPr>
              <w:jc w:val="right"/>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provided by/(used in) investing activities</w:t>
            </w:r>
          </w:p>
        </w:tc>
        <w:tc>
          <w:tcPr>
            <w:tcW w:w="10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24,163</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Repayment of short-term debt obligation</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Principal payments of lease obligations</w:t>
            </w:r>
          </w:p>
        </w:tc>
        <w:tc>
          <w:tcPr>
            <w:tcW w:w="10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(323)</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Proceeds from issuance of common shares – option plan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143</w:t>
            </w: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treasury shares, net of transaction costs</w:t>
            </w:r>
          </w:p>
        </w:tc>
        <w:tc>
          <w:tcPr>
            <w:tcW w:w="10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100</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Proceeds from issuance of convertible loan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Transaction costs on issuance of shares</w:t>
            </w: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Proceeds from long-term financing</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(used in)/provided by financing activities</w:t>
            </w:r>
          </w:p>
        </w:tc>
        <w:tc>
          <w:tcPr>
            <w:tcW w:w="10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D5EAEA"/>
              <w:bottom w:val="single" w:sz="8" w:color="D5EAEA"/>
            </w:tcBorders>
            <w:shd w:val="clear" w:color="auto" w:fill="D5EAEA"/>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49,624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00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(16,334)</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56,281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780" w:type="dxa"/>
            <w:vAlign w:val="bottom"/>
            <w:tcBorders>
              <w:top w:val="single" w:sz="8" w:color="D5EAEA"/>
            </w:tcBorders>
          </w:tcPr>
          <w:p>
            <w:pPr>
              <w:spacing w:after="0"/>
              <w:rPr>
                <w:sz w:val="20"/>
                <w:szCs w:val="20"/>
                <w:color w:val="auto"/>
              </w:rPr>
            </w:pPr>
            <w:r>
              <w:rPr>
                <w:rFonts w:ascii="Arial" w:cs="Arial" w:eastAsia="Arial" w:hAnsi="Arial"/>
                <w:sz w:val="18"/>
                <w:szCs w:val="18"/>
                <w:color w:val="auto"/>
              </w:rPr>
              <w:t>Cash and cash equivalents at January 1</w:t>
            </w:r>
          </w:p>
        </w:tc>
        <w:tc>
          <w:tcPr>
            <w:tcW w:w="1000" w:type="dxa"/>
            <w:vAlign w:val="bottom"/>
            <w:tcBorders>
              <w:top w:val="single" w:sz="8" w:color="D5EAEA"/>
            </w:tcBorders>
          </w:tcPr>
          <w:p>
            <w:pPr>
              <w:spacing w:after="0"/>
              <w:rPr>
                <w:sz w:val="24"/>
                <w:szCs w:val="24"/>
                <w:color w:val="auto"/>
              </w:rPr>
            </w:pPr>
          </w:p>
        </w:tc>
        <w:tc>
          <w:tcPr>
            <w:tcW w:w="120" w:type="dxa"/>
            <w:vAlign w:val="bottom"/>
            <w:tcBorders>
              <w:top w:val="single" w:sz="8" w:color="D5EAEA"/>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193,587</w:t>
            </w:r>
          </w:p>
        </w:tc>
        <w:tc>
          <w:tcPr>
            <w:tcW w:w="100" w:type="dxa"/>
            <w:vAlign w:val="bottom"/>
            <w:tcBorders>
              <w:top w:val="single" w:sz="8" w:color="D5EAEA"/>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Exchange loss on cash and cash equivalents</w:t>
            </w: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(686)</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Cash and cash equivalents at September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176,567</w:t>
            </w:r>
          </w:p>
        </w:tc>
        <w:tc>
          <w:tcPr>
            <w:tcW w:w="1120" w:type="dxa"/>
            <w:vAlign w:val="bottom"/>
          </w:tcPr>
          <w:p>
            <w:pPr>
              <w:jc w:val="right"/>
              <w:spacing w:after="0"/>
              <w:rPr>
                <w:sz w:val="20"/>
                <w:szCs w:val="20"/>
                <w:color w:val="auto"/>
              </w:rPr>
            </w:pPr>
            <w:r>
              <w:rPr>
                <w:rFonts w:ascii="Arial" w:cs="Arial" w:eastAsia="Arial" w:hAnsi="Arial"/>
                <w:sz w:val="18"/>
                <w:szCs w:val="18"/>
                <w:color w:val="auto"/>
              </w:rPr>
              <w:t>212,457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0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(16,334</w:t>
            </w:r>
          </w:p>
        </w:tc>
        <w:tc>
          <w:tcPr>
            <w:tcW w:w="100" w:type="dxa"/>
            <w:vAlign w:val="bottom"/>
            <w:tcBorders>
              <w:top w:val="single" w:sz="8" w:color="D5EAEA"/>
              <w:bottom w:val="single" w:sz="8" w:color="D5EAEA"/>
            </w:tcBorders>
            <w:shd w:val="clear" w:color="auto" w:fill="D5EAEA"/>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56,281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For the nine months ended September 30, 2020, the acquisition of CHF 0.2 million of property, plant and equipment was non-cash. For the nine months ended September 30, 2019, the Company settled its convertible loan via equity for CHF 48.3 million, gross of CHF 510 thousand for transaction costs.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for share and per share amounts)</w:t>
      </w:r>
    </w:p>
    <w:p>
      <w:pPr>
        <w:spacing w:after="0" w:line="207" w:lineRule="exact"/>
        <w:rPr>
          <w:sz w:val="20"/>
          <w:szCs w:val="20"/>
          <w:color w:val="auto"/>
        </w:rPr>
      </w:pPr>
    </w:p>
    <w:p>
      <w:pPr>
        <w:ind w:left="640" w:hanging="322"/>
        <w:spacing w:after="0"/>
        <w:tabs>
          <w:tab w:leader="none" w:pos="6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AC Immune SA (the “Company,” “AC Immune,” “ACIU,” “we,” “our,” “ours,” or “us”) is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9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Interim Condensed Financial Statements of AC Immune SA as of and for the three and nine months ended September 30, 2020, were authorized for issuance by the Company’s Audit and Finance Committee on November 11, 2020.</w:t>
      </w:r>
    </w:p>
    <w:p>
      <w:pPr>
        <w:spacing w:after="0" w:line="166" w:lineRule="exact"/>
        <w:rPr>
          <w:sz w:val="20"/>
          <w:szCs w:val="20"/>
          <w:color w:val="auto"/>
        </w:rPr>
      </w:pPr>
    </w:p>
    <w:p>
      <w:pPr>
        <w:ind w:right="5360" w:firstLine="102"/>
        <w:spacing w:after="0" w:line="503" w:lineRule="auto"/>
        <w:tabs>
          <w:tab w:leader="none" w:pos="41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jc w:val="both"/>
        <w:ind w:right="140" w:firstLine="324"/>
        <w:spacing w:after="0" w:line="259" w:lineRule="auto"/>
        <w:rPr>
          <w:sz w:val="20"/>
          <w:szCs w:val="20"/>
          <w:color w:val="auto"/>
        </w:rPr>
      </w:pPr>
      <w:r>
        <w:rPr>
          <w:rFonts w:ascii="Arial" w:cs="Arial" w:eastAsia="Arial" w:hAnsi="Arial"/>
          <w:sz w:val="18"/>
          <w:szCs w:val="18"/>
          <w:color w:val="auto"/>
        </w:rPr>
        <w:t xml:space="preserve">These Interim Condensed Financial Statements as of and for the three and nine months ended September 30, 2020, have been prepared in accordance with International Accounting Standard 34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and such financial information should be read in conjunction with the audited financial statements in the Company’s Annual Report on Form 20-F for the year ended December 31, 2019, and any public announcements made by the Company during the interim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Company enters into licensing and collaboration agreements (“LCAs”) which are within the scope of IFRS 15, under which it licenses certain rights to its product candidates and intellectual property (“IP”)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IP. Each of these payments results in license, collaboration and other revenues, which are classified as contract revenue on the statements of income/(loss), except for revenues from royalties on net sales of products commercialized from the Company’s IP, which are classified as royalty revenues.</w:t>
      </w:r>
    </w:p>
    <w:p>
      <w:pPr>
        <w:spacing w:after="0" w:line="19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IP is determined to be distinct from the other performance obligations identified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At the inception of each arrangement that includes development, regulatory and/or commercial milestone payments,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evaluates whether the milestones are considered highly probable</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ind w:right="20"/>
        <w:spacing w:after="0" w:line="275" w:lineRule="auto"/>
        <w:rPr>
          <w:sz w:val="20"/>
          <w:szCs w:val="20"/>
          <w:color w:val="auto"/>
        </w:rPr>
      </w:pPr>
      <w:r>
        <w:rPr>
          <w:rFonts w:ascii="Arial" w:cs="Arial" w:eastAsia="Arial" w:hAnsi="Arial"/>
          <w:sz w:val="17"/>
          <w:szCs w:val="17"/>
          <w:color w:val="auto"/>
        </w:rPr>
        <w:t>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7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Company has certain arrangements with our collaboration partners that include contracting our employees for</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i w:val="1"/>
          <w:iCs w:val="1"/>
          <w:color w:val="auto"/>
        </w:rPr>
        <w:t xml:space="preserve">Sublicense revenues: </w:t>
      </w:r>
      <w:r>
        <w:rPr>
          <w:rFonts w:ascii="Arial" w:cs="Arial" w:eastAsia="Arial" w:hAnsi="Arial"/>
          <w:sz w:val="17"/>
          <w:szCs w:val="17"/>
          <w:color w:val="auto"/>
        </w:rPr>
        <w:t>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LCAs.</w:t>
      </w:r>
    </w:p>
    <w:p>
      <w:pPr>
        <w:spacing w:after="0" w:line="18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The Company receives payments and determines credit terms from its customers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From time to time, the Company received grants from the Michael J. Fox Foundation (“MJFF”) to support certain research projects. Grants are recorded at their fair value in the statements of income/(loss) within other operating income/(expenses) when there is reasonable assurance that the Company will satisfy the underlying grant conditions and the grants will be received. In certain circumstances, grant income may be recognized before formal grantor acknowledgement of milestone achievements. To the extent required, grant income is deferred and recognized on a systematic basis over the periods in which the Company expects to recognize the related expenses for which the grants are intended to compensate.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issuance costs</w:t>
      </w:r>
    </w:p>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September 2020, the Company established an “at the market offering program” for the sale of up to USD 80 (CHF 74.3) million worth of our common shares issued from time to time by entering into an Open Market Sale Agreement (“Sales Agreement”) with Jefferies LLC (“Jefferies”) as the sales agent. Issuance costs incurred in connection with establishing this facility and execution of the Sales Agreement with Jefferies primarily consist of legal, accounting and other professional fees.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Issuance costs are capitalized as incurred and will be shown in equity as a deduction, net of tax, from the proceeds received from future offerings.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Should a planned equity offering not be assessed as probable, the issuance costs would be expensed immediately.</w:t>
      </w:r>
    </w:p>
    <w:p>
      <w:pPr>
        <w:spacing w:after="0" w:line="211"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No common shares have been sold pursuant to the Sales Agreement as of September 30, 2020. As of September 30, 2020 and December 31, 2019, CHF 0.5 million and nil, respectively, of issuance costs were expensed in the statement of income/(loss) for the period.</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areas where the Company has had to make judgments, estimates and assumptions relate to (i) revenue recognition on LCAs, (ii) clinical development accruals, (iii) net employee defined benefit liability, (iv) income taxes, (v) share-based compensation and (vi) right-of-use assets and lease liabilities. Actual results may differ from these estimates. Estimates and underlying assumptions are reviewed on an ongoing basis. Revisions to accounting estimates are recognized in the period in which the estimates are revised.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Company’s financial assets and liabilities are comprised of receivables, short-term financial assets, cash and cash equivalents, trade payables and financing obligations. The fair value of these financial instruments approximate their respective carrying values due to the short term maturity of these instruments and are held at their amortized cost in accordance with IFRS 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accounting policies adopted in the preparation of the Interim Condensed Financial Statements are consistent with those followed in the preparation of the Company’s annual financial statements for the year ended December 31, 2019.</w:t>
      </w:r>
    </w:p>
    <w:p>
      <w:pPr>
        <w:spacing w:after="0" w:line="170"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Company has not adopted any other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Company believes it will be able to meet all of its obligations as they fall due for at least 12 months from September 30, 2020, after considering the Company’s cash position of CHF 176.6 million and short-term financial assets of CHF 70.0 million as of September 30, 2020. Hence, the unaudited Interim Condensed Financial Statements have been prepared on a going concern basis.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date, the Company has financed its cash requirements primarily from its public offerings, share issuances and revenues from license and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9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to the foregoing, based on the Company’s current assessment, the Company does not expect any material impact on its long-term development timeline, its liquidity or ability to remain a going concern due to the worldwide spread of the Covid-19 virus. The Company is continuing to assess the effect on its operations by carefully monitoring the spread of Covid-19 and taking appropriate steps intended to offset any negative impacts from the Covid-19 virus.</w:t>
      </w:r>
    </w:p>
    <w:p>
      <w:pPr>
        <w:spacing w:after="0" w:line="183" w:lineRule="exact"/>
        <w:rPr>
          <w:sz w:val="20"/>
          <w:szCs w:val="20"/>
          <w:color w:val="auto"/>
        </w:rPr>
      </w:pPr>
    </w:p>
    <w:p>
      <w:pPr>
        <w:ind w:left="720" w:hanging="321"/>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Contract revenues</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three and nine months ended September 30, 2020, the Company generated contract revenues of CHF 1.1 million and CHF 14.5 million compared with CHF 33.2 million and CHF 109.6 million for the comparable periods in 2019, respectively. This represents a decrease of CHF 32.1 million and CHF 95.1 million, respectively. For comparability, the Company reclassified CHF 0.2 million and CHF 0.4 million for the comparable periods in 2019, respectively.</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 w:name="page11"/>
    <w:bookmarkEnd w:id="10"/>
    <w:p>
      <w:pPr>
        <w:ind w:left="340"/>
        <w:spacing w:after="0"/>
        <w:rPr>
          <w:sz w:val="20"/>
          <w:szCs w:val="20"/>
          <w:color w:val="auto"/>
        </w:rPr>
      </w:pPr>
      <w:r>
        <w:rPr>
          <w:rFonts w:ascii="Arial" w:cs="Arial" w:eastAsia="Arial" w:hAnsi="Arial"/>
          <w:sz w:val="16"/>
          <w:szCs w:val="16"/>
          <w:color w:val="auto"/>
        </w:rPr>
        <w:t>The following tables provide contract revenue amounts from its LCAs for the three and nine months ended September 30, 2020 and 2019,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27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8460" w:type="dxa"/>
            <w:vAlign w:val="bottom"/>
            <w:vMerge w:val="restart"/>
          </w:tcPr>
          <w:p>
            <w:pPr>
              <w:ind w:left="3380"/>
              <w:spacing w:after="0"/>
              <w:rPr>
                <w:sz w:val="20"/>
                <w:szCs w:val="20"/>
                <w:color w:val="auto"/>
              </w:rPr>
            </w:pPr>
            <w:r>
              <w:rPr>
                <w:rFonts w:ascii="Arial" w:cs="Arial" w:eastAsia="Arial" w:hAnsi="Arial"/>
                <w:sz w:val="18"/>
                <w:szCs w:val="18"/>
                <w:b w:val="1"/>
                <w:bCs w:val="1"/>
                <w:color w:val="auto"/>
              </w:rPr>
              <w:t>in CHF thousands</w:t>
            </w:r>
          </w:p>
        </w:tc>
        <w:tc>
          <w:tcPr>
            <w:tcW w:w="27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D5EAEA"/>
            </w:tcBorders>
            <w:vMerge w:val="continue"/>
          </w:tcPr>
          <w:p>
            <w:pPr>
              <w:spacing w:after="0"/>
              <w:rPr>
                <w:sz w:val="18"/>
                <w:szCs w:val="18"/>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Eli Lilly and Company</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30,248</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Genentech</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Janssen</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Life Molecular Imaging</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Biogen</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84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contract revenue</w:t>
            </w: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33,208</w:t>
            </w: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27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8460" w:type="dxa"/>
            <w:vAlign w:val="bottom"/>
            <w:vMerge w:val="restart"/>
          </w:tcPr>
          <w:p>
            <w:pPr>
              <w:ind w:left="3360"/>
              <w:spacing w:after="0"/>
              <w:rPr>
                <w:sz w:val="20"/>
                <w:szCs w:val="20"/>
                <w:color w:val="auto"/>
              </w:rPr>
            </w:pPr>
            <w:r>
              <w:rPr>
                <w:rFonts w:ascii="Arial" w:cs="Arial" w:eastAsia="Arial" w:hAnsi="Arial"/>
                <w:sz w:val="18"/>
                <w:szCs w:val="18"/>
                <w:b w:val="1"/>
                <w:bCs w:val="1"/>
                <w:color w:val="auto"/>
              </w:rPr>
              <w:t>in CHF thousands</w:t>
            </w:r>
          </w:p>
        </w:tc>
        <w:tc>
          <w:tcPr>
            <w:tcW w:w="27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D5EAEA"/>
            </w:tcBorders>
            <w:vMerge w:val="continue"/>
          </w:tcPr>
          <w:p>
            <w:pPr>
              <w:spacing w:after="0"/>
              <w:rPr>
                <w:sz w:val="18"/>
                <w:szCs w:val="18"/>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Eli Lilly and Company</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104,548</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Genentech</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Janssen</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424</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Life Molecular Imaging</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Biogen</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7"/>
        </w:trPr>
        <w:tc>
          <w:tcPr>
            <w:tcW w:w="84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contract revenue</w:t>
            </w: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14,487</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109,596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changes in the Company’s contract assets and liabilities during the nine months ended September 30, 2020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Balance at the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Balance at the</w:t>
            </w:r>
          </w:p>
        </w:tc>
      </w:tr>
      <w:tr>
        <w:trPr>
          <w:trHeight w:val="216"/>
        </w:trPr>
        <w:tc>
          <w:tcPr>
            <w:tcW w:w="60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beginning of</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end of the</w:t>
            </w:r>
          </w:p>
        </w:tc>
      </w:tr>
      <w:tr>
        <w:trPr>
          <w:trHeight w:val="216"/>
        </w:trPr>
        <w:tc>
          <w:tcPr>
            <w:tcW w:w="60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the reporting</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reporting</w:t>
            </w:r>
          </w:p>
        </w:tc>
      </w:tr>
      <w:tr>
        <w:trPr>
          <w:trHeight w:val="234"/>
        </w:trPr>
        <w:tc>
          <w:tcPr>
            <w:tcW w:w="6080" w:type="dxa"/>
            <w:vAlign w:val="bottom"/>
          </w:tcPr>
          <w:p>
            <w:pPr>
              <w:ind w:left="2280"/>
              <w:spacing w:after="0"/>
              <w:rPr>
                <w:sz w:val="20"/>
                <w:szCs w:val="20"/>
                <w:color w:val="auto"/>
              </w:rPr>
            </w:pPr>
            <w:r>
              <w:rPr>
                <w:rFonts w:ascii="Arial" w:cs="Arial" w:eastAsia="Arial" w:hAnsi="Arial"/>
                <w:sz w:val="18"/>
                <w:szCs w:val="18"/>
                <w:b w:val="1"/>
                <w:bCs w:val="1"/>
                <w:color w:val="auto"/>
              </w:rPr>
              <w:t>in CHF thousands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Additions</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Deductions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period</w:t>
            </w:r>
          </w:p>
        </w:tc>
      </w:tr>
      <w:tr>
        <w:trPr>
          <w:trHeight w:val="209"/>
        </w:trPr>
        <w:tc>
          <w:tcPr>
            <w:tcW w:w="60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11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Accrued income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944</w:t>
            </w: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1,473</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(4,870)</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1,080</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3,667</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2,041</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(4,769)</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939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Deferred income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7,686</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5,793</w:t>
            </w:r>
          </w:p>
        </w:tc>
      </w:tr>
    </w:tbl>
    <w:p>
      <w:pPr>
        <w:spacing w:after="0" w:line="18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During the three and nine months ended September 30, 2020 and 2019, the Company recognized the following revenues as a result of changes in the contract asset and the contract liability balances in the respective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3"/>
          </w:tcPr>
          <w:p>
            <w:pPr>
              <w:ind w:left="42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868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in CHF thousands</w:t>
            </w:r>
          </w:p>
        </w:tc>
        <w:tc>
          <w:tcPr>
            <w:tcW w:w="256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D5EAEA"/>
            </w:tcBorders>
            <w:vMerge w:val="continue"/>
          </w:tcPr>
          <w:p>
            <w:pPr>
              <w:spacing w:after="0"/>
              <w:rPr>
                <w:sz w:val="18"/>
                <w:szCs w:val="18"/>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8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3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32,206</w:t>
            </w: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5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534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in CHF thousands</w:t>
            </w:r>
          </w:p>
        </w:tc>
        <w:tc>
          <w:tcPr>
            <w:tcW w:w="3340" w:type="dxa"/>
            <w:vAlign w:val="bottom"/>
          </w:tcPr>
          <w:p>
            <w:pPr>
              <w:spacing w:after="0"/>
              <w:rPr>
                <w:sz w:val="20"/>
                <w:szCs w:val="20"/>
                <w:color w:val="auto"/>
              </w:rPr>
            </w:pPr>
          </w:p>
        </w:tc>
        <w:tc>
          <w:tcPr>
            <w:tcW w:w="25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D5EAEA"/>
            </w:tcBorders>
            <w:vMerge w:val="continue"/>
          </w:tcPr>
          <w:p>
            <w:pPr>
              <w:spacing w:after="0"/>
              <w:rPr>
                <w:sz w:val="18"/>
                <w:szCs w:val="18"/>
                <w:color w:val="auto"/>
              </w:rPr>
            </w:pPr>
          </w:p>
        </w:tc>
        <w:tc>
          <w:tcPr>
            <w:tcW w:w="334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334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w w:val="95"/>
              </w:rPr>
              <w:t>Amounts included in the contract liability at the beginning of the period</w:t>
            </w:r>
          </w:p>
        </w:tc>
        <w:tc>
          <w:tcPr>
            <w:tcW w:w="4560" w:type="dxa"/>
            <w:vAlign w:val="bottom"/>
            <w:gridSpan w:val="2"/>
          </w:tcPr>
          <w:p>
            <w:pPr>
              <w:jc w:val="right"/>
              <w:ind w:right="10"/>
              <w:spacing w:after="0"/>
              <w:rPr>
                <w:sz w:val="20"/>
                <w:szCs w:val="20"/>
                <w:color w:val="auto"/>
              </w:rPr>
            </w:pPr>
            <w:r>
              <w:rPr>
                <w:rFonts w:ascii="Arial" w:cs="Arial" w:eastAsia="Arial" w:hAnsi="Arial"/>
                <w:sz w:val="18"/>
                <w:szCs w:val="18"/>
                <w:color w:val="auto"/>
              </w:rPr>
              <w:t>4,194</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5340" w:type="dxa"/>
            <w:vAlign w:val="bottom"/>
            <w:shd w:val="clear" w:color="auto" w:fill="D5EAEA"/>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45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567"/>
        </w:trPr>
        <w:tc>
          <w:tcPr>
            <w:tcW w:w="5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2910"/>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Morphomer Tau small molecule – 2018 license agreement with Eli Lilly and Company</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December 2018, we entered into an exclusive, worldwide licensing agreement with Eli Lilly and Company (Lilly) to research and develop Morphomer Tau small molecules for the treatment of AD and other neurodegenerative diseases. More specifically, this is an exclusive license with the right to Lilly to grant sublicenses under the ACIU Patents, the ACIU know-how, and ACIU’s interests in the Joint Patents and the joint know-how to Exploit the Licensed Compounds and Licensed Products. The agreement became effective on January 23, 2019 (the “effective date”)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the EU.</w:t>
      </w:r>
    </w:p>
    <w:p>
      <w:pPr>
        <w:spacing w:after="0" w:line="18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Per the terms of the agreement, the Company received an initial upfront payment of CHF 80 million in Q1 2019 for the rights granted by the Company to Lilly. To date, the Company has conducted a Phase 1 clinical study with ACI-3024.</w:t>
      </w:r>
    </w:p>
    <w:p>
      <w:pPr>
        <w:spacing w:after="0" w:line="17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Lilly is responsible for leading and funding further clinical development and will retain global commercialization rights for all indications.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 double-digits to the mid-teens. The agreement will terminate by the date of expiration of the last royalty term for the last licensed product. However, under the terms of the agreement, Lilly may terminate the agreement at any time by providing 3 months’ prior notice to us.</w:t>
      </w:r>
    </w:p>
    <w:p>
      <w:pPr>
        <w:spacing w:after="0" w:line="18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Per the agreement, the Company is responsible for the preclinical and Phase 1 activities for the first clinical candidate, ACI-3024, which the Company determined are distinct and capable of being completed by Lilly or a third party. Preclinical activities for which AC Immune was responsible prior to their completion in Q2 2019 included final manufacturing of materials for use in the regulatory submission of the protocol and in the Phase 1 study. For the ongoing Phase 1, AC Immune is responsible for leading the study design, obtaining relevant regulatory agency approvals, arranging necessary third-party contracts, completing patient selection, ensuring patient treatment, following up with patients, drafting the clinical study report development and other relevant clinical activities to ensure that the primary objective of the study is completed. The Company used CMOs for certain of its preclinical activities and is currently using CROs to complete certain Phase 1 activities and to issue the final clinical study report.</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Company’s preclinical and Phase 1 activities do not represent integrated services with the licensed IP for which Lilly contracted. Lilly purchased a license to the Company’s Tau therapeutic small-molecule program, which was delivered at commencement of the agreement, and AC Immune’s preclinical and Phase 1 activities do not affect the form or functionality of this license. The Company’s objective for the ongoing Phase 1 activity is to assess safety and tolerability, does not modify or customize the lead compound and the completion of these preclinical and Phase 1 activities do not affect the licensed IP.</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ind w:firstLine="324"/>
        <w:spacing w:after="0" w:line="254" w:lineRule="auto"/>
        <w:rPr>
          <w:sz w:val="20"/>
          <w:szCs w:val="20"/>
          <w:color w:val="auto"/>
        </w:rPr>
      </w:pPr>
      <w:r>
        <w:rPr>
          <w:rFonts w:ascii="Arial" w:cs="Arial" w:eastAsia="Arial" w:hAnsi="Arial"/>
          <w:sz w:val="18"/>
          <w:szCs w:val="18"/>
          <w:color w:val="auto"/>
        </w:rPr>
        <w:t>Finally, per the agreement, each party has three representatives on a joint steering committee (JSC); depending upon the agenda, additional field experts can attend the JSC to provide the technical and scientific contribution required. The JSC meets on a regular basis depending on agreements between the representatives. The JSC is responsible for serving as the forum to (i) discuss, review and approve certain activities by reviewing and discussing the development progress with updates on back-up candidates, (ii) discuss, review and approve all amendments to the global development plan, (iii) periodically discuss and review commercialization of licensed products and (iv) review and approve reports related to development costs among other activities. The JSC is intended to ensure that communication between the parties remains consistent and that the development plan is progressing as intended.</w:t>
      </w:r>
    </w:p>
    <w:p>
      <w:pPr>
        <w:spacing w:after="0" w:line="19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valuation of each performance obligation involves estimates and assumptions with revenue recognition timing to be determined by either delivery or the provision of services.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are expected to be delivered over time as the services are performed. For these services, revenue will be recognized over time using the input method, based on costs incurred to perform the services, as the level of costs incurred over time is thought to best reflect the transfer of services to Lilly. The Company determined the value of the research and development activities to be CHF 6.9 million and deferred this balance from the effective date. As of September 30, 2020, the Company has cumulatively recognized CHF 6.7 million in revenue, resulting in a deferred income (contract liability) balance of CHF 0.2 million, which is all classified on the balance sheet as current within “short-term deferred income.” The remaining CHF 73.1 million from the upfront payment was allocated to the right-of-use license and recognized on the effective date.</w:t>
      </w:r>
    </w:p>
    <w:p>
      <w:pPr>
        <w:spacing w:after="0" w:line="17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At inception of the agreement, none of the clinical, regulatory or commercial milestones had been included in the transaction price, as all milestone amounts were fully constrained. Through September 30, 2020, the Company has recognized CHF 40 million from milestone payments triggered in Q3 2019 and Q1 2020 related to the right-of-use license for IP as there were no further constraints related to these milestones.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6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For the three months ended September 30, 2020, and 2019, we have recognized CHF 1.1 million and CHF 30.2 million, respectively. For the nine months ended September 30, 2020, and 2019, we have recognized CHF 14.1 million and CHF 104.5 million,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 2006 agreement with Genentech, a member of the Roche group</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November 2006, we signed an exclusive, worldwide licensing agreement for crenezumab, our humanized monoclonal therapeutic antibody targeting misfolded Abeta. The agreement was amended in March 2009, January 2013, May 2014 and May 2015. The agreement also provides for the development of a second therapeutic product for a non-AD indication based on the same intellectual property and anti-Abeta antibody compound. The value of this partnership is potentially greater than USD 340 (CHF 316) million.</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when that notice is given.</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Genentech commenced a first Phase 3 clinical study in March 2016 for crenezumab (CREAD). In March 2017, Genentech started a second Phase 3 clinical trial (CREAD 2). Since 2013, crenezumab is also studied in a Phase 2 trial in individuals who carry the PSEN1 E280A autosomal-dominant mutation and do not meet the criteria for mild cognitive impairment due to AD or dementia due to AD and thus are in a preclinical phase of AD (autosomal dominant AD (ADAD)). In 2019, Genentech initiated a Tau Positron Emission</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ind w:right="500"/>
        <w:spacing w:after="0" w:line="277" w:lineRule="auto"/>
        <w:rPr>
          <w:sz w:val="20"/>
          <w:szCs w:val="20"/>
          <w:color w:val="auto"/>
        </w:rPr>
      </w:pPr>
      <w:r>
        <w:rPr>
          <w:rFonts w:ascii="Arial" w:cs="Arial" w:eastAsia="Arial" w:hAnsi="Arial"/>
          <w:sz w:val="18"/>
          <w:szCs w:val="18"/>
          <w:color w:val="auto"/>
        </w:rPr>
        <w:t>Tomography (PET) substudy to the ongoing Phase 2 trial in ADAD to evaluate the effect of crenezumab on Tau burden, which may also increase the understanding of disease progression in the preclinical stage of ADAD.</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If crenezumab receives regulatory approval, we will be entitled to receive royalties that are tied to annual sales volumes with different royalty rates applicable in the US and Europe. To date, we have received total milestone payments of USD 65 (CHF 70.1) million comprised of an upfront payment of USD 25 (CHF 31.6) million and of USD 40 (CHF 38.2) million for clinical development milestones achieved all prior to January 1, 2017. Genentech may terminate the agreement at any time by providing 3 months’ notice to us. In such event all costs incurred are still refundable.</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the upfront consideration received of USD 25 (CHF 31.6) million.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256)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January 30, 2019, we announced that Roche, the parent of Genentech, is discontinuing the CREAD and CREAD 2 (BN29552 and BN29553) Phase 3 studies of crenezumab in people with prodromal-to-mild sporadic AD. The decision came after an interim analysis conducted by the Independent Data Monitoring Center (IDMC) indicated that crenezumab was unlikely to meet its primary endpoint of change from baseline in Clinical Dementia Rating-Sum of Boxes (CDR-SB) Score. This decision was not related to the safety of the investigational product. No safety signals for crenezumab were observed in this analysis and the overall safety profile was similar to that seen in previous trials.</w:t>
      </w:r>
    </w:p>
    <w:p>
      <w:pPr>
        <w:spacing w:after="0" w:line="17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Crenezumab continues to be studied in the Phase 2 preventive trial, which began in 2013 in Columbia, of cognitively healthy individuals who carry the PSEN1 E280A autosomal-dominant mutation and are in a preclinical phase of ADAD. This study will determine if treating people carrying this mutation with crenezumab prior to the onset of AD symptoms will slow or prevent the decline of cognitive and functional abilities.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and nine months ended September 30, 2020, and 2019, respectively, we have recognized no revenues from this arrangement.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Alzheimer’s disease – 2012 agreement with Genentech, a member of the Roche Group</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June 2012, we entered into a second agreement with Genentech to research, develop and commercialize our anti-Tau antibodies for use as immunotherapeutics and diagnostics. The agreement was amended in December 2015.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the high-single digits. The agreement also provides for collaboration on at least one additional therapeutic indication outside of AD built on the same anti-Tau antibody program as well an anti-Tau diagnostic products for AD.</w:t>
      </w:r>
    </w:p>
    <w:p>
      <w:pPr>
        <w:spacing w:after="0" w:line="16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when that notice is given.</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 w:name="page15"/>
    <w:bookmarkEnd w:id="14"/>
    <w:p>
      <w:pPr>
        <w:ind w:right="200" w:firstLine="324"/>
        <w:spacing w:after="0" w:line="255" w:lineRule="auto"/>
        <w:rPr>
          <w:sz w:val="20"/>
          <w:szCs w:val="20"/>
          <w:color w:val="auto"/>
        </w:rPr>
      </w:pPr>
      <w:r>
        <w:rPr>
          <w:rFonts w:ascii="Arial" w:cs="Arial" w:eastAsia="Arial" w:hAnsi="Arial"/>
          <w:sz w:val="18"/>
          <w:szCs w:val="18"/>
          <w:color w:val="auto"/>
        </w:rPr>
        <w:t>To date, we have received payments totaling CHF 59 million, including a milestone payment of CHF 14 million received and recognized in Q4 2017 associated with the first patient dosing in a Phase 2 clinical trial for AD with an anti-Tau monoclonal antibody known as semorinemab, a milestone payment of CHF 14 million recognized in Q2 2016 and received in July 2016, associated with the announcement of the commencement of the Phase 1 clinical study of semorinemab, and a milestone payment of CHF 14 million received in 2015 in connection with the ED-GO decision. As we met all performance obligations on reaching these milestones, we have recognized revenue in the respective periods. Genentech may terminate the agreement at any time by providing 3 months’ notice to us.</w:t>
      </w:r>
    </w:p>
    <w:p>
      <w:pPr>
        <w:spacing w:after="0" w:line="192"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an upfront consideration received of CHF 17 million.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September 23, 2020, the Company reported that Genentech informed us of top line results from a Phase 2 trial of the anti-Tau antibody, semorinemab, in early (prodromal to mild) Alzheimer’s disease (AD) which show that semorinemab did not meet its primary efficacy endpoint of reducing decline on Clinical Dementia Rating-Sum of Boxes (CDR-SB) compared to placebo. The primary safety endpoint was however met. Two secondary endpoints, Alzheimer’s Disease Assessment Scale-Cognitive Subscale 13 (ADAS-Cog13) and Alzheimer’s Disease Cooperative Study Group – Activities of Daily Living Inventory (ADCS-ADL), were not met.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and nine months ended September 30, 2020, and 2019, respectively, we have recognized no revenues from this arrangement.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Vaccine – 2014 agreement with Janssen Pharmaceuticals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December 2014, we entered into an agreement with Janssen Pharmaceuticals, Inc. (Janssen), one of The Janssen Pharmaceutical Companies of Johnson &amp; Johnson, to develop and commercialize therapeutic anti-Tau vaccines for the treatment of AD and potentially other Tauopathies. The value of this partnership is potentially up to CHF 500 million and includes upfront and clinical, regulatory and commercial milestones. In addition to milestones, we will be eligible to receive royalties on sales at a percentage rate ranging from the low-double digits to the mid-teens. In April 2016, July 2017, January 2019 and November 2019, the companies entered into the first, second, third and fourth amendments, respectively. These amendments allow for the alignment of certain payment and activity provisions with the Development Plan and Research Plan activities. We and Janssen are co-developing the second-generation lead therapeutic vaccines, ACI-35.030 and JACI-35.054, through Phase 1b/2a completion. AC Immune and Janssen are jointly sharing research and development costs until the completion of the first Phase 2b. After the Phase 2b, Janssen will assume responsibility for the clinical development, manufacturing and commercialization of the second-generation vaccines.</w:t>
      </w:r>
    </w:p>
    <w:p>
      <w:pPr>
        <w:spacing w:after="0" w:line="181"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based on intellectual property related to this program.</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ind w:right="100" w:firstLine="324"/>
        <w:spacing w:after="0" w:line="263" w:lineRule="auto"/>
        <w:rPr>
          <w:sz w:val="20"/>
          <w:szCs w:val="20"/>
          <w:color w:val="auto"/>
        </w:rPr>
      </w:pPr>
      <w:r>
        <w:rPr>
          <w:rFonts w:ascii="Arial" w:cs="Arial" w:eastAsia="Arial" w:hAnsi="Arial"/>
          <w:sz w:val="18"/>
          <w:szCs w:val="18"/>
          <w:color w:val="auto"/>
        </w:rPr>
        <w:t>The Company received an upfront, non-refundable license fee of CHF 25.9 million, which we recognized as revenue in 2014. In May 2016, we received a payment of CHF 4.9 million for reaching a clinical milestone in the first Phase 1b study. As we met all performance obligations on reaching the milestone, we have recognized this income as revenue.</w:t>
      </w:r>
    </w:p>
    <w:p>
      <w:pPr>
        <w:spacing w:after="0" w:line="18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CMC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At execution of the agreement, the transaction price included only the upfront consideration received of CHF 25.9 million. At inception, none of the clinical, regulatory or commercial milestones had been included in the transaction price, as all milestone amounts were fully constrained. The Company did receive a payment of CHF 4.9 million for reaching a clinical milestone in the first Phase 1b study in May 2016. The Company could also receive up to more than CHF 458 million in clinical, regulatory and commercial milestones as well as tiered, low-double digit to mid-teen royalties on aggregate net sales of products.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8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the three months ended September 30, 2020, and 2019, we have recognized nil and CHF 0.7 million, respectively. For the nine months ended September 30, 2020, and 2019, we have recognized CHF 0.4 million and CHF 1.4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PET imaging agent – 2014 agreement with Life Molecular Imaging (LMI) (formerly Piramal Imaging SA)</w:t>
      </w:r>
    </w:p>
    <w:p>
      <w:pPr>
        <w:spacing w:after="0" w:line="225"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In May 2014,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159 (CHF 174) million, plus royalties on sales at a percentage rate ranging from mid-single digits to low-double digits. LMI may terminate the LCA at any time by providing 3 months’ notice to us.</w:t>
      </w:r>
    </w:p>
    <w:p>
      <w:pPr>
        <w:spacing w:after="0" w:line="18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connection with this agreement, AC Immune received a payment of EUR 500 (CHF 664) thousand, which was fully recognized in 2015. In Q1 2017, we recorded a milestone payment of EUR 1 (CHF 1.1) million related to the initiation of “Part B” of the first-in-man Phase 1 study. In Q3 2019, the Company recognized EUR 2 (CHF 2.2) million in connection with the initiation of a Phase 2 trial of Tau-PET tracer in patients with mild cognitive impairment and mild–to-moderate AD in comparison with non-demented control participants. The Company is eligible to receive variable consideration related to the achievement of certain clinical milestones totaling EUR 8 (CHF 9) million should the compound make it through Phase 3 clinical studies. We are also eligible to receive potential regulatory and sales-based milestones totaling EUR 148 (CHF 162) million. Finally, the Company is eligible for royalties from the mid-single digits to low-double digits.</w:t>
      </w:r>
    </w:p>
    <w:p>
      <w:pPr>
        <w:spacing w:after="0" w:line="19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AC Immune assessed this arrangement in accordance with IFRS 15 and concluded that LMI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upfront payment constitutes the amount of consideration to be included in the transaction price and has been allocated to the license. None of the clinical, regulatory or commercial milestones has been included in the</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 w:name="page17"/>
    <w:bookmarkEnd w:id="16"/>
    <w:p>
      <w:pPr>
        <w:ind w:right="180"/>
        <w:spacing w:after="0" w:line="263" w:lineRule="auto"/>
        <w:rPr>
          <w:sz w:val="20"/>
          <w:szCs w:val="20"/>
          <w:color w:val="auto"/>
        </w:rPr>
      </w:pPr>
      <w:r>
        <w:rPr>
          <w:rFonts w:ascii="Arial" w:cs="Arial" w:eastAsia="Arial" w:hAnsi="Arial"/>
          <w:sz w:val="18"/>
          <w:szCs w:val="18"/>
          <w:color w:val="auto"/>
        </w:rPr>
        <w:t>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18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Any consideration related to sales-based milestones (including royalties) will be recognized when the related sales occur as these amounts have been determined to relate predominantly to the license granted to LMI and therefore are recognized at the later of when the performance obligation is satisfied or the related sales occur. The Company considered LMI’s right to sublicense and develop the Tau protein PET tracers, and the fact that LMI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nine months ended September 30, 2020, and 2019, we have recognized nil and CHF 2.2 million,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Alpha-synuclein and TDP-43 PET tracers – 2016 agreement with Biogen</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April 2016, we entered into a non-exclusive research collaboration agreement with Biogen International GmbH, (“Biogen”). Under the agreement, we and Biogen have agreed to collaborate in the research and early clinical development of our alpha-synuclein PET tracer program for PD and other synucleinopathies, and a second program for the identification, research and development of novel PET ligands against TDP-43, a protein recently linked to neurodegeneration in diseases such as amyotrophic lateral sclerosis (ALS). In addition, we have agreed to share the costs of the collaboration, with Biogen primarily funding the majority of research costs, subject to a cap, which includes an upfront technology access fee and funding toward research and development personnel. We own all intellectual property rights to any invention relating to alpha-synuclein or TDP-43 PET tracers.</w:t>
      </w:r>
    </w:p>
    <w:p>
      <w:pPr>
        <w:spacing w:after="0" w:line="16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AC Immune assessed this arrangement in accordance with IFRS 15 and concluded that Biogen is a customer. The Company has identified two performance obligations in our Biogen collaboration: (i) a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research organizations,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pacing w:after="0" w:line="178"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For the three months ended September 30, 2020, and 2019, the Company has recognized no revenues from this agreement, respectively. For the nine months ended September 30, 2020, and 2019, the Company has recognized nil and CHF 1.1 million, respectively. This collaboration concluded in April 2019.</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3.2 Grant income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from the Michael J. Fox Foundation</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Q3 2017, we formally signed a grant continuation with the Michael J. Fox Foundation for Parkinson’s disease research (“MJFF”). This grant provided funds for the development of PET tracers for pathological forms of the protein alpha-synuclein, to support the early diagnosis and clinical management of Parkinson’s disease. We subsequently signed two additional grants which facilitated the execution of a first-in-human study for a potential alpha-synuclein-PET tracer (“PET tracer”) with the current lead compound and to further develop the PET tracer. The Company retains its intellectual property rights for these alpha-synuclein-PET tracers. These grants concluded in Q2 2020.</w:t>
      </w:r>
    </w:p>
    <w:p>
      <w:pPr>
        <w:spacing w:after="0" w:line="188"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In May 2020, the Company, as part of a joint arrangement with Skåne University Hospital (“Skåne”) in Sweden, was awarded a USD 3.2 (CHF 3.1) million grant from the MJFF’s Ken Griffin Alpha-synuclein Imaging Competition. As part of this grant, AC Immune is eligible to receive USD 2.5 (CHF 2.3) million</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right="100"/>
        <w:spacing w:after="0" w:line="277" w:lineRule="auto"/>
        <w:rPr>
          <w:sz w:val="20"/>
          <w:szCs w:val="20"/>
          <w:color w:val="auto"/>
        </w:rPr>
      </w:pPr>
      <w:r>
        <w:rPr>
          <w:rFonts w:ascii="Arial" w:cs="Arial" w:eastAsia="Arial" w:hAnsi="Arial"/>
          <w:sz w:val="18"/>
          <w:szCs w:val="18"/>
          <w:color w:val="auto"/>
        </w:rPr>
        <w:t>directly from the MJFF. Skåne will receive USD 0.7 (CHF 0.7) million of the total grant directly from the MJFF over two years to conduct and support the clinical arm of the project.</w:t>
      </w:r>
    </w:p>
    <w:p>
      <w:pPr>
        <w:spacing w:after="0" w:line="170"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The MJFF expects that AC Immune and Skåne will complete tasks according to the agreed timelines. AC Immune’s funding is variable depending on the satisfactory achievement of these specific tasks within a specific period of time.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September 30, 2020, and 2019, the Company has recognized CHF 0.5 million and CHF 0.2 million, respectively from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MJFF grants. For the nine months ended September 30, 2020, and 2019, the Company has recognized CHF 0.8 million and CHF 0.4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Company has recorded CHF 0.8 million as short-term deferred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804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9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For the Three Months</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040" w:type="dxa"/>
            <w:vAlign w:val="bottom"/>
            <w:vMerge w:val="restart"/>
          </w:tcPr>
          <w:p>
            <w:pPr>
              <w:ind w:left="176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29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Ended September 30,</w:t>
            </w:r>
          </w:p>
        </w:tc>
        <w:tc>
          <w:tcPr>
            <w:tcW w:w="0" w:type="dxa"/>
            <w:vAlign w:val="bottom"/>
          </w:tcPr>
          <w:p>
            <w:pPr>
              <w:spacing w:after="0"/>
              <w:rPr>
                <w:sz w:val="1"/>
                <w:szCs w:val="1"/>
                <w:color w:val="auto"/>
              </w:rPr>
            </w:pPr>
          </w:p>
        </w:tc>
      </w:tr>
      <w:tr>
        <w:trPr>
          <w:trHeight w:val="209"/>
        </w:trPr>
        <w:tc>
          <w:tcPr>
            <w:tcW w:w="300" w:type="dxa"/>
            <w:vAlign w:val="bottom"/>
            <w:tcBorders>
              <w:bottom w:val="single" w:sz="8" w:color="D5EAEA"/>
            </w:tcBorders>
          </w:tcPr>
          <w:p>
            <w:pPr>
              <w:spacing w:after="0"/>
              <w:rPr>
                <w:sz w:val="18"/>
                <w:szCs w:val="18"/>
                <w:color w:val="auto"/>
              </w:rPr>
            </w:pPr>
          </w:p>
        </w:tc>
        <w:tc>
          <w:tcPr>
            <w:tcW w:w="8040" w:type="dxa"/>
            <w:vAlign w:val="bottom"/>
            <w:tcBorders>
              <w:bottom w:val="single" w:sz="8" w:color="D5EAEA"/>
            </w:tcBorders>
            <w:vMerge w:val="continue"/>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Basic income/(loss) per share (EPS):</w:t>
            </w: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(18,994)</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w w:val="98"/>
              </w:rPr>
              <w:t>Weighted-average number of shares outstanding used to compute EPS basic attributable to equity holders</w:t>
            </w:r>
          </w:p>
        </w:tc>
        <w:tc>
          <w:tcPr>
            <w:tcW w:w="14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71,925,009</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71,822,884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gridSpan w:val="2"/>
          </w:tcPr>
          <w:p>
            <w:pPr>
              <w:spacing w:after="0"/>
              <w:rPr>
                <w:sz w:val="20"/>
                <w:szCs w:val="20"/>
                <w:color w:val="auto"/>
              </w:rPr>
            </w:pPr>
            <w:r>
              <w:rPr>
                <w:rFonts w:ascii="Arial" w:cs="Arial" w:eastAsia="Arial" w:hAnsi="Arial"/>
                <w:sz w:val="18"/>
                <w:szCs w:val="18"/>
                <w:color w:val="auto"/>
              </w:rPr>
              <w:t>Basic income/(loss) per share for the period attributable to equity holders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Diluted income/(loss) per share (EPS):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Numerator:</w:t>
            </w: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(18,994)</w:t>
            </w:r>
          </w:p>
        </w:tc>
        <w:tc>
          <w:tcPr>
            <w:tcW w:w="1340" w:type="dxa"/>
            <w:vAlign w:val="bottom"/>
          </w:tcPr>
          <w:p>
            <w:pPr>
              <w:jc w:val="right"/>
              <w:spacing w:after="0"/>
              <w:rPr>
                <w:sz w:val="20"/>
                <w:szCs w:val="20"/>
                <w:color w:val="auto"/>
              </w:rPr>
            </w:pPr>
            <w:r>
              <w:rPr>
                <w:rFonts w:ascii="Arial" w:cs="Arial" w:eastAsia="Arial" w:hAnsi="Arial"/>
                <w:sz w:val="18"/>
                <w:szCs w:val="18"/>
                <w:color w:val="auto"/>
              </w:rPr>
              <w:t>18,213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Denominator:</w:t>
            </w: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Weighted-average number of shares outstanding to equity holders</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71,925,009</w:t>
            </w:r>
          </w:p>
        </w:tc>
        <w:tc>
          <w:tcPr>
            <w:tcW w:w="1340" w:type="dxa"/>
            <w:vAlign w:val="bottom"/>
          </w:tcPr>
          <w:p>
            <w:pPr>
              <w:jc w:val="right"/>
              <w:spacing w:after="0"/>
              <w:rPr>
                <w:sz w:val="20"/>
                <w:szCs w:val="20"/>
                <w:color w:val="auto"/>
              </w:rPr>
            </w:pPr>
            <w:r>
              <w:rPr>
                <w:rFonts w:ascii="Arial" w:cs="Arial" w:eastAsia="Arial" w:hAnsi="Arial"/>
                <w:sz w:val="18"/>
                <w:szCs w:val="18"/>
                <w:color w:val="auto"/>
              </w:rPr>
              <w:t>71,822,884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Effect of dilutive securities from equity incentive plans</w:t>
            </w:r>
          </w:p>
        </w:tc>
        <w:tc>
          <w:tcPr>
            <w:tcW w:w="156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458,380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Borders>
              <w:top w:val="single" w:sz="8" w:color="D5EAEA"/>
            </w:tcBorders>
            <w:gridSpan w:val="2"/>
          </w:tcPr>
          <w:p>
            <w:pPr>
              <w:spacing w:after="0"/>
              <w:rPr>
                <w:sz w:val="20"/>
                <w:szCs w:val="20"/>
                <w:color w:val="auto"/>
              </w:rPr>
            </w:pPr>
            <w:r>
              <w:rPr>
                <w:rFonts w:ascii="Arial" w:cs="Arial" w:eastAsia="Arial" w:hAnsi="Arial"/>
                <w:sz w:val="18"/>
                <w:szCs w:val="18"/>
                <w:color w:val="auto"/>
                <w:w w:val="96"/>
              </w:rPr>
              <w:t>Weighted-average number of shares outstanding used to compute EPS diluted attributable to equity holders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71,925,009</w:t>
            </w:r>
          </w:p>
        </w:tc>
        <w:tc>
          <w:tcPr>
            <w:tcW w:w="100" w:type="dxa"/>
            <w:vAlign w:val="bottom"/>
            <w:tcBorders>
              <w:top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72,281,264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Diluted income/(loss) per share for the period attributable to equity holders</w:t>
            </w:r>
          </w:p>
        </w:tc>
        <w:tc>
          <w:tcPr>
            <w:tcW w:w="14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3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9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For the Nine Months</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040" w:type="dxa"/>
            <w:vAlign w:val="bottom"/>
            <w:vMerge w:val="restart"/>
          </w:tcPr>
          <w:p>
            <w:pPr>
              <w:ind w:left="176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29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Ended September 30,</w:t>
            </w:r>
          </w:p>
        </w:tc>
        <w:tc>
          <w:tcPr>
            <w:tcW w:w="0" w:type="dxa"/>
            <w:vAlign w:val="bottom"/>
          </w:tcPr>
          <w:p>
            <w:pPr>
              <w:spacing w:after="0"/>
              <w:rPr>
                <w:sz w:val="1"/>
                <w:szCs w:val="1"/>
                <w:color w:val="auto"/>
              </w:rPr>
            </w:pPr>
          </w:p>
        </w:tc>
      </w:tr>
      <w:tr>
        <w:trPr>
          <w:trHeight w:val="209"/>
        </w:trPr>
        <w:tc>
          <w:tcPr>
            <w:tcW w:w="300" w:type="dxa"/>
            <w:vAlign w:val="bottom"/>
            <w:tcBorders>
              <w:bottom w:val="single" w:sz="8" w:color="D5EAEA"/>
            </w:tcBorders>
          </w:tcPr>
          <w:p>
            <w:pPr>
              <w:spacing w:after="0"/>
              <w:rPr>
                <w:sz w:val="18"/>
                <w:szCs w:val="18"/>
                <w:color w:val="auto"/>
              </w:rPr>
            </w:pPr>
          </w:p>
        </w:tc>
        <w:tc>
          <w:tcPr>
            <w:tcW w:w="8040" w:type="dxa"/>
            <w:vAlign w:val="bottom"/>
            <w:tcBorders>
              <w:bottom w:val="single" w:sz="8" w:color="D5EAEA"/>
            </w:tcBorders>
            <w:vMerge w:val="continue"/>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Basic income/(loss) per share (EPS):</w:t>
            </w: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(42,421)</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64,888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w w:val="98"/>
              </w:rPr>
              <w:t>Weighted-average number of shares outstanding used to compute EPS basic attributable to equity holders</w:t>
            </w:r>
          </w:p>
        </w:tc>
        <w:tc>
          <w:tcPr>
            <w:tcW w:w="14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71,888,273</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70,184,257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Basic income/(loss) per share for the period attributable to equity holders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Diluted income/(loss) per share (EPS):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Numerator:</w:t>
            </w: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(42,421)</w:t>
            </w:r>
          </w:p>
        </w:tc>
        <w:tc>
          <w:tcPr>
            <w:tcW w:w="1340" w:type="dxa"/>
            <w:vAlign w:val="bottom"/>
          </w:tcPr>
          <w:p>
            <w:pPr>
              <w:jc w:val="right"/>
              <w:spacing w:after="0"/>
              <w:rPr>
                <w:sz w:val="20"/>
                <w:szCs w:val="20"/>
                <w:color w:val="auto"/>
              </w:rPr>
            </w:pPr>
            <w:r>
              <w:rPr>
                <w:rFonts w:ascii="Arial" w:cs="Arial" w:eastAsia="Arial" w:hAnsi="Arial"/>
                <w:sz w:val="18"/>
                <w:szCs w:val="18"/>
                <w:color w:val="auto"/>
              </w:rPr>
              <w:t>64,888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Denominator:</w:t>
            </w: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Weighted-average number of shares outstanding to equity holders</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71,888,273</w:t>
            </w:r>
          </w:p>
        </w:tc>
        <w:tc>
          <w:tcPr>
            <w:tcW w:w="1340" w:type="dxa"/>
            <w:vAlign w:val="bottom"/>
          </w:tcPr>
          <w:p>
            <w:pPr>
              <w:jc w:val="right"/>
              <w:spacing w:after="0"/>
              <w:rPr>
                <w:sz w:val="20"/>
                <w:szCs w:val="20"/>
                <w:color w:val="auto"/>
              </w:rPr>
            </w:pPr>
            <w:r>
              <w:rPr>
                <w:rFonts w:ascii="Arial" w:cs="Arial" w:eastAsia="Arial" w:hAnsi="Arial"/>
                <w:sz w:val="18"/>
                <w:szCs w:val="18"/>
                <w:color w:val="auto"/>
              </w:rPr>
              <w:t>70,184,257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Effect of dilutive securities from equity incentive plans</w:t>
            </w:r>
          </w:p>
        </w:tc>
        <w:tc>
          <w:tcPr>
            <w:tcW w:w="156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516,433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Borders>
              <w:top w:val="single" w:sz="8" w:color="D5EAEA"/>
            </w:tcBorders>
            <w:gridSpan w:val="2"/>
          </w:tcPr>
          <w:p>
            <w:pPr>
              <w:spacing w:after="0"/>
              <w:rPr>
                <w:sz w:val="20"/>
                <w:szCs w:val="20"/>
                <w:color w:val="auto"/>
              </w:rPr>
            </w:pPr>
            <w:r>
              <w:rPr>
                <w:rFonts w:ascii="Arial" w:cs="Arial" w:eastAsia="Arial" w:hAnsi="Arial"/>
                <w:sz w:val="18"/>
                <w:szCs w:val="18"/>
                <w:color w:val="auto"/>
                <w:w w:val="96"/>
              </w:rPr>
              <w:t>Weighted-average number of shares outstanding used to compute EPS diluted attributable to equity holders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71,888,273</w:t>
            </w:r>
          </w:p>
        </w:tc>
        <w:tc>
          <w:tcPr>
            <w:tcW w:w="100" w:type="dxa"/>
            <w:vAlign w:val="bottom"/>
            <w:tcBorders>
              <w:top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70,700,690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Diluted income/(loss) per share for the period attributable to equity holders</w:t>
            </w: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(0.59)</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30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jc w:val="right"/>
              <w:ind w:right="2550"/>
              <w:spacing w:after="0"/>
              <w:rPr>
                <w:sz w:val="20"/>
                <w:szCs w:val="20"/>
                <w:color w:val="auto"/>
              </w:rPr>
            </w:pPr>
            <w:r>
              <w:rPr>
                <w:rFonts w:ascii="Arial" w:cs="Arial" w:eastAsia="Arial" w:hAnsi="Arial"/>
                <w:sz w:val="18"/>
                <w:szCs w:val="18"/>
                <w:color w:val="auto"/>
              </w:rPr>
              <w:t>18</w:t>
            </w: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18" w:name="page19"/>
    <w:bookmarkEnd w:id="18"/>
    <w:p>
      <w:pPr>
        <w:ind w:left="340"/>
        <w:spacing w:after="0"/>
        <w:rPr>
          <w:sz w:val="20"/>
          <w:szCs w:val="20"/>
          <w:color w:val="auto"/>
        </w:rPr>
      </w:pPr>
      <w:r>
        <w:rPr>
          <w:rFonts w:ascii="Arial" w:cs="Arial" w:eastAsia="Arial" w:hAnsi="Arial"/>
          <w:sz w:val="17"/>
          <w:szCs w:val="17"/>
          <w:color w:val="auto"/>
        </w:rPr>
        <w:t>Potentially dilutive securities that were not included in the diluted per share calculations because they would be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Three Months</w:t>
            </w:r>
          </w:p>
        </w:tc>
      </w:tr>
      <w:tr>
        <w:trPr>
          <w:trHeight w:val="234"/>
        </w:trPr>
        <w:tc>
          <w:tcPr>
            <w:tcW w:w="8340" w:type="dxa"/>
            <w:vAlign w:val="bottom"/>
          </w:tcPr>
          <w:p>
            <w:pPr>
              <w:spacing w:after="0"/>
              <w:rPr>
                <w:sz w:val="20"/>
                <w:szCs w:val="20"/>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Ended September 30,</w:t>
            </w:r>
          </w:p>
        </w:tc>
      </w:tr>
      <w:tr>
        <w:trPr>
          <w:trHeight w:val="209"/>
        </w:trPr>
        <w:tc>
          <w:tcPr>
            <w:tcW w:w="8340" w:type="dxa"/>
            <w:vAlign w:val="bottom"/>
            <w:tcBorders>
              <w:bottom w:val="single" w:sz="8" w:color="D5EAEA"/>
            </w:tcBorders>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834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14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930,921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1,522,923</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24,510</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8340" w:type="dxa"/>
            <w:vAlign w:val="bottom"/>
          </w:tcPr>
          <w:p>
            <w:pPr>
              <w:spacing w:after="0"/>
              <w:rPr>
                <w:sz w:val="24"/>
                <w:szCs w:val="24"/>
                <w:color w:val="auto"/>
              </w:rPr>
            </w:pPr>
          </w:p>
        </w:tc>
        <w:tc>
          <w:tcPr>
            <w:tcW w:w="2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For the Nine Months</w:t>
            </w:r>
          </w:p>
        </w:tc>
      </w:tr>
      <w:tr>
        <w:trPr>
          <w:trHeight w:val="234"/>
        </w:trPr>
        <w:tc>
          <w:tcPr>
            <w:tcW w:w="8340" w:type="dxa"/>
            <w:vAlign w:val="bottom"/>
          </w:tcPr>
          <w:p>
            <w:pPr>
              <w:spacing w:after="0"/>
              <w:rPr>
                <w:sz w:val="20"/>
                <w:szCs w:val="20"/>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Ended September 30,</w:t>
            </w:r>
          </w:p>
        </w:tc>
      </w:tr>
      <w:tr>
        <w:trPr>
          <w:trHeight w:val="209"/>
        </w:trPr>
        <w:tc>
          <w:tcPr>
            <w:tcW w:w="8340" w:type="dxa"/>
            <w:vAlign w:val="bottom"/>
            <w:tcBorders>
              <w:bottom w:val="single" w:sz="8" w:color="D5EAEA"/>
            </w:tcBorders>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834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14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837,608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1,023,279</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31,397</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shd w:val="clear" w:color="auto" w:fill="D5EAEA"/>
          </w:tcPr>
          <w:p>
            <w:pPr>
              <w:spacing w:after="0"/>
              <w:rPr>
                <w:sz w:val="20"/>
                <w:szCs w:val="20"/>
                <w:color w:val="auto"/>
              </w:rPr>
            </w:pPr>
            <w:r>
              <w:rPr>
                <w:rFonts w:ascii="Arial" w:cs="Arial" w:eastAsia="Arial" w:hAnsi="Arial"/>
                <w:sz w:val="18"/>
                <w:szCs w:val="18"/>
                <w:color w:val="auto"/>
              </w:rPr>
              <w:t>Convertible shares</w:t>
            </w: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1,218,352</w:t>
            </w:r>
          </w:p>
        </w:tc>
      </w:tr>
    </w:tbl>
    <w:p>
      <w:pPr>
        <w:spacing w:after="0" w:line="225" w:lineRule="exact"/>
        <w:rPr>
          <w:sz w:val="20"/>
          <w:szCs w:val="20"/>
          <w:color w:val="auto"/>
        </w:rPr>
      </w:pPr>
    </w:p>
    <w:p>
      <w:pPr>
        <w:ind w:left="240"/>
        <w:spacing w:after="0"/>
        <w:tabs>
          <w:tab w:leader="none" w:pos="5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plant and equipment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movement in the net book values of property, plant and equipment for the nine-months ended September 30,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6"/>
          </w:tcPr>
          <w:p>
            <w:pPr>
              <w:jc w:val="right"/>
              <w:ind w:right="1260"/>
              <w:spacing w:after="0"/>
              <w:rPr>
                <w:sz w:val="20"/>
                <w:szCs w:val="20"/>
                <w:color w:val="auto"/>
              </w:rPr>
            </w:pPr>
            <w:r>
              <w:rPr>
                <w:rFonts w:ascii="Arial" w:cs="Arial" w:eastAsia="Arial" w:hAnsi="Arial"/>
                <w:sz w:val="18"/>
                <w:szCs w:val="18"/>
                <w:b w:val="1"/>
                <w:bCs w:val="1"/>
                <w:color w:val="auto"/>
              </w:rPr>
              <w:t>As of September 30, 2020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Leasehold</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720"/>
              <w:spacing w:after="0"/>
              <w:rPr>
                <w:sz w:val="20"/>
                <w:szCs w:val="20"/>
                <w:color w:val="auto"/>
              </w:rPr>
            </w:pPr>
            <w:r>
              <w:rPr>
                <w:rFonts w:ascii="Arial" w:cs="Arial" w:eastAsia="Arial" w:hAnsi="Arial"/>
                <w:sz w:val="18"/>
                <w:szCs w:val="18"/>
                <w:b w:val="1"/>
                <w:bCs w:val="1"/>
                <w:color w:val="auto"/>
              </w:rPr>
              <w:t>in CHF thousands</w:t>
            </w: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Furniture</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IT Equipment</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Lab Equipment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Improvements</w:t>
            </w: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9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1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4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900" w:type="dxa"/>
            <w:vAlign w:val="bottom"/>
            <w:tcBorders>
              <w:top w:val="single" w:sz="8" w:color="auto"/>
            </w:tcBorders>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6,698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900" w:type="dxa"/>
            <w:vAlign w:val="bottom"/>
          </w:tcPr>
          <w:p>
            <w:pPr>
              <w:jc w:val="right"/>
              <w:spacing w:after="0"/>
              <w:rPr>
                <w:sz w:val="20"/>
                <w:szCs w:val="20"/>
                <w:color w:val="auto"/>
              </w:rPr>
            </w:pPr>
            <w:r>
              <w:rPr>
                <w:rFonts w:ascii="Arial" w:cs="Arial" w:eastAsia="Arial" w:hAnsi="Arial"/>
                <w:sz w:val="18"/>
                <w:szCs w:val="18"/>
                <w:color w:val="auto"/>
              </w:rPr>
              <w:t>8,445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Acquisitions</w:t>
            </w:r>
          </w:p>
        </w:tc>
        <w:tc>
          <w:tcPr>
            <w:tcW w:w="12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93</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128</w:t>
            </w: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738</w:t>
            </w: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36</w:t>
            </w: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Balance at September 30,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D5EAEA"/>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7,436</w:t>
            </w:r>
          </w:p>
        </w:tc>
        <w:tc>
          <w:tcPr>
            <w:tcW w:w="100" w:type="dxa"/>
            <w:vAlign w:val="bottom"/>
            <w:tcBorders>
              <w:bottom w:val="single" w:sz="8" w:color="D5EAEA"/>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D5EAEA"/>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2019</w:t>
            </w:r>
          </w:p>
        </w:tc>
        <w:tc>
          <w:tcPr>
            <w:tcW w:w="12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(68)</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(627)</w:t>
            </w: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(3,619)</w:t>
            </w: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(214)</w:t>
            </w: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900" w:type="dxa"/>
            <w:vAlign w:val="bottom"/>
          </w:tcPr>
          <w:p>
            <w:pPr>
              <w:jc w:val="right"/>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September 30, 2020</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(4,422)</w:t>
            </w:r>
          </w:p>
        </w:tc>
        <w:tc>
          <w:tcPr>
            <w:tcW w:w="100" w:type="dxa"/>
            <w:vAlign w:val="bottom"/>
            <w:shd w:val="clear" w:color="auto" w:fill="D5EAEA"/>
          </w:tcPr>
          <w:p>
            <w:pPr>
              <w:spacing w:after="0"/>
              <w:rPr>
                <w:sz w:val="18"/>
                <w:szCs w:val="18"/>
                <w:color w:val="auto"/>
              </w:rPr>
            </w:pP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(264)</w:t>
            </w: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top w:val="single" w:sz="8" w:color="D5EAEA"/>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D5EAEA"/>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D5EAEA"/>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D5EAEA"/>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D5EAEA"/>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Carrying Amount:</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December 31, 2019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3,079</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900" w:type="dxa"/>
            <w:vAlign w:val="bottom"/>
          </w:tcPr>
          <w:p>
            <w:pPr>
              <w:jc w:val="right"/>
              <w:spacing w:after="0"/>
              <w:rPr>
                <w:sz w:val="20"/>
                <w:szCs w:val="20"/>
                <w:color w:val="auto"/>
              </w:rPr>
            </w:pPr>
            <w:r>
              <w:rPr>
                <w:rFonts w:ascii="Arial" w:cs="Arial" w:eastAsia="Arial" w:hAnsi="Arial"/>
                <w:sz w:val="18"/>
                <w:szCs w:val="18"/>
                <w:color w:val="auto"/>
              </w:rPr>
              <w:t>3,917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September 30, 2020</w:t>
            </w:r>
          </w:p>
        </w:tc>
        <w:tc>
          <w:tcPr>
            <w:tcW w:w="12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160</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437</w:t>
            </w: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3,014</w:t>
            </w: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174</w:t>
            </w: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continues to enhance its laboratory equipment to support its research and development functions. This effort has continued since the year ended December 31, 2019, with CHF 0.7 million invested in lab and IT equipment representing a 11% increase. This is consistent with the Company’s long-term strategic plan.</w:t>
      </w:r>
    </w:p>
    <w:p>
      <w:pPr>
        <w:spacing w:after="0" w:line="180" w:lineRule="exact"/>
        <w:rPr>
          <w:sz w:val="20"/>
          <w:szCs w:val="20"/>
          <w:color w:val="auto"/>
        </w:rPr>
      </w:pPr>
    </w:p>
    <w:p>
      <w:pPr>
        <w:ind w:left="520" w:hanging="323"/>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5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did not recognize additions of right-of-use of leased assets for buildings or for office equipment for the nine months ended September 30, 2020.</w:t>
      </w:r>
    </w:p>
    <w:p>
      <w:pPr>
        <w:spacing w:after="0" w:line="170"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Regarding lease liabilities, the amortization depends on the rate implicit in the contract or the incremental borrowing rate for the respective lease component. The weighted averages of the incremental borrowing rates are 2.5% for buildings, 4.2% for office equipment and 2.6% for IT equipment,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movements in the net book values of right-of-use of leased assets for the nine months ended September 30, 2020:</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Office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IT</w:t>
            </w:r>
          </w:p>
        </w:tc>
        <w:tc>
          <w:tcPr>
            <w:tcW w:w="1680" w:type="dxa"/>
            <w:vAlign w:val="bottom"/>
          </w:tcPr>
          <w:p>
            <w:pPr>
              <w:spacing w:after="0"/>
              <w:rPr>
                <w:sz w:val="18"/>
                <w:szCs w:val="18"/>
                <w:color w:val="auto"/>
              </w:rPr>
            </w:pPr>
          </w:p>
        </w:tc>
      </w:tr>
      <w:tr>
        <w:trPr>
          <w:trHeight w:val="234"/>
        </w:trPr>
        <w:tc>
          <w:tcPr>
            <w:tcW w:w="4840" w:type="dxa"/>
            <w:vAlign w:val="bottom"/>
          </w:tcPr>
          <w:p>
            <w:pPr>
              <w:ind w:left="1720"/>
              <w:spacing w:after="0"/>
              <w:rPr>
                <w:sz w:val="20"/>
                <w:szCs w:val="20"/>
                <w:color w:val="auto"/>
              </w:rPr>
            </w:pPr>
            <w:r>
              <w:rPr>
                <w:rFonts w:ascii="Arial" w:cs="Arial" w:eastAsia="Arial" w:hAnsi="Arial"/>
                <w:sz w:val="18"/>
                <w:szCs w:val="18"/>
                <w:b w:val="1"/>
                <w:bCs w:val="1"/>
                <w:color w:val="auto"/>
              </w:rPr>
              <w:t>in CHF thousands</w:t>
            </w:r>
          </w:p>
        </w:tc>
        <w:tc>
          <w:tcPr>
            <w:tcW w:w="18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Buildings</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Equipment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09"/>
        </w:trPr>
        <w:tc>
          <w:tcPr>
            <w:tcW w:w="484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2019</w:t>
            </w:r>
          </w:p>
        </w:tc>
        <w:tc>
          <w:tcPr>
            <w:tcW w:w="16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2,106</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D5EAEA"/>
            </w:tcBorders>
            <w:shd w:val="clear" w:color="auto" w:fill="D5EAEA"/>
          </w:tcPr>
          <w:p>
            <w:pPr>
              <w:spacing w:after="0"/>
              <w:rPr>
                <w:sz w:val="18"/>
                <w:szCs w:val="18"/>
                <w:color w:val="auto"/>
              </w:rPr>
            </w:pPr>
          </w:p>
        </w:tc>
        <w:tc>
          <w:tcPr>
            <w:tcW w:w="16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2,255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Additions</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D5EAEA"/>
          </w:tcPr>
          <w:p>
            <w:pPr>
              <w:spacing w:after="0"/>
              <w:rPr>
                <w:sz w:val="20"/>
                <w:szCs w:val="20"/>
                <w:color w:val="auto"/>
              </w:rPr>
            </w:pPr>
            <w:r>
              <w:rPr>
                <w:rFonts w:ascii="Arial" w:cs="Arial" w:eastAsia="Arial" w:hAnsi="Arial"/>
                <w:sz w:val="18"/>
                <w:szCs w:val="18"/>
                <w:color w:val="auto"/>
              </w:rPr>
              <w:t>Disposals</w:t>
            </w:r>
          </w:p>
        </w:tc>
        <w:tc>
          <w:tcPr>
            <w:tcW w:w="18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Depreciation</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68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16"/>
        </w:trPr>
        <w:tc>
          <w:tcPr>
            <w:tcW w:w="48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September 30, 2020</w:t>
            </w:r>
          </w:p>
        </w:tc>
        <w:tc>
          <w:tcPr>
            <w:tcW w:w="16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1,807</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6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1,932</w:t>
            </w:r>
          </w:p>
        </w:tc>
      </w:tr>
    </w:tbl>
    <w:p>
      <w:pPr>
        <w:spacing w:after="0" w:line="202"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Overall, IFRS 16 was cash flow neutral for the Company. There are no variable lease payments which are not included in the measurement of lease obligations. All extension options that have been reasonably assessed to be used have been included in the measurement of lease obligations.</w:t>
      </w:r>
    </w:p>
    <w:p>
      <w:pPr>
        <w:spacing w:after="0" w:line="12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the three and nine months ended September 30, 2020, and 2019, the impact on the Company’s statements of income/(loss) and statements of cash flows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314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8100" w:type="dxa"/>
            <w:vAlign w:val="bottom"/>
            <w:vMerge w:val="restart"/>
          </w:tcPr>
          <w:p>
            <w:pPr>
              <w:ind w:left="3360"/>
              <w:spacing w:after="0"/>
              <w:rPr>
                <w:sz w:val="20"/>
                <w:szCs w:val="20"/>
                <w:color w:val="auto"/>
              </w:rPr>
            </w:pPr>
            <w:r>
              <w:rPr>
                <w:rFonts w:ascii="Arial" w:cs="Arial" w:eastAsia="Arial" w:hAnsi="Arial"/>
                <w:sz w:val="18"/>
                <w:szCs w:val="18"/>
                <w:b w:val="1"/>
                <w:bCs w:val="1"/>
                <w:color w:val="auto"/>
              </w:rPr>
              <w:t>in CHF thousands</w:t>
            </w:r>
          </w:p>
        </w:tc>
        <w:tc>
          <w:tcPr>
            <w:tcW w:w="31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09"/>
        </w:trPr>
        <w:tc>
          <w:tcPr>
            <w:tcW w:w="8100" w:type="dxa"/>
            <w:vAlign w:val="bottom"/>
            <w:vMerge w:val="continue"/>
          </w:tcPr>
          <w:p>
            <w:pPr>
              <w:spacing w:after="0"/>
              <w:rPr>
                <w:sz w:val="18"/>
                <w:szCs w:val="18"/>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i w:val="1"/>
                <w:iCs w:val="1"/>
                <w:color w:val="auto"/>
              </w:rPr>
              <w:t>Statements of income/(loss)</w:t>
            </w:r>
          </w:p>
        </w:tc>
        <w:tc>
          <w:tcPr>
            <w:tcW w:w="15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4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 on lease liabilities</w:t>
            </w:r>
          </w:p>
        </w:tc>
        <w:tc>
          <w:tcPr>
            <w:tcW w:w="16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13</w:t>
            </w:r>
          </w:p>
        </w:tc>
        <w:tc>
          <w:tcPr>
            <w:tcW w:w="14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4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7"/>
        </w:trPr>
        <w:tc>
          <w:tcPr>
            <w:tcW w:w="81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4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100" w:type="dxa"/>
            <w:vAlign w:val="bottom"/>
            <w:tcBorders>
              <w:bottom w:val="single" w:sz="8" w:color="D5EAEA"/>
            </w:tcBorders>
            <w:shd w:val="clear" w:color="auto" w:fill="D5EAEA"/>
          </w:tcPr>
          <w:p>
            <w:pPr>
              <w:spacing w:after="0" w:line="176" w:lineRule="exact"/>
              <w:rPr>
                <w:sz w:val="20"/>
                <w:szCs w:val="20"/>
                <w:color w:val="auto"/>
              </w:rPr>
            </w:pPr>
            <w:r>
              <w:rPr>
                <w:rFonts w:ascii="Arial" w:cs="Arial" w:eastAsia="Arial" w:hAnsi="Arial"/>
                <w:sz w:val="18"/>
                <w:szCs w:val="18"/>
                <w:i w:val="1"/>
                <w:iCs w:val="1"/>
                <w:color w:val="auto"/>
              </w:rPr>
              <w:t>Statements of cash flows</w:t>
            </w:r>
          </w:p>
        </w:tc>
        <w:tc>
          <w:tcPr>
            <w:tcW w:w="1580" w:type="dxa"/>
            <w:vAlign w:val="bottom"/>
            <w:tcBorders>
              <w:bottom w:val="single" w:sz="8" w:color="auto"/>
            </w:tcBorders>
            <w:shd w:val="clear" w:color="auto" w:fill="D5EAEA"/>
          </w:tcPr>
          <w:p>
            <w:pPr>
              <w:spacing w:after="0"/>
              <w:rPr>
                <w:sz w:val="17"/>
                <w:szCs w:val="17"/>
                <w:color w:val="auto"/>
              </w:rPr>
            </w:pPr>
          </w:p>
        </w:tc>
        <w:tc>
          <w:tcPr>
            <w:tcW w:w="100" w:type="dxa"/>
            <w:vAlign w:val="bottom"/>
            <w:tcBorders>
              <w:bottom w:val="single" w:sz="8" w:color="D5EAEA"/>
            </w:tcBorders>
            <w:shd w:val="clear" w:color="auto" w:fill="D5EAEA"/>
          </w:tcPr>
          <w:p>
            <w:pPr>
              <w:spacing w:after="0"/>
              <w:rPr>
                <w:sz w:val="17"/>
                <w:szCs w:val="17"/>
                <w:color w:val="auto"/>
              </w:rPr>
            </w:pPr>
          </w:p>
        </w:tc>
        <w:tc>
          <w:tcPr>
            <w:tcW w:w="1460" w:type="dxa"/>
            <w:vAlign w:val="bottom"/>
            <w:tcBorders>
              <w:bottom w:val="single" w:sz="8" w:color="auto"/>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00" w:type="dxa"/>
            <w:vAlign w:val="bottom"/>
            <w:tcBorders>
              <w:top w:val="single" w:sz="8" w:color="D5EAEA"/>
            </w:tcBorders>
          </w:tcPr>
          <w:p>
            <w:pPr>
              <w:spacing w:after="0"/>
              <w:rPr>
                <w:sz w:val="20"/>
                <w:szCs w:val="20"/>
                <w:color w:val="auto"/>
              </w:rPr>
            </w:pPr>
            <w:r>
              <w:rPr>
                <w:rFonts w:ascii="Arial" w:cs="Arial" w:eastAsia="Arial" w:hAnsi="Arial"/>
                <w:sz w:val="18"/>
                <w:szCs w:val="18"/>
                <w:color w:val="auto"/>
              </w:rPr>
              <w:t>Total cash outflow for leases</w:t>
            </w:r>
          </w:p>
        </w:tc>
        <w:tc>
          <w:tcPr>
            <w:tcW w:w="1580" w:type="dxa"/>
            <w:vAlign w:val="bottom"/>
            <w:tcBorders>
              <w:top w:val="single" w:sz="8" w:color="D5EAEA"/>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D5EAEA"/>
            </w:tcBorders>
          </w:tcPr>
          <w:p>
            <w:pPr>
              <w:spacing w:after="0"/>
              <w:rPr>
                <w:sz w:val="19"/>
                <w:szCs w:val="19"/>
                <w:color w:val="auto"/>
              </w:rPr>
            </w:pPr>
          </w:p>
        </w:tc>
        <w:tc>
          <w:tcPr>
            <w:tcW w:w="1460" w:type="dxa"/>
            <w:vAlign w:val="bottom"/>
            <w:tcBorders>
              <w:top w:val="single" w:sz="8" w:color="D5EAEA"/>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31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8100" w:type="dxa"/>
            <w:vAlign w:val="bottom"/>
            <w:vMerge w:val="restart"/>
          </w:tcPr>
          <w:p>
            <w:pPr>
              <w:ind w:left="3360"/>
              <w:spacing w:after="0"/>
              <w:rPr>
                <w:sz w:val="20"/>
                <w:szCs w:val="20"/>
                <w:color w:val="auto"/>
              </w:rPr>
            </w:pPr>
            <w:r>
              <w:rPr>
                <w:rFonts w:ascii="Arial" w:cs="Arial" w:eastAsia="Arial" w:hAnsi="Arial"/>
                <w:sz w:val="18"/>
                <w:szCs w:val="18"/>
                <w:b w:val="1"/>
                <w:bCs w:val="1"/>
                <w:color w:val="auto"/>
              </w:rPr>
              <w:t>in CHF thousands</w:t>
            </w:r>
          </w:p>
        </w:tc>
        <w:tc>
          <w:tcPr>
            <w:tcW w:w="31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09"/>
        </w:trPr>
        <w:tc>
          <w:tcPr>
            <w:tcW w:w="8100" w:type="dxa"/>
            <w:vAlign w:val="bottom"/>
            <w:vMerge w:val="continue"/>
          </w:tcPr>
          <w:p>
            <w:pPr>
              <w:spacing w:after="0"/>
              <w:rPr>
                <w:sz w:val="18"/>
                <w:szCs w:val="18"/>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i w:val="1"/>
                <w:iCs w:val="1"/>
                <w:color w:val="auto"/>
              </w:rPr>
              <w:t>Statements of income/(loss)</w:t>
            </w:r>
          </w:p>
        </w:tc>
        <w:tc>
          <w:tcPr>
            <w:tcW w:w="15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146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 on lease liabilities</w:t>
            </w:r>
          </w:p>
        </w:tc>
        <w:tc>
          <w:tcPr>
            <w:tcW w:w="16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41</w:t>
            </w:r>
          </w:p>
        </w:tc>
        <w:tc>
          <w:tcPr>
            <w:tcW w:w="14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146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81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4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100" w:type="dxa"/>
            <w:vAlign w:val="bottom"/>
            <w:tcBorders>
              <w:bottom w:val="single" w:sz="8" w:color="D5EAEA"/>
            </w:tcBorders>
            <w:shd w:val="clear" w:color="auto" w:fill="D5EAEA"/>
          </w:tcPr>
          <w:p>
            <w:pPr>
              <w:spacing w:after="0" w:line="176" w:lineRule="exact"/>
              <w:rPr>
                <w:sz w:val="20"/>
                <w:szCs w:val="20"/>
                <w:color w:val="auto"/>
              </w:rPr>
            </w:pPr>
            <w:r>
              <w:rPr>
                <w:rFonts w:ascii="Arial" w:cs="Arial" w:eastAsia="Arial" w:hAnsi="Arial"/>
                <w:sz w:val="18"/>
                <w:szCs w:val="18"/>
                <w:i w:val="1"/>
                <w:iCs w:val="1"/>
                <w:color w:val="auto"/>
              </w:rPr>
              <w:t>Statements of cash flows</w:t>
            </w:r>
          </w:p>
        </w:tc>
        <w:tc>
          <w:tcPr>
            <w:tcW w:w="1580" w:type="dxa"/>
            <w:vAlign w:val="bottom"/>
            <w:tcBorders>
              <w:bottom w:val="single" w:sz="8" w:color="auto"/>
            </w:tcBorders>
            <w:shd w:val="clear" w:color="auto" w:fill="D5EAEA"/>
          </w:tcPr>
          <w:p>
            <w:pPr>
              <w:spacing w:after="0"/>
              <w:rPr>
                <w:sz w:val="17"/>
                <w:szCs w:val="17"/>
                <w:color w:val="auto"/>
              </w:rPr>
            </w:pPr>
          </w:p>
        </w:tc>
        <w:tc>
          <w:tcPr>
            <w:tcW w:w="100" w:type="dxa"/>
            <w:vAlign w:val="bottom"/>
            <w:tcBorders>
              <w:bottom w:val="single" w:sz="8" w:color="D5EAEA"/>
            </w:tcBorders>
            <w:shd w:val="clear" w:color="auto" w:fill="D5EAEA"/>
          </w:tcPr>
          <w:p>
            <w:pPr>
              <w:spacing w:after="0"/>
              <w:rPr>
                <w:sz w:val="17"/>
                <w:szCs w:val="17"/>
                <w:color w:val="auto"/>
              </w:rPr>
            </w:pPr>
          </w:p>
        </w:tc>
        <w:tc>
          <w:tcPr>
            <w:tcW w:w="1460" w:type="dxa"/>
            <w:vAlign w:val="bottom"/>
            <w:tcBorders>
              <w:bottom w:val="single" w:sz="8" w:color="auto"/>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00" w:type="dxa"/>
            <w:vAlign w:val="bottom"/>
            <w:tcBorders>
              <w:top w:val="single" w:sz="8" w:color="D5EAEA"/>
            </w:tcBorders>
          </w:tcPr>
          <w:p>
            <w:pPr>
              <w:spacing w:after="0"/>
              <w:rPr>
                <w:sz w:val="20"/>
                <w:szCs w:val="20"/>
                <w:color w:val="auto"/>
              </w:rPr>
            </w:pPr>
            <w:r>
              <w:rPr>
                <w:rFonts w:ascii="Arial" w:cs="Arial" w:eastAsia="Arial" w:hAnsi="Arial"/>
                <w:sz w:val="18"/>
                <w:szCs w:val="18"/>
                <w:color w:val="auto"/>
              </w:rPr>
              <w:t>Total cash outflow for leases</w:t>
            </w:r>
          </w:p>
        </w:tc>
        <w:tc>
          <w:tcPr>
            <w:tcW w:w="1580" w:type="dxa"/>
            <w:vAlign w:val="bottom"/>
            <w:tcBorders>
              <w:top w:val="single" w:sz="8" w:color="D5EAEA"/>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D5EAEA"/>
            </w:tcBorders>
          </w:tcPr>
          <w:p>
            <w:pPr>
              <w:spacing w:after="0"/>
              <w:rPr>
                <w:sz w:val="19"/>
                <w:szCs w:val="19"/>
                <w:color w:val="auto"/>
              </w:rPr>
            </w:pPr>
          </w:p>
        </w:tc>
        <w:tc>
          <w:tcPr>
            <w:tcW w:w="1460" w:type="dxa"/>
            <w:vAlign w:val="bottom"/>
            <w:tcBorders>
              <w:top w:val="single" w:sz="8" w:color="D5EAEA"/>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Company’s statements of cash flow were impacted by a shift from cash generated from operations of CHF 0.3 million to the net cash used in financing activities for the nine months ended September 30, 2020, and 2019,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contractual undiscounted cash flows for lease obligations as of September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As of</w:t>
            </w:r>
          </w:p>
        </w:tc>
      </w:tr>
      <w:tr>
        <w:trPr>
          <w:trHeight w:val="234"/>
        </w:trPr>
        <w:tc>
          <w:tcPr>
            <w:tcW w:w="5360" w:type="dxa"/>
            <w:vAlign w:val="bottom"/>
          </w:tcPr>
          <w:p>
            <w:pPr>
              <w:ind w:left="3800"/>
              <w:spacing w:after="0"/>
              <w:rPr>
                <w:sz w:val="20"/>
                <w:szCs w:val="20"/>
                <w:color w:val="auto"/>
              </w:rPr>
            </w:pPr>
            <w:r>
              <w:rPr>
                <w:rFonts w:ascii="Arial" w:cs="Arial" w:eastAsia="Arial" w:hAnsi="Arial"/>
                <w:sz w:val="18"/>
                <w:szCs w:val="18"/>
                <w:b w:val="1"/>
                <w:bCs w:val="1"/>
                <w:color w:val="auto"/>
                <w:w w:val="99"/>
              </w:rPr>
              <w:t>in CHF thousands</w:t>
            </w:r>
          </w:p>
        </w:tc>
        <w:tc>
          <w:tcPr>
            <w:tcW w:w="364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 2020</w:t>
            </w:r>
          </w:p>
        </w:tc>
      </w:tr>
      <w:tr>
        <w:trPr>
          <w:trHeight w:val="195"/>
        </w:trPr>
        <w:tc>
          <w:tcPr>
            <w:tcW w:w="5360" w:type="dxa"/>
            <w:vAlign w:val="bottom"/>
          </w:tcPr>
          <w:p>
            <w:pPr>
              <w:spacing w:after="0" w:line="195" w:lineRule="exact"/>
              <w:rPr>
                <w:sz w:val="20"/>
                <w:szCs w:val="20"/>
                <w:color w:val="auto"/>
              </w:rPr>
            </w:pPr>
            <w:r>
              <w:rPr>
                <w:rFonts w:ascii="Arial" w:cs="Arial" w:eastAsia="Arial" w:hAnsi="Arial"/>
                <w:sz w:val="18"/>
                <w:szCs w:val="18"/>
                <w:color w:val="auto"/>
              </w:rPr>
              <w:t>Less than one year</w:t>
            </w:r>
          </w:p>
        </w:tc>
        <w:tc>
          <w:tcPr>
            <w:tcW w:w="3640" w:type="dxa"/>
            <w:vAlign w:val="bottom"/>
          </w:tcPr>
          <w:p>
            <w:pPr>
              <w:spacing w:after="0"/>
              <w:rPr>
                <w:sz w:val="16"/>
                <w:szCs w:val="16"/>
                <w:color w:val="auto"/>
              </w:rPr>
            </w:pPr>
          </w:p>
        </w:tc>
        <w:tc>
          <w:tcPr>
            <w:tcW w:w="2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489</w:t>
            </w:r>
          </w:p>
        </w:tc>
        <w:tc>
          <w:tcPr>
            <w:tcW w:w="100" w:type="dxa"/>
            <w:vAlign w:val="bottom"/>
          </w:tcPr>
          <w:p>
            <w:pPr>
              <w:spacing w:after="0"/>
              <w:rPr>
                <w:sz w:val="16"/>
                <w:szCs w:val="16"/>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1-3 years</w:t>
            </w:r>
          </w:p>
        </w:tc>
        <w:tc>
          <w:tcPr>
            <w:tcW w:w="5880" w:type="dxa"/>
            <w:vAlign w:val="bottom"/>
            <w:gridSpan w:val="3"/>
          </w:tcPr>
          <w:p>
            <w:pPr>
              <w:jc w:val="right"/>
              <w:ind w:right="100"/>
              <w:spacing w:after="0"/>
              <w:rPr>
                <w:sz w:val="20"/>
                <w:szCs w:val="20"/>
                <w:color w:val="auto"/>
              </w:rPr>
            </w:pPr>
            <w:r>
              <w:rPr>
                <w:rFonts w:ascii="Arial" w:cs="Arial" w:eastAsia="Arial" w:hAnsi="Arial"/>
                <w:sz w:val="18"/>
                <w:szCs w:val="18"/>
                <w:color w:val="auto"/>
              </w:rPr>
              <w:t>978</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3-5 years</w:t>
            </w:r>
          </w:p>
        </w:tc>
        <w:tc>
          <w:tcPr>
            <w:tcW w:w="5880" w:type="dxa"/>
            <w:vAlign w:val="bottom"/>
            <w:gridSpan w:val="3"/>
          </w:tcPr>
          <w:p>
            <w:pPr>
              <w:jc w:val="right"/>
              <w:ind w:right="100"/>
              <w:spacing w:after="0"/>
              <w:rPr>
                <w:sz w:val="20"/>
                <w:szCs w:val="20"/>
                <w:color w:val="auto"/>
              </w:rPr>
            </w:pPr>
            <w:r>
              <w:rPr>
                <w:rFonts w:ascii="Arial" w:cs="Arial" w:eastAsia="Arial" w:hAnsi="Arial"/>
                <w:sz w:val="18"/>
                <w:szCs w:val="18"/>
                <w:color w:val="auto"/>
              </w:rPr>
              <w:t>590</w:t>
            </w: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40" w:type="dxa"/>
            <w:vAlign w:val="bottom"/>
          </w:tcPr>
          <w:p>
            <w:pPr>
              <w:spacing w:after="0"/>
              <w:rPr>
                <w:sz w:val="18"/>
                <w:szCs w:val="18"/>
                <w:color w:val="auto"/>
              </w:rPr>
            </w:pPr>
          </w:p>
        </w:tc>
        <w:tc>
          <w:tcPr>
            <w:tcW w:w="22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2,057</w:t>
            </w:r>
          </w:p>
        </w:tc>
      </w:tr>
      <w:tr>
        <w:trPr>
          <w:trHeight w:val="567"/>
        </w:trPr>
        <w:tc>
          <w:tcPr>
            <w:tcW w:w="53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3210"/>
              <w:spacing w:after="0"/>
              <w:rPr>
                <w:sz w:val="20"/>
                <w:szCs w:val="20"/>
                <w:color w:val="auto"/>
              </w:rPr>
            </w:pPr>
            <w:r>
              <w:rPr>
                <w:rFonts w:ascii="Arial" w:cs="Arial" w:eastAsia="Arial" w:hAnsi="Arial"/>
                <w:sz w:val="18"/>
                <w:szCs w:val="18"/>
                <w:color w:val="auto"/>
              </w:rPr>
              <w:t>20</w:t>
            </w: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0" w:name="page21"/>
    <w:bookmarkEnd w:id="20"/>
    <w:p>
      <w:pPr>
        <w:ind w:left="760" w:hanging="334"/>
        <w:spacing w:after="0"/>
        <w:tabs>
          <w:tab w:leader="none" w:pos="7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Prepaid expenses include prepaid research and development costs, administrative costs and net employee defined benefit liability expenses totaling CHF 2.8 million as of September 30, 2020 and December 31, 2019, respectively.</w:t>
      </w:r>
    </w:p>
    <w:p>
      <w:pPr>
        <w:spacing w:after="0" w:line="166"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summarizes the Company’s cash and cash equivalents and short-term financial assets as of September 30, 2020 and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02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7780" w:type="dxa"/>
            <w:vAlign w:val="bottom"/>
          </w:tcPr>
          <w:p>
            <w:pPr>
              <w:spacing w:after="0"/>
              <w:rPr>
                <w:sz w:val="16"/>
                <w:szCs w:val="16"/>
                <w:color w:val="auto"/>
              </w:rPr>
            </w:pPr>
          </w:p>
        </w:tc>
        <w:tc>
          <w:tcPr>
            <w:tcW w:w="202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4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6"/>
                <w:szCs w:val="16"/>
                <w:color w:val="auto"/>
              </w:rPr>
            </w:pPr>
          </w:p>
        </w:tc>
      </w:tr>
      <w:tr>
        <w:trPr>
          <w:trHeight w:val="234"/>
        </w:trPr>
        <w:tc>
          <w:tcPr>
            <w:tcW w:w="7780" w:type="dxa"/>
            <w:vAlign w:val="bottom"/>
            <w:tcBorders>
              <w:bottom w:val="single" w:sz="8" w:color="D5EAEA"/>
            </w:tcBorders>
          </w:tcPr>
          <w:p>
            <w:pPr>
              <w:ind w:left="3180"/>
              <w:spacing w:after="0"/>
              <w:rPr>
                <w:sz w:val="20"/>
                <w:szCs w:val="20"/>
                <w:color w:val="auto"/>
              </w:rPr>
            </w:pPr>
            <w:r>
              <w:rPr>
                <w:rFonts w:ascii="Arial" w:cs="Arial" w:eastAsia="Arial" w:hAnsi="Arial"/>
                <w:sz w:val="18"/>
                <w:szCs w:val="18"/>
                <w:b w:val="1"/>
                <w:bCs w:val="1"/>
                <w:color w:val="auto"/>
              </w:rPr>
              <w:t>in CHF thousands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D5EAEA"/>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r>
      <w:tr>
        <w:trPr>
          <w:trHeight w:val="210"/>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176,567</w:t>
            </w:r>
          </w:p>
        </w:tc>
        <w:tc>
          <w:tcPr>
            <w:tcW w:w="100" w:type="dxa"/>
            <w:vAlign w:val="bottom"/>
            <w:shd w:val="clear" w:color="auto" w:fill="D5EAEA"/>
          </w:tcPr>
          <w:p>
            <w:pPr>
              <w:spacing w:after="0"/>
              <w:rPr>
                <w:sz w:val="18"/>
                <w:szCs w:val="18"/>
                <w:color w:val="auto"/>
              </w:rPr>
            </w:pPr>
          </w:p>
        </w:tc>
        <w:tc>
          <w:tcPr>
            <w:tcW w:w="240" w:type="dxa"/>
            <w:vAlign w:val="bottom"/>
            <w:tcBorders>
              <w:bottom w:val="single" w:sz="8" w:color="auto"/>
            </w:tcBorders>
            <w:shd w:val="clear" w:color="auto" w:fill="D5EAEA"/>
          </w:tcPr>
          <w:p>
            <w:pPr>
              <w:spacing w:after="0"/>
              <w:rPr>
                <w:sz w:val="18"/>
                <w:szCs w:val="18"/>
                <w:color w:val="auto"/>
              </w:rPr>
            </w:pPr>
          </w:p>
        </w:tc>
        <w:tc>
          <w:tcPr>
            <w:tcW w:w="14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193,587</w:t>
            </w:r>
          </w:p>
        </w:tc>
        <w:tc>
          <w:tcPr>
            <w:tcW w:w="20" w:type="dxa"/>
            <w:vAlign w:val="bottom"/>
          </w:tcPr>
          <w:p>
            <w:pPr>
              <w:spacing w:after="0"/>
              <w:rPr>
                <w:sz w:val="18"/>
                <w:szCs w:val="18"/>
                <w:color w:val="auto"/>
              </w:rPr>
            </w:pPr>
          </w:p>
        </w:tc>
      </w:tr>
      <w:tr>
        <w:trPr>
          <w:trHeight w:val="209"/>
        </w:trPr>
        <w:tc>
          <w:tcPr>
            <w:tcW w:w="7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176,567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193,587</w:t>
            </w:r>
          </w:p>
        </w:tc>
        <w:tc>
          <w:tcPr>
            <w:tcW w:w="20" w:type="dxa"/>
            <w:vAlign w:val="bottom"/>
          </w:tcPr>
          <w:p>
            <w:pPr>
              <w:spacing w:after="0"/>
              <w:rPr>
                <w:sz w:val="18"/>
                <w:szCs w:val="18"/>
                <w:color w:val="auto"/>
              </w:rPr>
            </w:pPr>
          </w:p>
        </w:tc>
      </w:tr>
      <w:tr>
        <w:trPr>
          <w:trHeight w:val="453"/>
        </w:trPr>
        <w:tc>
          <w:tcPr>
            <w:tcW w:w="7780" w:type="dxa"/>
            <w:vAlign w:val="bottom"/>
          </w:tcPr>
          <w:p>
            <w:pPr>
              <w:spacing w:after="0"/>
              <w:rPr>
                <w:sz w:val="24"/>
                <w:szCs w:val="24"/>
                <w:color w:val="auto"/>
              </w:rPr>
            </w:pPr>
          </w:p>
        </w:tc>
        <w:tc>
          <w:tcPr>
            <w:tcW w:w="202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7780" w:type="dxa"/>
            <w:vAlign w:val="bottom"/>
          </w:tcPr>
          <w:p>
            <w:pPr>
              <w:spacing w:after="0"/>
              <w:rPr>
                <w:sz w:val="16"/>
                <w:szCs w:val="16"/>
                <w:color w:val="auto"/>
              </w:rPr>
            </w:pPr>
          </w:p>
        </w:tc>
        <w:tc>
          <w:tcPr>
            <w:tcW w:w="202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4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6"/>
                <w:szCs w:val="16"/>
                <w:color w:val="auto"/>
              </w:rPr>
            </w:pPr>
          </w:p>
        </w:tc>
      </w:tr>
      <w:tr>
        <w:trPr>
          <w:trHeight w:val="234"/>
        </w:trPr>
        <w:tc>
          <w:tcPr>
            <w:tcW w:w="7780" w:type="dxa"/>
            <w:vAlign w:val="bottom"/>
            <w:tcBorders>
              <w:bottom w:val="single" w:sz="8" w:color="D5EAEA"/>
            </w:tcBorders>
          </w:tcPr>
          <w:p>
            <w:pPr>
              <w:ind w:left="3180"/>
              <w:spacing w:after="0"/>
              <w:rPr>
                <w:sz w:val="20"/>
                <w:szCs w:val="20"/>
                <w:color w:val="auto"/>
              </w:rPr>
            </w:pPr>
            <w:r>
              <w:rPr>
                <w:rFonts w:ascii="Arial" w:cs="Arial" w:eastAsia="Arial" w:hAnsi="Arial"/>
                <w:sz w:val="18"/>
                <w:szCs w:val="18"/>
                <w:b w:val="1"/>
                <w:bCs w:val="1"/>
                <w:color w:val="auto"/>
              </w:rPr>
              <w:t>in CHF thousands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D5EAEA"/>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r>
      <w:tr>
        <w:trPr>
          <w:trHeight w:val="209"/>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 due in one year or less</w:t>
            </w:r>
          </w:p>
        </w:tc>
        <w:tc>
          <w:tcPr>
            <w:tcW w:w="16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D5EAEA"/>
          </w:tcPr>
          <w:p>
            <w:pPr>
              <w:spacing w:after="0"/>
              <w:rPr>
                <w:sz w:val="18"/>
                <w:szCs w:val="18"/>
                <w:color w:val="auto"/>
              </w:rPr>
            </w:pPr>
          </w:p>
        </w:tc>
        <w:tc>
          <w:tcPr>
            <w:tcW w:w="240" w:type="dxa"/>
            <w:vAlign w:val="bottom"/>
            <w:tcBorders>
              <w:bottom w:val="single" w:sz="8" w:color="auto"/>
            </w:tcBorders>
            <w:shd w:val="clear" w:color="auto" w:fill="D5EAEA"/>
          </w:tcPr>
          <w:p>
            <w:pPr>
              <w:spacing w:after="0"/>
              <w:rPr>
                <w:sz w:val="18"/>
                <w:szCs w:val="18"/>
                <w:color w:val="auto"/>
              </w:rPr>
            </w:pPr>
          </w:p>
        </w:tc>
        <w:tc>
          <w:tcPr>
            <w:tcW w:w="14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95,000</w:t>
            </w:r>
          </w:p>
        </w:tc>
        <w:tc>
          <w:tcPr>
            <w:tcW w:w="20" w:type="dxa"/>
            <w:vAlign w:val="bottom"/>
          </w:tcPr>
          <w:p>
            <w:pPr>
              <w:spacing w:after="0"/>
              <w:rPr>
                <w:sz w:val="18"/>
                <w:szCs w:val="18"/>
                <w:color w:val="auto"/>
              </w:rPr>
            </w:pPr>
          </w:p>
        </w:tc>
      </w:tr>
      <w:tr>
        <w:trPr>
          <w:trHeight w:val="209"/>
        </w:trPr>
        <w:tc>
          <w:tcPr>
            <w:tcW w:w="7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2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For the nine months ended September 30, 2020, a net of CHF 25.0 million worth of short-term financial assets matured. The Company also has two deposits in escrow accounts totaling CHF 0.3 million for the lease of the Company’s premises as of September 30, 2020 and December 31, 2019, respectively.</w:t>
      </w:r>
    </w:p>
    <w:p>
      <w:pPr>
        <w:spacing w:after="0" w:line="180" w:lineRule="exact"/>
        <w:rPr>
          <w:sz w:val="20"/>
          <w:szCs w:val="20"/>
          <w:color w:val="auto"/>
        </w:rPr>
      </w:pPr>
    </w:p>
    <w:p>
      <w:pPr>
        <w:ind w:left="380" w:hanging="318"/>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obligation</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On January 4, 2016, September 13, 2016 and January 26, 2018 for fiscal years 2016, 2017 and 2018,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w:t>
      </w:r>
    </w:p>
    <w:p>
      <w:pPr>
        <w:spacing w:after="0" w:line="187"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In Q4 2018, LuMind and the Company modified the repayment terms in an effort to fund a Down Syndrome Clinical Trials Network. The repayment terms were modified such that the Company will repay the outstanding balance in three installments in 2018, 2019 and 2020, with the total repayment to equal the total the Company is to receive in funding with the additional 25% interest.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2020 and December 31, 2019, the Company has recorded in current liabilities a short-term financing obligation of USD 333 (CHF</w:t>
      </w:r>
    </w:p>
    <w:p>
      <w:pPr>
        <w:spacing w:after="0" w:line="46"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thousand and USD 667 (CHF 652) thousand, respectively.</w:t>
      </w:r>
    </w:p>
    <w:p>
      <w:pPr>
        <w:spacing w:after="0" w:line="206" w:lineRule="exact"/>
        <w:rPr>
          <w:rFonts w:ascii="Arial" w:cs="Arial" w:eastAsia="Arial" w:hAnsi="Arial"/>
          <w:sz w:val="18"/>
          <w:szCs w:val="18"/>
          <w:color w:val="auto"/>
        </w:rPr>
      </w:pPr>
    </w:p>
    <w:p>
      <w:pPr>
        <w:ind w:left="800" w:hanging="317"/>
        <w:spacing w:after="0"/>
        <w:tabs>
          <w:tab w:leader="none" w:pos="80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In Q3 2020, the Company issued 5,000,000 common shares with a par value of CHF 0.02 to be held as treasury shares. The Company incurred immaterial transaction costs to register these treasury shares.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11. Finance result, net</w:t>
      </w:r>
    </w:p>
    <w:p>
      <w:pPr>
        <w:spacing w:after="0" w:line="229"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For the three months ended September 30, 2020, and 2019, the Company recorded CHF 0.2 million in net financial losses and CHF 0.2 million in net financial gains, respectively. For the three months ended September 30, 2020, the Company recorded less than CHF 0.2 million in foreign currency losses. For the three months ended September 30, 2019, the Company recorded CHF 0.3 million in foreign currency remeasurement gains.</w:t>
      </w:r>
    </w:p>
    <w:p>
      <w:pPr>
        <w:spacing w:after="0" w:line="149"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For the nine months ended September 30, 2020, and 2019, the Company recorded CHF 0.6 million in net financial losses and CHF 1.5 million in net financial gains, respectively. For the nine months ended September 30, 2020, the Company recorded a CHF 0.7 million foreign currency loss and CHF 0.1 million in net interest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right="20"/>
        <w:spacing w:after="0" w:line="263" w:lineRule="auto"/>
        <w:rPr>
          <w:sz w:val="20"/>
          <w:szCs w:val="20"/>
          <w:color w:val="auto"/>
        </w:rPr>
      </w:pPr>
      <w:r>
        <w:rPr>
          <w:rFonts w:ascii="Arial" w:cs="Arial" w:eastAsia="Arial" w:hAnsi="Arial"/>
          <w:sz w:val="18"/>
          <w:szCs w:val="18"/>
          <w:color w:val="auto"/>
        </w:rPr>
        <w:t>expense. For the nine months ended September 30, 2019, the Company recorded a CHF 4.5 million gain on the conversion feature of the convertible loan due to Lilly. This gain was offset by CHF 1.4 million of effective interest recorded to amortize the host debt per the convertible loan due to Lilly. These transactions were not repeated in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 has evaluated subsequent events after the balance sheet date, through the issuance of these Interim Condensed Financial Statements, for appropriate accounting and disclosures. The Company has determined that there were no other such events that warrant disclosure or recognition in these Interim Condensed Financial Statements.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584" w:right="4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and nine months ended September 30, 2020, included as Exhibit 99.1 to this Report on Form 6-K. We also recommend that you read our management’s discussion and analysis and our audited financial statements and the notes thereto, which appear in our Annual Report on Form 20-F for the year ended December 31, 2019 on file with the US Securities and Exchange Commission (the “SEC”).</w:t>
      </w:r>
    </w:p>
    <w:p>
      <w:pPr>
        <w:spacing w:after="0" w:line="17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“AC Immune” or the “Company,” “we,” “our,” “ours,” “us” or similar terms refer to AC Immune SA.</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November 13,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The Covid-19 global pandemic has impacted various countries where we currently operate our clinical trials and business operations. The extent to which Covid-19 may impact us will depend on future developments, which are highly uncertain and cannot be predicted with confidence, such as the duration of the outbreak, the severity of Covid-19, or the effectiveness of actions to contain and treat for Covid-19.</w:t>
      </w:r>
    </w:p>
    <w:p>
      <w:pPr>
        <w:spacing w:after="0" w:line="16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effected its business continuity plan during the interim period ended September 30, 2020. The Company implemented its plan quickly and continues to adapt as the situation evolves. Currently, we have mostly resumed normal operations at full capacity with minimal disruptions to our business. We are continuously assessing and adapting our working practices and business operations to ensure compliance with official guidance and orders related to the pandemic, and are working proactively with our partners and other stakeholders to take steps intended to mitigate and minimize any negative impact to our research, clinical programs and other business operations.</w:t>
      </w:r>
    </w:p>
    <w:p>
      <w:pPr>
        <w:spacing w:after="0" w:line="18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Many of our key trials are already fully enrolled and patient follow-up can continue remotely in most cases. However, the current pandemic may impact certain clinical trials as long as the pandemic is ongoing. Most notably:</w:t>
      </w:r>
    </w:p>
    <w:p>
      <w:pPr>
        <w:spacing w:after="0" w:line="166" w:lineRule="exact"/>
        <w:rPr>
          <w:sz w:val="20"/>
          <w:szCs w:val="20"/>
          <w:color w:val="auto"/>
        </w:rPr>
      </w:pPr>
    </w:p>
    <w:p>
      <w:pPr>
        <w:ind w:right="500" w:firstLine="324"/>
        <w:spacing w:after="0" w:line="282" w:lineRule="auto"/>
        <w:rPr>
          <w:sz w:val="20"/>
          <w:szCs w:val="20"/>
          <w:color w:val="auto"/>
        </w:rPr>
      </w:pPr>
      <w:r>
        <w:rPr>
          <w:rFonts w:ascii="Arial" w:cs="Arial" w:eastAsia="Arial" w:hAnsi="Arial"/>
          <w:sz w:val="18"/>
          <w:szCs w:val="18"/>
          <w:b w:val="1"/>
          <w:bCs w:val="1"/>
          <w:color w:val="auto"/>
        </w:rPr>
        <w:t>ACI-3024</w:t>
      </w:r>
      <w:r>
        <w:rPr>
          <w:rFonts w:ascii="Arial" w:cs="Arial" w:eastAsia="Arial" w:hAnsi="Arial"/>
          <w:sz w:val="18"/>
          <w:szCs w:val="18"/>
          <w:color w:val="auto"/>
        </w:rPr>
        <w:t>: Our Phase 1 study for ACI-3024-1901 in healthy young, elderly and Japanese volunteers is completed and the subsequent analysis is</w:t>
      </w:r>
      <w:r>
        <w:rPr>
          <w:rFonts w:ascii="Arial" w:cs="Arial" w:eastAsia="Arial" w:hAnsi="Arial"/>
          <w:sz w:val="18"/>
          <w:szCs w:val="18"/>
          <w:b w:val="1"/>
          <w:bCs w:val="1"/>
          <w:color w:val="auto"/>
        </w:rPr>
        <w:t xml:space="preserve"> </w:t>
      </w:r>
      <w:r>
        <w:rPr>
          <w:rFonts w:ascii="Arial" w:cs="Arial" w:eastAsia="Arial" w:hAnsi="Arial"/>
          <w:sz w:val="18"/>
          <w:szCs w:val="18"/>
          <w:color w:val="auto"/>
        </w:rPr>
        <w:t>ongoing.</w:t>
      </w:r>
    </w:p>
    <w:p>
      <w:pPr>
        <w:spacing w:after="0" w:line="162"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color w:val="auto"/>
        </w:rPr>
        <w:t xml:space="preserve">ACI-35 in AD: </w:t>
      </w:r>
      <w:r>
        <w:rPr>
          <w:rFonts w:ascii="Arial" w:cs="Arial" w:eastAsia="Arial" w:hAnsi="Arial"/>
          <w:sz w:val="18"/>
          <w:szCs w:val="18"/>
          <w:color w:val="auto"/>
        </w:rPr>
        <w:t>The Company continues to collect data from the Phase 1b/2a ACI-35-1802 study. The interim analysis of cohort 1.1 (safety,</w:t>
      </w:r>
      <w:r>
        <w:rPr>
          <w:rFonts w:ascii="Arial" w:cs="Arial" w:eastAsia="Arial" w:hAnsi="Arial"/>
          <w:sz w:val="18"/>
          <w:szCs w:val="18"/>
          <w:b w:val="1"/>
          <w:bCs w:val="1"/>
          <w:color w:val="auto"/>
        </w:rPr>
        <w:t xml:space="preserve"> </w:t>
      </w:r>
      <w:r>
        <w:rPr>
          <w:rFonts w:ascii="Arial" w:cs="Arial" w:eastAsia="Arial" w:hAnsi="Arial"/>
          <w:sz w:val="18"/>
          <w:szCs w:val="18"/>
          <w:color w:val="auto"/>
        </w:rPr>
        <w:t>tolerability and immunogenicity) was obtained in Q2 2020 and led to the initiation of the second highest dosing group in the Phase 1b/2a clinical trial. The initiation of cohort 1.2 and cohort 2.1 commenced in accordance with the underlying development plans.</w:t>
      </w:r>
    </w:p>
    <w:p>
      <w:pPr>
        <w:spacing w:after="0" w:line="176" w:lineRule="exact"/>
        <w:rPr>
          <w:sz w:val="20"/>
          <w:szCs w:val="20"/>
          <w:color w:val="auto"/>
        </w:rPr>
      </w:pPr>
    </w:p>
    <w:p>
      <w:pPr>
        <w:ind w:right="400" w:firstLine="324"/>
        <w:spacing w:after="0" w:line="282" w:lineRule="auto"/>
        <w:rPr>
          <w:sz w:val="20"/>
          <w:szCs w:val="20"/>
          <w:color w:val="auto"/>
        </w:rPr>
      </w:pPr>
      <w:r>
        <w:rPr>
          <w:rFonts w:ascii="Arial" w:cs="Arial" w:eastAsia="Arial" w:hAnsi="Arial"/>
          <w:sz w:val="18"/>
          <w:szCs w:val="18"/>
          <w:b w:val="1"/>
          <w:bCs w:val="1"/>
          <w:color w:val="auto"/>
        </w:rPr>
        <w:t>ACI-24 in DS</w:t>
      </w:r>
      <w:r>
        <w:rPr>
          <w:rFonts w:ascii="Arial" w:cs="Arial" w:eastAsia="Arial" w:hAnsi="Arial"/>
          <w:sz w:val="18"/>
          <w:szCs w:val="18"/>
          <w:color w:val="auto"/>
        </w:rPr>
        <w:t>: The Company’s ACI-24-1301 Phase 1b trial recruitment and treatment phases have been completed and the subsequent analysis is</w:t>
      </w:r>
      <w:r>
        <w:rPr>
          <w:rFonts w:ascii="Arial" w:cs="Arial" w:eastAsia="Arial" w:hAnsi="Arial"/>
          <w:sz w:val="18"/>
          <w:szCs w:val="18"/>
          <w:b w:val="1"/>
          <w:bCs w:val="1"/>
          <w:color w:val="auto"/>
        </w:rPr>
        <w:t xml:space="preserve"> </w:t>
      </w:r>
      <w:r>
        <w:rPr>
          <w:rFonts w:ascii="Arial" w:cs="Arial" w:eastAsia="Arial" w:hAnsi="Arial"/>
          <w:sz w:val="18"/>
          <w:szCs w:val="18"/>
          <w:color w:val="auto"/>
        </w:rPr>
        <w:t>ongoing.</w:t>
      </w:r>
    </w:p>
    <w:p>
      <w:pPr>
        <w:spacing w:after="0" w:line="16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Regulatory submission of the ACI-24-DS-1902 Phase 2 trial is proceeding as planned. The initiation of the clinical trial will be dependent on the evolving Covid-19 situation.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ind w:right="140" w:firstLine="324"/>
        <w:spacing w:after="0" w:line="312" w:lineRule="auto"/>
        <w:rPr>
          <w:sz w:val="20"/>
          <w:szCs w:val="20"/>
          <w:color w:val="auto"/>
        </w:rPr>
      </w:pPr>
      <w:r>
        <w:rPr>
          <w:rFonts w:ascii="Arial" w:cs="Arial" w:eastAsia="Arial" w:hAnsi="Arial"/>
          <w:sz w:val="17"/>
          <w:szCs w:val="17"/>
          <w:b w:val="1"/>
          <w:bCs w:val="1"/>
          <w:color w:val="auto"/>
        </w:rPr>
        <w:t xml:space="preserve">ACI-24 in AD: </w:t>
      </w:r>
      <w:r>
        <w:rPr>
          <w:rFonts w:ascii="Arial" w:cs="Arial" w:eastAsia="Arial" w:hAnsi="Arial"/>
          <w:sz w:val="17"/>
          <w:szCs w:val="17"/>
          <w:color w:val="auto"/>
        </w:rPr>
        <w:t>The Company continues to collect safety, immunogenicity and biomarker data from patients in the ongoing Phase 2 study of ACI-24-1801. The 12-month interim data analysis has been completed and the 18-month interim data analysis will be performed as planned.</w:t>
      </w:r>
    </w:p>
    <w:p>
      <w:pPr>
        <w:spacing w:after="0" w:line="140"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b w:val="1"/>
          <w:bCs w:val="1"/>
          <w:color w:val="auto"/>
        </w:rPr>
        <w:t xml:space="preserve">crenezumab: </w:t>
      </w:r>
      <w:r>
        <w:rPr>
          <w:rFonts w:ascii="Arial" w:cs="Arial" w:eastAsia="Arial" w:hAnsi="Arial"/>
          <w:sz w:val="16"/>
          <w:szCs w:val="16"/>
          <w:color w:val="auto"/>
        </w:rPr>
        <w:t>In response to the government-imposed stay at home order in Colombia related to the Covid-19 pandemic, the dosing of participants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Colombian API study was temporarily interrupted in H1 2020. The dosing restarted on May 18, 2020. Participants are receiving crenezumab or placebo for at least five years as part of the long-term prevention study, and, despite the interruption, we continue to expect data from the study in Q1 2022.</w:t>
      </w:r>
    </w:p>
    <w:p>
      <w:pPr>
        <w:spacing w:after="0" w:line="1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has drug supplies that are expected to be sufficient to complete ongoing trials as well as additional drug substance supplies expected to be sufficient to support ongoing cohorts of clinical trials for a period of at least three to six months. The Company will refrain from starting new clinical trials if a minimum of a six-months supply on hand cannot be secured. Finally, the Company currently does not expect delays to its clinical trials due to manufacturing or supply-chain issues.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2020 and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revenues</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AC Immune generated revenues of CHF 1.1 million in the three months ended September 30, 2020, a decrease of CHF 32.1 million over the comparable period in 2019. AC Immune generated revenues of CHF 14.5 million in the nine months ended September 30, 2020, a decrease of CHF 95.1 million over the comparable period in 2019. The following table summarizes our revenues during the three and nine months ended September 30, 2020, and 2019:</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vMerge w:val="restart"/>
          </w:tcPr>
          <w:p>
            <w:pPr>
              <w:ind w:left="2120"/>
              <w:spacing w:after="0"/>
              <w:rPr>
                <w:sz w:val="20"/>
                <w:szCs w:val="20"/>
                <w:color w:val="auto"/>
              </w:rPr>
            </w:pPr>
            <w:r>
              <w:rPr>
                <w:rFonts w:ascii="Arial" w:cs="Arial" w:eastAsia="Arial" w:hAnsi="Arial"/>
                <w:sz w:val="18"/>
                <w:szCs w:val="18"/>
                <w:b w:val="1"/>
                <w:bCs w:val="1"/>
                <w:color w:val="auto"/>
              </w:rPr>
              <w:t>in CHF thousands, unaudited</w:t>
            </w:r>
          </w:p>
        </w:tc>
        <w:tc>
          <w:tcPr>
            <w:tcW w:w="32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Ended September 30,</w:t>
            </w:r>
          </w:p>
        </w:tc>
        <w:tc>
          <w:tcPr>
            <w:tcW w:w="136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1,123</w:t>
            </w:r>
          </w:p>
        </w:tc>
        <w:tc>
          <w:tcPr>
            <w:tcW w:w="360" w:type="dxa"/>
            <w:vAlign w:val="bottom"/>
            <w:tcBorders>
              <w:top w:val="single" w:sz="8" w:color="D5EAEA"/>
              <w:bottom w:val="single" w:sz="8" w:color="D5EAEA"/>
            </w:tcBorders>
            <w:shd w:val="clear" w:color="auto" w:fill="D5EAEA"/>
          </w:tcPr>
          <w:p>
            <w:pPr>
              <w:spacing w:after="0"/>
              <w:rPr>
                <w:sz w:val="18"/>
                <w:szCs w:val="18"/>
                <w:color w:val="auto"/>
              </w:rPr>
            </w:pPr>
          </w:p>
        </w:tc>
        <w:tc>
          <w:tcPr>
            <w:tcW w:w="13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33,208</w:t>
            </w:r>
          </w:p>
        </w:tc>
        <w:tc>
          <w:tcPr>
            <w:tcW w:w="22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360" w:type="dxa"/>
            <w:vAlign w:val="bottom"/>
          </w:tcPr>
          <w:p>
            <w:pPr>
              <w:jc w:val="right"/>
              <w:spacing w:after="0"/>
              <w:rPr>
                <w:sz w:val="20"/>
                <w:szCs w:val="20"/>
                <w:color w:val="auto"/>
              </w:rPr>
            </w:pPr>
            <w:r>
              <w:rPr>
                <w:rFonts w:ascii="Arial" w:cs="Arial" w:eastAsia="Arial" w:hAnsi="Arial"/>
                <w:sz w:val="18"/>
                <w:szCs w:val="18"/>
                <w:color w:val="auto"/>
              </w:rPr>
              <w:t>1,123</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33,208</w:t>
            </w:r>
          </w:p>
        </w:tc>
        <w:tc>
          <w:tcPr>
            <w:tcW w:w="1340" w:type="dxa"/>
            <w:vAlign w:val="bottom"/>
          </w:tcPr>
          <w:p>
            <w:pPr>
              <w:jc w:val="right"/>
              <w:spacing w:after="0"/>
              <w:rPr>
                <w:sz w:val="20"/>
                <w:szCs w:val="20"/>
                <w:color w:val="auto"/>
              </w:rPr>
            </w:pPr>
            <w:r>
              <w:rPr>
                <w:rFonts w:ascii="Arial" w:cs="Arial" w:eastAsia="Arial" w:hAnsi="Arial"/>
                <w:sz w:val="18"/>
                <w:szCs w:val="18"/>
                <w:color w:val="auto"/>
              </w:rPr>
              <w:t>(32,085)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640" w:type="dxa"/>
            <w:vAlign w:val="bottom"/>
          </w:tcPr>
          <w:p>
            <w:pPr>
              <w:spacing w:after="0"/>
              <w:rPr>
                <w:sz w:val="24"/>
                <w:szCs w:val="24"/>
                <w:color w:val="auto"/>
              </w:rPr>
            </w:pPr>
          </w:p>
        </w:tc>
        <w:tc>
          <w:tcPr>
            <w:tcW w:w="32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3"/>
              </w:rPr>
              <w:t>For the Nine Months</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40" w:type="dxa"/>
            <w:vAlign w:val="bottom"/>
            <w:vMerge w:val="restart"/>
          </w:tcPr>
          <w:p>
            <w:pPr>
              <w:ind w:left="2120"/>
              <w:spacing w:after="0"/>
              <w:rPr>
                <w:sz w:val="20"/>
                <w:szCs w:val="20"/>
                <w:color w:val="auto"/>
              </w:rPr>
            </w:pPr>
            <w:r>
              <w:rPr>
                <w:rFonts w:ascii="Arial" w:cs="Arial" w:eastAsia="Arial" w:hAnsi="Arial"/>
                <w:sz w:val="18"/>
                <w:szCs w:val="18"/>
                <w:b w:val="1"/>
                <w:bCs w:val="1"/>
                <w:color w:val="auto"/>
              </w:rPr>
              <w:t>in CHF thousands, unaudited</w:t>
            </w:r>
          </w:p>
        </w:tc>
        <w:tc>
          <w:tcPr>
            <w:tcW w:w="32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Ended September 30,</w:t>
            </w:r>
          </w:p>
        </w:tc>
        <w:tc>
          <w:tcPr>
            <w:tcW w:w="136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14,487</w:t>
            </w:r>
          </w:p>
        </w:tc>
        <w:tc>
          <w:tcPr>
            <w:tcW w:w="360" w:type="dxa"/>
            <w:vAlign w:val="bottom"/>
            <w:tcBorders>
              <w:top w:val="single" w:sz="8" w:color="D5EAEA"/>
              <w:bottom w:val="single" w:sz="8" w:color="D5EAEA"/>
            </w:tcBorders>
            <w:shd w:val="clear" w:color="auto" w:fill="D5EAEA"/>
          </w:tcPr>
          <w:p>
            <w:pPr>
              <w:spacing w:after="0"/>
              <w:rPr>
                <w:sz w:val="18"/>
                <w:szCs w:val="18"/>
                <w:color w:val="auto"/>
              </w:rPr>
            </w:pPr>
          </w:p>
        </w:tc>
        <w:tc>
          <w:tcPr>
            <w:tcW w:w="13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109,596</w:t>
            </w:r>
          </w:p>
        </w:tc>
        <w:tc>
          <w:tcPr>
            <w:tcW w:w="22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(95,109)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14,487</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109,596</w:t>
            </w:r>
          </w:p>
        </w:tc>
        <w:tc>
          <w:tcPr>
            <w:tcW w:w="1340" w:type="dxa"/>
            <w:vAlign w:val="bottom"/>
          </w:tcPr>
          <w:p>
            <w:pPr>
              <w:jc w:val="right"/>
              <w:spacing w:after="0"/>
              <w:rPr>
                <w:sz w:val="20"/>
                <w:szCs w:val="20"/>
                <w:color w:val="auto"/>
              </w:rPr>
            </w:pPr>
            <w:r>
              <w:rPr>
                <w:rFonts w:ascii="Arial" w:cs="Arial" w:eastAsia="Arial" w:hAnsi="Arial"/>
                <w:sz w:val="18"/>
                <w:szCs w:val="18"/>
                <w:color w:val="auto"/>
              </w:rPr>
              <w:t>(95,109)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For the three months ended September 30, 2020, the Company recorded CHF 1.1 million in total revenues, all of which relates to research and development activities associated with our agreement with Lilly. The decrease compared to the prior period is predominantly related to the prior recognition of CHF 30 million for the first installment of the first milestone achieved with Lilly and CHF 2.2 million for the initiation of a Phase 2 Trial of Tau PET Tracer with Life Molecular Imaging.</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the nine months ended September 30, 2020, the Company recorded a CHF 10 million milestone from its collaboration with Lilly. Additionally, the Company recorded CHF 4.1 million for research and development activities. The overall decrease compared to the prior period predominantly relates to a CHF 73.1 million upfront payment, CHF 30 million milestone for the first of installment of the first milestone and CHF 1.5 million for research and development activities associated with our agreement with Lilly.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share costs for the research and development of our product candidates differently. We have completed our research and development spending in both of our Genentech collaborations. Janssen</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ind w:right="20"/>
        <w:spacing w:after="0" w:line="259" w:lineRule="auto"/>
        <w:rPr>
          <w:sz w:val="20"/>
          <w:szCs w:val="20"/>
          <w:color w:val="auto"/>
        </w:rPr>
      </w:pPr>
      <w:r>
        <w:rPr>
          <w:rFonts w:ascii="Arial" w:cs="Arial" w:eastAsia="Arial" w:hAnsi="Arial"/>
          <w:sz w:val="18"/>
          <w:szCs w:val="18"/>
          <w:color w:val="auto"/>
        </w:rPr>
        <w:t>will be responsible for the full development cost from the completion of the first Phase 2 or first Phase 3 clinical trial. In addition to these arrangements, we however expect that our total future research and development costs will continue to increase over current levels in line with planned expansion of our product pipeline supporting our three-pillar strategy that focuses on Alzheimer’s disease, non-Alzheimer’s neurodegenerative diseases, including NeuroOrphan indications, and diagnostics, including both small molecule PET tracers and antibodies.</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the three and nine months ended September 30, 2020, research and development expenses totaled CHF 15.5 million and CHF 43.5 million compared with CHF 11.5 million and CHF 35.8 million for the comparable periods in 2019, respectively. This represents an increase of CHF 4.0 million and CHF 7.8 million, respectively. The following table presents the research and development expenses during the three and nine months ended September 30, 2020 and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700" w:type="dxa"/>
            <w:vAlign w:val="bottom"/>
            <w:gridSpan w:val="6"/>
          </w:tcPr>
          <w:p>
            <w:pPr>
              <w:ind w:left="440"/>
              <w:spacing w:after="0"/>
              <w:rPr>
                <w:sz w:val="20"/>
                <w:szCs w:val="20"/>
                <w:color w:val="auto"/>
              </w:rPr>
            </w:pPr>
            <w:r>
              <w:rPr>
                <w:rFonts w:ascii="Arial" w:cs="Arial" w:eastAsia="Arial" w:hAnsi="Arial"/>
                <w:sz w:val="18"/>
                <w:szCs w:val="18"/>
                <w:b w:val="1"/>
                <w:bCs w:val="1"/>
                <w:color w:val="auto"/>
              </w:rPr>
              <w:t>For the Three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in CHF thousands, unaudited</w:t>
            </w:r>
          </w:p>
        </w:tc>
        <w:tc>
          <w:tcPr>
            <w:tcW w:w="2700" w:type="dxa"/>
            <w:vAlign w:val="bottom"/>
            <w:gridSpan w:val="6"/>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12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D5EAEA"/>
            </w:tcBorders>
            <w:vMerge w:val="continue"/>
          </w:tcPr>
          <w:p>
            <w:pPr>
              <w:spacing w:after="0"/>
              <w:rPr>
                <w:sz w:val="18"/>
                <w:szCs w:val="18"/>
                <w:color w:val="auto"/>
              </w:rPr>
            </w:pPr>
          </w:p>
        </w:tc>
        <w:tc>
          <w:tcPr>
            <w:tcW w:w="11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11,597</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8,205</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Salaries and related costs(2)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15,518</w:t>
            </w:r>
          </w:p>
        </w:tc>
        <w:tc>
          <w:tcPr>
            <w:tcW w:w="100" w:type="dxa"/>
            <w:vAlign w:val="bottom"/>
            <w:tcBorders>
              <w:bottom w:val="single" w:sz="8" w:color="D5EAEA"/>
            </w:tcBorders>
            <w:shd w:val="clear" w:color="auto" w:fill="D5EAEA"/>
          </w:tcPr>
          <w:p>
            <w:pPr>
              <w:spacing w:after="0"/>
              <w:rPr>
                <w:sz w:val="18"/>
                <w:szCs w:val="18"/>
                <w:color w:val="auto"/>
              </w:rPr>
            </w:pPr>
          </w:p>
        </w:tc>
        <w:tc>
          <w:tcPr>
            <w:tcW w:w="120" w:type="dxa"/>
            <w:vAlign w:val="bottom"/>
            <w:tcBorders>
              <w:bottom w:val="single" w:sz="8" w:color="D5EAEA"/>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11,478</w:t>
            </w:r>
          </w:p>
        </w:tc>
        <w:tc>
          <w:tcPr>
            <w:tcW w:w="100" w:type="dxa"/>
            <w:vAlign w:val="bottom"/>
            <w:tcBorders>
              <w:bottom w:val="single" w:sz="8" w:color="D5EAEA"/>
            </w:tcBorders>
            <w:shd w:val="clear" w:color="auto" w:fill="D5EAEA"/>
          </w:tcPr>
          <w:p>
            <w:pPr>
              <w:spacing w:after="0"/>
              <w:rPr>
                <w:sz w:val="18"/>
                <w:szCs w:val="18"/>
                <w:color w:val="auto"/>
              </w:rPr>
            </w:pPr>
          </w:p>
        </w:tc>
        <w:tc>
          <w:tcPr>
            <w:tcW w:w="120" w:type="dxa"/>
            <w:vAlign w:val="bottom"/>
            <w:tcBorders>
              <w:bottom w:val="single" w:sz="8" w:color="D5EAEA"/>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Borders>
              <w:bottom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700" w:type="dxa"/>
            <w:vAlign w:val="bottom"/>
            <w:gridSpan w:val="6"/>
          </w:tcPr>
          <w:p>
            <w:pPr>
              <w:ind w:left="500"/>
              <w:spacing w:after="0"/>
              <w:rPr>
                <w:sz w:val="20"/>
                <w:szCs w:val="20"/>
                <w:color w:val="auto"/>
              </w:rPr>
            </w:pPr>
            <w:r>
              <w:rPr>
                <w:rFonts w:ascii="Arial" w:cs="Arial" w:eastAsia="Arial" w:hAnsi="Arial"/>
                <w:sz w:val="18"/>
                <w:szCs w:val="18"/>
                <w:b w:val="1"/>
                <w:bCs w:val="1"/>
                <w:color w:val="auto"/>
              </w:rPr>
              <w:t>For the Nine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6860" w:type="dxa"/>
            <w:vAlign w:val="bottom"/>
            <w:vMerge w:val="restart"/>
          </w:tcPr>
          <w:p>
            <w:pPr>
              <w:ind w:left="2020"/>
              <w:spacing w:after="0"/>
              <w:rPr>
                <w:sz w:val="20"/>
                <w:szCs w:val="20"/>
                <w:color w:val="auto"/>
              </w:rPr>
            </w:pPr>
            <w:r>
              <w:rPr>
                <w:rFonts w:ascii="Arial" w:cs="Arial" w:eastAsia="Arial" w:hAnsi="Arial"/>
                <w:sz w:val="18"/>
                <w:szCs w:val="18"/>
                <w:b w:val="1"/>
                <w:bCs w:val="1"/>
                <w:color w:val="auto"/>
              </w:rPr>
              <w:t>in CHF thousands, unaudited</w:t>
            </w:r>
          </w:p>
        </w:tc>
        <w:tc>
          <w:tcPr>
            <w:tcW w:w="2700" w:type="dxa"/>
            <w:vAlign w:val="bottom"/>
            <w:gridSpan w:val="6"/>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12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60" w:type="dxa"/>
            <w:vAlign w:val="bottom"/>
            <w:tcBorders>
              <w:bottom w:val="single" w:sz="8" w:color="D5EAEA"/>
            </w:tcBorders>
          </w:tcPr>
          <w:p>
            <w:pPr>
              <w:spacing w:after="0"/>
              <w:rPr>
                <w:sz w:val="18"/>
                <w:szCs w:val="18"/>
                <w:color w:val="auto"/>
              </w:rPr>
            </w:pPr>
          </w:p>
        </w:tc>
        <w:tc>
          <w:tcPr>
            <w:tcW w:w="6860" w:type="dxa"/>
            <w:vAlign w:val="bottom"/>
            <w:tcBorders>
              <w:bottom w:val="single" w:sz="8" w:color="D5EAEA"/>
            </w:tcBorders>
            <w:vMerge w:val="continue"/>
          </w:tcPr>
          <w:p>
            <w:pPr>
              <w:spacing w:after="0"/>
              <w:rPr>
                <w:sz w:val="18"/>
                <w:szCs w:val="18"/>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31,881</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26,069</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Salaries and related costs(2)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43,536</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35,770</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02"/>
        </w:trPr>
        <w:tc>
          <w:tcPr>
            <w:tcW w:w="460" w:type="dxa"/>
            <w:vAlign w:val="bottom"/>
            <w:tcBorders>
              <w:top w:val="single" w:sz="8" w:color="D5EAEA"/>
            </w:tcBorders>
          </w:tcPr>
          <w:p>
            <w:pPr>
              <w:jc w:val="right"/>
              <w:spacing w:after="0" w:line="201" w:lineRule="exact"/>
              <w:rPr>
                <w:sz w:val="20"/>
                <w:szCs w:val="20"/>
                <w:color w:val="auto"/>
              </w:rPr>
            </w:pPr>
            <w:r>
              <w:rPr>
                <w:rFonts w:ascii="Arial" w:cs="Arial" w:eastAsia="Arial" w:hAnsi="Arial"/>
                <w:sz w:val="18"/>
                <w:szCs w:val="18"/>
                <w:color w:val="auto"/>
              </w:rPr>
              <w:t>(1)</w:t>
            </w:r>
          </w:p>
        </w:tc>
        <w:tc>
          <w:tcPr>
            <w:tcW w:w="6860" w:type="dxa"/>
            <w:vAlign w:val="bottom"/>
            <w:tcBorders>
              <w:top w:val="single" w:sz="8" w:color="D5EAEA"/>
            </w:tcBorders>
          </w:tcPr>
          <w:p>
            <w:pPr>
              <w:ind w:left="40"/>
              <w:spacing w:after="0" w:line="201" w:lineRule="exact"/>
              <w:rPr>
                <w:sz w:val="20"/>
                <w:szCs w:val="20"/>
                <w:color w:val="auto"/>
              </w:rPr>
            </w:pPr>
            <w:r>
              <w:rPr>
                <w:rFonts w:ascii="Arial" w:cs="Arial" w:eastAsia="Arial" w:hAnsi="Arial"/>
                <w:sz w:val="18"/>
                <w:szCs w:val="18"/>
                <w:color w:val="auto"/>
              </w:rPr>
              <w:t>Includes depreciation expense</w:t>
            </w: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D5EAEA"/>
            </w:tcBorders>
          </w:tcPr>
          <w:p>
            <w:pPr>
              <w:spacing w:after="0"/>
              <w:rPr>
                <w:sz w:val="17"/>
                <w:szCs w:val="17"/>
                <w:color w:val="auto"/>
              </w:rPr>
            </w:pPr>
          </w:p>
        </w:tc>
        <w:tc>
          <w:tcPr>
            <w:tcW w:w="120" w:type="dxa"/>
            <w:vAlign w:val="bottom"/>
            <w:tcBorders>
              <w:top w:val="single" w:sz="8" w:color="D5EAEA"/>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D5EAEA"/>
            </w:tcBorders>
          </w:tcPr>
          <w:p>
            <w:pPr>
              <w:spacing w:after="0"/>
              <w:rPr>
                <w:sz w:val="17"/>
                <w:szCs w:val="17"/>
                <w:color w:val="auto"/>
              </w:rPr>
            </w:pPr>
          </w:p>
        </w:tc>
        <w:tc>
          <w:tcPr>
            <w:tcW w:w="120" w:type="dxa"/>
            <w:vAlign w:val="bottom"/>
            <w:tcBorders>
              <w:top w:val="single" w:sz="8" w:color="D5EAEA"/>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D5EAEA"/>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6860" w:type="dxa"/>
            <w:vAlign w:val="bottom"/>
          </w:tcPr>
          <w:p>
            <w:pPr>
              <w:ind w:left="40"/>
              <w:spacing w:after="0"/>
              <w:rPr>
                <w:sz w:val="20"/>
                <w:szCs w:val="20"/>
                <w:color w:val="auto"/>
              </w:rPr>
            </w:pPr>
            <w:r>
              <w:rPr>
                <w:rFonts w:ascii="Arial" w:cs="Arial" w:eastAsia="Arial" w:hAnsi="Arial"/>
                <w:sz w:val="18"/>
                <w:szCs w:val="18"/>
                <w:color w:val="auto"/>
              </w:rPr>
              <w:t>Includes share-based compensation expense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table below provides a breakdown of our research and development costs, including direct research and development costs and manufacturing costs related to research and development, by major development categories of our programs for the periods covered by this Form 6-K. The research and development costs not allocated to specific programs include employment costs, regulatory, quality assurance and intellectual property costs. We do not assign our internal costs, such as salary and benefits, share-based compensation expense, laboratory supplies and other direct expenses and infrastructure costs to individual research and development projects, because the employees within our research and development groups typically are deployed across multiple research and development programs.</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6"/>
          <w:szCs w:val="16"/>
          <w:color w:val="auto"/>
        </w:rPr>
        <w:t>The following table summarizes our research and development expenses by major development program during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For the Three Months</w:t>
            </w:r>
          </w:p>
        </w:tc>
        <w:tc>
          <w:tcPr>
            <w:tcW w:w="1180" w:type="dxa"/>
            <w:vAlign w:val="bottom"/>
          </w:tcPr>
          <w:p>
            <w:pPr>
              <w:spacing w:after="0"/>
              <w:rPr>
                <w:sz w:val="18"/>
                <w:szCs w:val="18"/>
                <w:color w:val="auto"/>
              </w:rPr>
            </w:pPr>
          </w:p>
        </w:tc>
      </w:tr>
      <w:tr>
        <w:trPr>
          <w:trHeight w:val="234"/>
        </w:trPr>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4"/>
          </w:tcPr>
          <w:p>
            <w:pPr>
              <w:ind w:left="460"/>
              <w:spacing w:after="0"/>
              <w:rPr>
                <w:sz w:val="20"/>
                <w:szCs w:val="20"/>
                <w:color w:val="auto"/>
              </w:rPr>
            </w:pPr>
            <w:r>
              <w:rPr>
                <w:rFonts w:ascii="Arial" w:cs="Arial" w:eastAsia="Arial" w:hAnsi="Arial"/>
                <w:sz w:val="18"/>
                <w:szCs w:val="18"/>
                <w:b w:val="1"/>
                <w:bCs w:val="1"/>
                <w:color w:val="auto"/>
              </w:rPr>
              <w:t>Ended September 30,</w:t>
            </w:r>
          </w:p>
        </w:tc>
        <w:tc>
          <w:tcPr>
            <w:tcW w:w="1180" w:type="dxa"/>
            <w:vAlign w:val="bottom"/>
          </w:tcPr>
          <w:p>
            <w:pPr>
              <w:spacing w:after="0"/>
              <w:rPr>
                <w:sz w:val="20"/>
                <w:szCs w:val="20"/>
                <w:color w:val="auto"/>
              </w:rPr>
            </w:pPr>
          </w:p>
        </w:tc>
      </w:tr>
      <w:tr>
        <w:trPr>
          <w:trHeight w:val="223"/>
        </w:trPr>
        <w:tc>
          <w:tcPr>
            <w:tcW w:w="6280" w:type="dxa"/>
            <w:vAlign w:val="bottom"/>
            <w:gridSpan w:val="2"/>
          </w:tcPr>
          <w:p>
            <w:pPr>
              <w:ind w:left="1960"/>
              <w:spacing w:after="0"/>
              <w:rPr>
                <w:sz w:val="20"/>
                <w:szCs w:val="20"/>
                <w:color w:val="auto"/>
              </w:rPr>
            </w:pPr>
            <w:r>
              <w:rPr>
                <w:rFonts w:ascii="Arial" w:cs="Arial" w:eastAsia="Arial" w:hAnsi="Arial"/>
                <w:sz w:val="18"/>
                <w:szCs w:val="18"/>
                <w:b w:val="1"/>
                <w:bCs w:val="1"/>
                <w:color w:val="auto"/>
              </w:rPr>
              <w:t>in CHF thousands, unaudited</w:t>
            </w: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09"/>
        </w:trPr>
        <w:tc>
          <w:tcPr>
            <w:tcW w:w="61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3,721</w:t>
            </w:r>
          </w:p>
        </w:tc>
        <w:tc>
          <w:tcPr>
            <w:tcW w:w="10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4,260</w:t>
            </w:r>
          </w:p>
        </w:tc>
        <w:tc>
          <w:tcPr>
            <w:tcW w:w="100" w:type="dxa"/>
            <w:vAlign w:val="bottom"/>
            <w:tcBorders>
              <w:top w:val="single" w:sz="8" w:color="D5EAEA"/>
            </w:tcBorders>
            <w:shd w:val="clear" w:color="auto" w:fill="D5EAEA"/>
          </w:tcPr>
          <w:p>
            <w:pPr>
              <w:spacing w:after="0"/>
              <w:rPr>
                <w:sz w:val="18"/>
                <w:szCs w:val="18"/>
                <w:color w:val="auto"/>
              </w:rPr>
            </w:pPr>
          </w:p>
        </w:tc>
        <w:tc>
          <w:tcPr>
            <w:tcW w:w="11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(539)</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Non-Alzheimer’s diseases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5,323</w:t>
            </w: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3,135</w:t>
            </w:r>
          </w:p>
        </w:tc>
      </w:tr>
      <w:tr>
        <w:trPr>
          <w:trHeight w:val="216"/>
        </w:trPr>
        <w:tc>
          <w:tcPr>
            <w:tcW w:w="62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Diagnostics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2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New discovery programs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D5EAEA"/>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62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Total programs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10,133</w:t>
            </w:r>
          </w:p>
        </w:tc>
        <w:tc>
          <w:tcPr>
            <w:tcW w:w="10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7,562</w:t>
            </w:r>
          </w:p>
        </w:tc>
        <w:tc>
          <w:tcPr>
            <w:tcW w:w="100" w:type="dxa"/>
            <w:vAlign w:val="bottom"/>
            <w:shd w:val="clear" w:color="auto" w:fill="D5EAEA"/>
          </w:tcPr>
          <w:p>
            <w:pPr>
              <w:spacing w:after="0"/>
              <w:rPr>
                <w:sz w:val="18"/>
                <w:szCs w:val="18"/>
                <w:color w:val="auto"/>
              </w:rPr>
            </w:pPr>
          </w:p>
        </w:tc>
        <w:tc>
          <w:tcPr>
            <w:tcW w:w="11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2,571</w:t>
            </w:r>
          </w:p>
        </w:tc>
      </w:tr>
      <w:tr>
        <w:trPr>
          <w:trHeight w:val="209"/>
        </w:trPr>
        <w:tc>
          <w:tcPr>
            <w:tcW w:w="62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R&amp;D expenses not allocated to specific programs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D5EAEA"/>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D5EAEA"/>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r>
      <w:tr>
        <w:trPr>
          <w:trHeight w:val="223"/>
        </w:trPr>
        <w:tc>
          <w:tcPr>
            <w:tcW w:w="62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15,518</w:t>
            </w:r>
          </w:p>
        </w:tc>
        <w:tc>
          <w:tcPr>
            <w:tcW w:w="10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11,478</w:t>
            </w:r>
          </w:p>
        </w:tc>
        <w:tc>
          <w:tcPr>
            <w:tcW w:w="100" w:type="dxa"/>
            <w:vAlign w:val="bottom"/>
            <w:tcBorders>
              <w:bottom w:val="single" w:sz="8" w:color="D5EAEA"/>
            </w:tcBorders>
            <w:shd w:val="clear" w:color="auto" w:fill="D5EAEA"/>
          </w:tcPr>
          <w:p>
            <w:pPr>
              <w:spacing w:after="0"/>
              <w:rPr>
                <w:sz w:val="19"/>
                <w:szCs w:val="19"/>
                <w:color w:val="auto"/>
              </w:rPr>
            </w:pPr>
          </w:p>
        </w:tc>
        <w:tc>
          <w:tcPr>
            <w:tcW w:w="11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4,040</w:t>
            </w: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4"/>
          </w:tcPr>
          <w:p>
            <w:pPr>
              <w:ind w:left="480"/>
              <w:spacing w:after="0"/>
              <w:rPr>
                <w:sz w:val="20"/>
                <w:szCs w:val="20"/>
                <w:color w:val="auto"/>
              </w:rPr>
            </w:pPr>
            <w:r>
              <w:rPr>
                <w:rFonts w:ascii="Arial" w:cs="Arial" w:eastAsia="Arial" w:hAnsi="Arial"/>
                <w:sz w:val="18"/>
                <w:szCs w:val="18"/>
                <w:b w:val="1"/>
                <w:bCs w:val="1"/>
                <w:color w:val="auto"/>
              </w:rPr>
              <w:t>For the Nine Months</w:t>
            </w:r>
          </w:p>
        </w:tc>
        <w:tc>
          <w:tcPr>
            <w:tcW w:w="1180" w:type="dxa"/>
            <w:vAlign w:val="bottom"/>
          </w:tcPr>
          <w:p>
            <w:pPr>
              <w:spacing w:after="0"/>
              <w:rPr>
                <w:sz w:val="18"/>
                <w:szCs w:val="18"/>
                <w:color w:val="auto"/>
              </w:rPr>
            </w:pPr>
          </w:p>
        </w:tc>
      </w:tr>
      <w:tr>
        <w:trPr>
          <w:trHeight w:val="234"/>
        </w:trPr>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4"/>
          </w:tcPr>
          <w:p>
            <w:pPr>
              <w:ind w:left="460"/>
              <w:spacing w:after="0"/>
              <w:rPr>
                <w:sz w:val="20"/>
                <w:szCs w:val="20"/>
                <w:color w:val="auto"/>
              </w:rPr>
            </w:pPr>
            <w:r>
              <w:rPr>
                <w:rFonts w:ascii="Arial" w:cs="Arial" w:eastAsia="Arial" w:hAnsi="Arial"/>
                <w:sz w:val="18"/>
                <w:szCs w:val="18"/>
                <w:b w:val="1"/>
                <w:bCs w:val="1"/>
                <w:color w:val="auto"/>
              </w:rPr>
              <w:t>Ended September 30,</w:t>
            </w:r>
          </w:p>
        </w:tc>
        <w:tc>
          <w:tcPr>
            <w:tcW w:w="1180" w:type="dxa"/>
            <w:vAlign w:val="bottom"/>
          </w:tcPr>
          <w:p>
            <w:pPr>
              <w:spacing w:after="0"/>
              <w:rPr>
                <w:sz w:val="20"/>
                <w:szCs w:val="20"/>
                <w:color w:val="auto"/>
              </w:rPr>
            </w:pPr>
          </w:p>
        </w:tc>
      </w:tr>
      <w:tr>
        <w:trPr>
          <w:trHeight w:val="223"/>
        </w:trPr>
        <w:tc>
          <w:tcPr>
            <w:tcW w:w="6280" w:type="dxa"/>
            <w:vAlign w:val="bottom"/>
            <w:gridSpan w:val="2"/>
          </w:tcPr>
          <w:p>
            <w:pPr>
              <w:ind w:left="1960"/>
              <w:spacing w:after="0"/>
              <w:rPr>
                <w:sz w:val="20"/>
                <w:szCs w:val="20"/>
                <w:color w:val="auto"/>
              </w:rPr>
            </w:pPr>
            <w:r>
              <w:rPr>
                <w:rFonts w:ascii="Arial" w:cs="Arial" w:eastAsia="Arial" w:hAnsi="Arial"/>
                <w:sz w:val="18"/>
                <w:szCs w:val="18"/>
                <w:b w:val="1"/>
                <w:bCs w:val="1"/>
                <w:color w:val="auto"/>
              </w:rPr>
              <w:t>in CHF thousands, unaudited</w:t>
            </w: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09"/>
        </w:trPr>
        <w:tc>
          <w:tcPr>
            <w:tcW w:w="61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12,670</w:t>
            </w:r>
          </w:p>
        </w:tc>
        <w:tc>
          <w:tcPr>
            <w:tcW w:w="10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15,559</w:t>
            </w:r>
          </w:p>
        </w:tc>
        <w:tc>
          <w:tcPr>
            <w:tcW w:w="100" w:type="dxa"/>
            <w:vAlign w:val="bottom"/>
            <w:tcBorders>
              <w:top w:val="single" w:sz="8" w:color="D5EAEA"/>
            </w:tcBorders>
            <w:shd w:val="clear" w:color="auto" w:fill="D5EAEA"/>
          </w:tcPr>
          <w:p>
            <w:pPr>
              <w:spacing w:after="0"/>
              <w:rPr>
                <w:sz w:val="18"/>
                <w:szCs w:val="18"/>
                <w:color w:val="auto"/>
              </w:rPr>
            </w:pPr>
          </w:p>
        </w:tc>
        <w:tc>
          <w:tcPr>
            <w:tcW w:w="11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(2,889)</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Non-Alzheimer’s diseases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12,879</w:t>
            </w: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6,103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6,776</w:t>
            </w:r>
          </w:p>
        </w:tc>
      </w:tr>
      <w:tr>
        <w:trPr>
          <w:trHeight w:val="216"/>
        </w:trPr>
        <w:tc>
          <w:tcPr>
            <w:tcW w:w="62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Diagnostics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62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New discovery programs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D5EAEA"/>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09"/>
        </w:trPr>
        <w:tc>
          <w:tcPr>
            <w:tcW w:w="62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Total programs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28,196</w:t>
            </w:r>
          </w:p>
        </w:tc>
        <w:tc>
          <w:tcPr>
            <w:tcW w:w="10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24,123</w:t>
            </w:r>
          </w:p>
        </w:tc>
        <w:tc>
          <w:tcPr>
            <w:tcW w:w="100" w:type="dxa"/>
            <w:vAlign w:val="bottom"/>
            <w:shd w:val="clear" w:color="auto" w:fill="D5EAEA"/>
          </w:tcPr>
          <w:p>
            <w:pPr>
              <w:spacing w:after="0"/>
              <w:rPr>
                <w:sz w:val="18"/>
                <w:szCs w:val="18"/>
                <w:color w:val="auto"/>
              </w:rPr>
            </w:pPr>
          </w:p>
        </w:tc>
        <w:tc>
          <w:tcPr>
            <w:tcW w:w="11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4,073</w:t>
            </w:r>
          </w:p>
        </w:tc>
      </w:tr>
      <w:tr>
        <w:trPr>
          <w:trHeight w:val="210"/>
        </w:trPr>
        <w:tc>
          <w:tcPr>
            <w:tcW w:w="62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R&amp;D expenses not allocated to specific programs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15,340</w:t>
            </w:r>
          </w:p>
        </w:tc>
        <w:tc>
          <w:tcPr>
            <w:tcW w:w="100" w:type="dxa"/>
            <w:vAlign w:val="bottom"/>
            <w:tcBorders>
              <w:bottom w:val="single" w:sz="8" w:color="D5EAEA"/>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11,647</w:t>
            </w:r>
          </w:p>
        </w:tc>
        <w:tc>
          <w:tcPr>
            <w:tcW w:w="100" w:type="dxa"/>
            <w:vAlign w:val="bottom"/>
            <w:tcBorders>
              <w:bottom w:val="single" w:sz="8" w:color="D5EAEA"/>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r>
      <w:tr>
        <w:trPr>
          <w:trHeight w:val="223"/>
        </w:trPr>
        <w:tc>
          <w:tcPr>
            <w:tcW w:w="62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43,536</w:t>
            </w:r>
          </w:p>
        </w:tc>
        <w:tc>
          <w:tcPr>
            <w:tcW w:w="10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35,770</w:t>
            </w:r>
          </w:p>
        </w:tc>
        <w:tc>
          <w:tcPr>
            <w:tcW w:w="100" w:type="dxa"/>
            <w:vAlign w:val="bottom"/>
            <w:tcBorders>
              <w:bottom w:val="single" w:sz="8" w:color="D5EAEA"/>
            </w:tcBorders>
            <w:shd w:val="clear" w:color="auto" w:fill="D5EAEA"/>
          </w:tcPr>
          <w:p>
            <w:pPr>
              <w:spacing w:after="0"/>
              <w:rPr>
                <w:sz w:val="19"/>
                <w:szCs w:val="19"/>
                <w:color w:val="auto"/>
              </w:rPr>
            </w:pPr>
          </w:p>
        </w:tc>
        <w:tc>
          <w:tcPr>
            <w:tcW w:w="11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7,766</w:t>
            </w: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CHF 0.5 million decrease in investments in Alzheimer’s disease programs for the three months ended September 30, 2020, predominantly relates to a CHF 0.2 million decrease in spending on ACI-24 in Alzheimer’s disease primarily related to completing the manufacturing process development. The Company also spent CHF 0.6 million less for ACI-35 in the current period related to toxicology and manufacturing costs for clinical trial material in the prior period that did not repeat in the current period. Finally, the Company spent CHF 0.3 million more on certain Phase 1 clinical activities completed to advance our Morphomer Tau lead compound. The CHF 3.1 million increase in non-Alzheimer’s disease programs is led by a CHF 1.6 million increase for ACI-24 in Down syndrome related costs primarily related to scaling up activities for a Phase 2 clinical study. The Company spent CHF 0.7 million more to advance the development of its alpha-synuclein projects. Finally, the Company also incurred CHF 0.7 million more for the development of its anti-TDP-43 antibody with the initiation of IND-enabling studies in Q3 2020.</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CHF 2.9 million decrease in investments in Alzheimer’s disease programs for the nine months ended September 30, 2020, predominantly relates to a CHF 2.5 million decrease in spending on ACI-24 in Alzheimer’s disease primarily related to completing the manufacturing process development. The Company also incurred CHF 1.3 million less in ACI-35 in the current period related to a decrease in toxicology and manufacturing costs for clinical trial material in the prior period that did not repeat in the current period. Additionally, for our Morphomer Tau lead compound, the Company incurred CHF 1.1 million more for Phase 1 clinical activities primarily due to a full year of activities in 2020 compared to a ramping up of activities in 2019. The CHF 6.8 million increase in non-Alzheimer’s disease programs is led by a CHF 4.9 million increase for ACI-24 in Down syndrome related costs primarily related to scaling up activities for a Phase 2 clinical study plus certain development costs for the second generation. We also recorded a CHF 0.6 million increase associated primarily with higher preclinical and manufacturing costs to advance our alpha-synuclein projects. The Company also incurred CHF 0.9 million more for the development of its anti-TDP-43 antibody with the initiation of IND-enabling studies in Q3 2020 and CHF 0.5 million for certain neuroinflammation investments.</w:t>
      </w:r>
    </w:p>
    <w:p>
      <w:pPr>
        <w:spacing w:after="0" w:line="185" w:lineRule="exact"/>
        <w:rPr>
          <w:sz w:val="20"/>
          <w:szCs w:val="20"/>
          <w:color w:val="auto"/>
        </w:rPr>
      </w:pPr>
    </w:p>
    <w:p>
      <w:pPr>
        <w:jc w:val="both"/>
        <w:ind w:right="440" w:firstLine="324"/>
        <w:spacing w:after="0" w:line="259" w:lineRule="auto"/>
        <w:rPr>
          <w:sz w:val="20"/>
          <w:szCs w:val="20"/>
          <w:color w:val="auto"/>
        </w:rPr>
      </w:pPr>
      <w:r>
        <w:rPr>
          <w:rFonts w:ascii="Arial" w:cs="Arial" w:eastAsia="Arial" w:hAnsi="Arial"/>
          <w:sz w:val="18"/>
          <w:szCs w:val="18"/>
          <w:color w:val="auto"/>
        </w:rPr>
        <w:t>R&amp;D expenses not allocated to specific programs increased by CHF 1.5 million for the three months ended September 30, 2020. The Company increased its headcount by 5 full time equivalents (FTEs) during the period and increased payroll and share based compensation expense by CHF 0.4 million and CHF 0.2 million, respectively. Additionally, we recorded an increase of CHF 0.9 million in regulatory and quality assurance, intellectual property and other unallocated research and development costs.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6" w:name="page27"/>
    <w:bookmarkEnd w:id="26"/>
    <w:p>
      <w:pPr>
        <w:ind w:right="420" w:firstLine="324"/>
        <w:spacing w:after="0" w:line="259" w:lineRule="auto"/>
        <w:rPr>
          <w:sz w:val="20"/>
          <w:szCs w:val="20"/>
          <w:color w:val="auto"/>
        </w:rPr>
      </w:pPr>
      <w:r>
        <w:rPr>
          <w:rFonts w:ascii="Arial" w:cs="Arial" w:eastAsia="Arial" w:hAnsi="Arial"/>
          <w:sz w:val="18"/>
          <w:szCs w:val="18"/>
          <w:color w:val="auto"/>
        </w:rPr>
        <w:t>R&amp;D expenses not allocated to specific programs increased by CHF 3.7 million for the nine months ended September 30, 2020. The Company increased its headcount by 11 full time equivalents (FTEs) during the period and increased payroll and share based compensation expense by CHF 1.5 million and CHF 0.4 million, respectively. Additionally, we recorded an increase of CHF 1.8 million in regulatory and quality assurance, intellectual property and other unallocated research and development costs.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costs, including share-based compensation, professional fees such as legal and accounting related services, infrastructure expenses and other operating expenses.</w:t>
      </w:r>
    </w:p>
    <w:p>
      <w:pPr>
        <w:spacing w:after="0" w:line="17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For the three and nine months ended September 30, 2020, general and administrative expenses totaled CHF 4.9 million and CHF 13.6 million compared with CHF 4.0 million and CHF 10.8 million for the comparable periods in 2019, respectively. This represents an increase of CHF 0.9 million and CHF 2.7 million, respectively.</w:t>
      </w:r>
    </w:p>
    <w:p>
      <w:pPr>
        <w:spacing w:after="0" w:line="184"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For the three and nine months ended September 30, 2020, the Company increased its headcount by 1 and 4 FTEs, respectively. Our payroll expense increased by CHF 0.4 million and CHF 1.2 million and our share based compensation expense increased by CHF 0.2 million and CHF 0.6 million for the three and nine months ended, respectively.</w:t>
      </w:r>
    </w:p>
    <w:p>
      <w:pPr>
        <w:spacing w:after="0" w:line="184"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For the three months ended September 30, 2020, the Company incurred a CHF 0.4 million increase in professional services associated with our at the market offering issuance costs. Additionally, we incurred a CHF 0.2 million increase in rental expenditures and depreciation of our right of use assets and capital equipment offset by a decrease of CHF 0.1 million for communications and investor relations.</w:t>
      </w:r>
    </w:p>
    <w:p>
      <w:pPr>
        <w:spacing w:after="0" w:line="16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For the nine months ended September 30, 2020, the Company incurred a CHF 0.3 million increase in professional services associated with our at the market offering issuance costs. Additionally, we incurred a CHF 1.1 million increase in administrative matters including CHF 0.6 million for depreciation of our right of use assets and capital equipment, CHF 0.2 million for insurance and CHF 0.3 million for miscellaneous other areas. This was offset by CHF 0.2 million for communications and investor relations and CHF 0.2 million in other administrative areas. The following tables present the general and administrative expenses for the three and nine months ended September 30, 2020,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700" w:type="dxa"/>
            <w:vAlign w:val="bottom"/>
            <w:gridSpan w:val="4"/>
          </w:tcPr>
          <w:p>
            <w:pPr>
              <w:ind w:left="440"/>
              <w:spacing w:after="0"/>
              <w:rPr>
                <w:sz w:val="20"/>
                <w:szCs w:val="20"/>
                <w:color w:val="auto"/>
              </w:rPr>
            </w:pPr>
            <w:r>
              <w:rPr>
                <w:rFonts w:ascii="Arial" w:cs="Arial" w:eastAsia="Arial" w:hAnsi="Arial"/>
                <w:sz w:val="18"/>
                <w:szCs w:val="18"/>
                <w:b w:val="1"/>
                <w:bCs w:val="1"/>
                <w:color w:val="auto"/>
              </w:rPr>
              <w:t>For the Three Months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in CHF thousands, unaudited</w:t>
            </w:r>
          </w:p>
        </w:tc>
        <w:tc>
          <w:tcPr>
            <w:tcW w:w="2700" w:type="dxa"/>
            <w:vAlign w:val="bottom"/>
            <w:gridSpan w:val="4"/>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12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D5EAEA"/>
            </w:tcBorders>
            <w:vMerge w:val="continue"/>
          </w:tcPr>
          <w:p>
            <w:pPr>
              <w:spacing w:after="0"/>
              <w:rPr>
                <w:sz w:val="18"/>
                <w:szCs w:val="18"/>
                <w:color w:val="auto"/>
              </w:rPr>
            </w:pPr>
          </w:p>
        </w:tc>
        <w:tc>
          <w:tcPr>
            <w:tcW w:w="12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D5EAEA"/>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1,983</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Salaries and related costs(2)</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2,909</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2,386</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4,892</w:t>
            </w:r>
          </w:p>
        </w:tc>
        <w:tc>
          <w:tcPr>
            <w:tcW w:w="120" w:type="dxa"/>
            <w:vAlign w:val="bottom"/>
            <w:tcBorders>
              <w:bottom w:val="single" w:sz="8" w:color="auto"/>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3,956</w:t>
            </w:r>
          </w:p>
        </w:tc>
        <w:tc>
          <w:tcPr>
            <w:tcW w:w="12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2700" w:type="dxa"/>
            <w:vAlign w:val="bottom"/>
            <w:gridSpan w:val="4"/>
          </w:tcPr>
          <w:p>
            <w:pPr>
              <w:ind w:left="500"/>
              <w:spacing w:after="0" w:line="198" w:lineRule="exact"/>
              <w:rPr>
                <w:sz w:val="20"/>
                <w:szCs w:val="20"/>
                <w:color w:val="auto"/>
              </w:rPr>
            </w:pPr>
            <w:r>
              <w:rPr>
                <w:rFonts w:ascii="Arial" w:cs="Arial" w:eastAsia="Arial" w:hAnsi="Arial"/>
                <w:sz w:val="18"/>
                <w:szCs w:val="18"/>
                <w:b w:val="1"/>
                <w:bCs w:val="1"/>
                <w:color w:val="auto"/>
              </w:rPr>
              <w:t>For the Nine Months</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7080" w:type="dxa"/>
            <w:vAlign w:val="bottom"/>
            <w:vMerge w:val="restart"/>
          </w:tcPr>
          <w:p>
            <w:pPr>
              <w:ind w:left="2240"/>
              <w:spacing w:after="0"/>
              <w:rPr>
                <w:sz w:val="20"/>
                <w:szCs w:val="20"/>
                <w:color w:val="auto"/>
              </w:rPr>
            </w:pPr>
            <w:r>
              <w:rPr>
                <w:rFonts w:ascii="Arial" w:cs="Arial" w:eastAsia="Arial" w:hAnsi="Arial"/>
                <w:sz w:val="18"/>
                <w:szCs w:val="18"/>
                <w:b w:val="1"/>
                <w:bCs w:val="1"/>
                <w:color w:val="auto"/>
              </w:rPr>
              <w:t>in CHF thousands, unaudited</w:t>
            </w:r>
          </w:p>
        </w:tc>
        <w:tc>
          <w:tcPr>
            <w:tcW w:w="2700" w:type="dxa"/>
            <w:vAlign w:val="bottom"/>
            <w:gridSpan w:val="4"/>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12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240" w:type="dxa"/>
            <w:vAlign w:val="bottom"/>
            <w:tcBorders>
              <w:bottom w:val="single" w:sz="8" w:color="D5EAEA"/>
            </w:tcBorders>
          </w:tcPr>
          <w:p>
            <w:pPr>
              <w:spacing w:after="0"/>
              <w:rPr>
                <w:sz w:val="18"/>
                <w:szCs w:val="18"/>
                <w:color w:val="auto"/>
              </w:rPr>
            </w:pPr>
          </w:p>
        </w:tc>
        <w:tc>
          <w:tcPr>
            <w:tcW w:w="7080" w:type="dxa"/>
            <w:vAlign w:val="bottom"/>
            <w:tcBorders>
              <w:bottom w:val="single" w:sz="8" w:color="D5EAEA"/>
            </w:tcBorders>
            <w:vMerge w:val="continue"/>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D5EAEA"/>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5,259</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4,366</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Salaries and related costs(2)</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8,294</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6,469</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13,553</w:t>
            </w:r>
          </w:p>
        </w:tc>
        <w:tc>
          <w:tcPr>
            <w:tcW w:w="12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10,835</w:t>
            </w:r>
          </w:p>
        </w:tc>
        <w:tc>
          <w:tcPr>
            <w:tcW w:w="12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w w:val="99"/>
              </w:rPr>
              <w:t>(1)</w:t>
            </w:r>
          </w:p>
        </w:tc>
        <w:tc>
          <w:tcPr>
            <w:tcW w:w="7080" w:type="dxa"/>
            <w:vAlign w:val="bottom"/>
            <w:vMerge w:val="restart"/>
          </w:tcPr>
          <w:p>
            <w:pPr>
              <w:ind w:left="20"/>
              <w:spacing w:after="0"/>
              <w:rPr>
                <w:sz w:val="20"/>
                <w:szCs w:val="20"/>
                <w:color w:val="auto"/>
              </w:rPr>
            </w:pPr>
            <w:r>
              <w:rPr>
                <w:rFonts w:ascii="Arial" w:cs="Arial" w:eastAsia="Arial" w:hAnsi="Arial"/>
                <w:sz w:val="18"/>
                <w:szCs w:val="18"/>
                <w:color w:val="auto"/>
              </w:rPr>
              <w:t>Includes depreciation expense</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0" w:type="dxa"/>
            <w:vAlign w:val="bottom"/>
            <w:vMerge w:val="continue"/>
          </w:tcPr>
          <w:p>
            <w:pPr>
              <w:spacing w:after="0"/>
              <w:rPr>
                <w:sz w:val="15"/>
                <w:szCs w:val="15"/>
                <w:color w:val="auto"/>
              </w:rPr>
            </w:pPr>
          </w:p>
        </w:tc>
        <w:tc>
          <w:tcPr>
            <w:tcW w:w="70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99"/>
              </w:rPr>
              <w:t>(2)</w:t>
            </w:r>
          </w:p>
        </w:tc>
        <w:tc>
          <w:tcPr>
            <w:tcW w:w="7080" w:type="dxa"/>
            <w:vAlign w:val="bottom"/>
          </w:tcPr>
          <w:p>
            <w:pPr>
              <w:ind w:left="20"/>
              <w:spacing w:after="0"/>
              <w:rPr>
                <w:sz w:val="20"/>
                <w:szCs w:val="20"/>
                <w:color w:val="auto"/>
              </w:rPr>
            </w:pPr>
            <w:r>
              <w:rPr>
                <w:rFonts w:ascii="Arial" w:cs="Arial" w:eastAsia="Arial" w:hAnsi="Arial"/>
                <w:sz w:val="18"/>
                <w:szCs w:val="18"/>
                <w:color w:val="auto"/>
              </w:rPr>
              <w:t>Includes share-based compensation expense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result,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net financial income and expenses during the three and nine months ended September 30, 2020, and 2019:</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7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For the Three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ind w:left="2440"/>
              <w:spacing w:after="0"/>
              <w:rPr>
                <w:sz w:val="20"/>
                <w:szCs w:val="20"/>
                <w:color w:val="auto"/>
              </w:rPr>
            </w:pPr>
            <w:r>
              <w:rPr>
                <w:rFonts w:ascii="Arial" w:cs="Arial" w:eastAsia="Arial" w:hAnsi="Arial"/>
                <w:sz w:val="18"/>
                <w:szCs w:val="18"/>
                <w:b w:val="1"/>
                <w:bCs w:val="1"/>
                <w:color w:val="auto"/>
              </w:rPr>
              <w:t>in CHF thousands, unaudited</w:t>
            </w:r>
          </w:p>
        </w:tc>
        <w:tc>
          <w:tcPr>
            <w:tcW w:w="2700" w:type="dxa"/>
            <w:vAlign w:val="bottom"/>
            <w:gridSpan w:val="6"/>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12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D5EAEA"/>
            </w:tcBorders>
            <w:vMerge w:val="continue"/>
          </w:tcPr>
          <w:p>
            <w:pPr>
              <w:spacing w:after="0"/>
              <w:rPr>
                <w:sz w:val="18"/>
                <w:szCs w:val="18"/>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income/(expense), net</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fair value of conversion feature</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D5EAEA"/>
          </w:tcPr>
          <w:p>
            <w:pPr>
              <w:spacing w:after="0"/>
              <w:rPr>
                <w:sz w:val="20"/>
                <w:szCs w:val="20"/>
                <w:color w:val="auto"/>
              </w:rPr>
            </w:pPr>
            <w:r>
              <w:rPr>
                <w:rFonts w:ascii="Arial" w:cs="Arial" w:eastAsia="Arial" w:hAnsi="Arial"/>
                <w:sz w:val="18"/>
                <w:szCs w:val="18"/>
                <w:color w:val="auto"/>
              </w:rPr>
              <w:t>Foreign currency remeasurement gain/(loss), net</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finance income/(expense)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73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Finance result, net</w:t>
            </w: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700" w:type="dxa"/>
            <w:vAlign w:val="bottom"/>
            <w:gridSpan w:val="6"/>
          </w:tcPr>
          <w:p>
            <w:pPr>
              <w:ind w:left="500"/>
              <w:spacing w:after="0"/>
              <w:rPr>
                <w:sz w:val="20"/>
                <w:szCs w:val="20"/>
                <w:color w:val="auto"/>
              </w:rPr>
            </w:pPr>
            <w:r>
              <w:rPr>
                <w:rFonts w:ascii="Arial" w:cs="Arial" w:eastAsia="Arial" w:hAnsi="Arial"/>
                <w:sz w:val="18"/>
                <w:szCs w:val="18"/>
                <w:b w:val="1"/>
                <w:bCs w:val="1"/>
                <w:color w:val="auto"/>
              </w:rPr>
              <w:t>For the Nine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ind w:left="2440"/>
              <w:spacing w:after="0"/>
              <w:rPr>
                <w:sz w:val="20"/>
                <w:szCs w:val="20"/>
                <w:color w:val="auto"/>
              </w:rPr>
            </w:pPr>
            <w:r>
              <w:rPr>
                <w:rFonts w:ascii="Arial" w:cs="Arial" w:eastAsia="Arial" w:hAnsi="Arial"/>
                <w:sz w:val="18"/>
                <w:szCs w:val="18"/>
                <w:b w:val="1"/>
                <w:bCs w:val="1"/>
                <w:color w:val="auto"/>
              </w:rPr>
              <w:t>in CHF thousands, unaudited</w:t>
            </w:r>
          </w:p>
        </w:tc>
        <w:tc>
          <w:tcPr>
            <w:tcW w:w="2700" w:type="dxa"/>
            <w:vAlign w:val="bottom"/>
            <w:gridSpan w:val="6"/>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12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D5EAEA"/>
            </w:tcBorders>
            <w:vMerge w:val="continue"/>
          </w:tcPr>
          <w:p>
            <w:pPr>
              <w:spacing w:after="0"/>
              <w:rPr>
                <w:sz w:val="18"/>
                <w:szCs w:val="18"/>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income/(expense), net</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fair value of conversion feature</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6"/>
        </w:trPr>
        <w:tc>
          <w:tcPr>
            <w:tcW w:w="7320" w:type="dxa"/>
            <w:vAlign w:val="bottom"/>
            <w:shd w:val="clear" w:color="auto" w:fill="D5EAEA"/>
          </w:tcPr>
          <w:p>
            <w:pPr>
              <w:spacing w:after="0"/>
              <w:rPr>
                <w:sz w:val="20"/>
                <w:szCs w:val="20"/>
                <w:color w:val="auto"/>
              </w:rPr>
            </w:pPr>
            <w:r>
              <w:rPr>
                <w:rFonts w:ascii="Arial" w:cs="Arial" w:eastAsia="Arial" w:hAnsi="Arial"/>
                <w:sz w:val="18"/>
                <w:szCs w:val="18"/>
                <w:color w:val="auto"/>
              </w:rPr>
              <w:t>Foreign currency remeasurement gain/(loss), net</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finance income/(expense)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09"/>
        </w:trPr>
        <w:tc>
          <w:tcPr>
            <w:tcW w:w="73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Finance result, net</w:t>
            </w: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For the three and nine months ended September 30, 2020 and 2019, the Company recognized CHF 0.2 million and CHF 0.6 million in net financial losses compared with CHF 0.2 million and CHF 1.5 million in net financial gains,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September 30, 2020, the Company recorded less than CHF 0.2 million in foreign currency losses.</w:t>
      </w:r>
    </w:p>
    <w:p>
      <w:pPr>
        <w:spacing w:after="0" w:line="225" w:lineRule="exact"/>
        <w:rPr>
          <w:sz w:val="20"/>
          <w:szCs w:val="20"/>
          <w:color w:val="auto"/>
        </w:rPr>
      </w:pPr>
    </w:p>
    <w:p>
      <w:pPr>
        <w:jc w:val="both"/>
        <w:ind w:right="40" w:firstLine="324"/>
        <w:spacing w:after="0" w:line="255" w:lineRule="auto"/>
        <w:rPr>
          <w:sz w:val="20"/>
          <w:szCs w:val="20"/>
          <w:color w:val="auto"/>
        </w:rPr>
      </w:pPr>
      <w:r>
        <w:rPr>
          <w:rFonts w:ascii="Arial" w:cs="Arial" w:eastAsia="Arial" w:hAnsi="Arial"/>
          <w:sz w:val="18"/>
          <w:szCs w:val="18"/>
          <w:color w:val="auto"/>
        </w:rPr>
        <w:t>For the nine months ended September 30, 2020, the Company recorded CHF 0.7 million in foreign currency losses compared with CHF 0.3 million in the prior period, predominantly related to the movement in our forward contract settled in Q2 2020. The Company held approximately 96% of its cash and cash equivalents and short-term financial assets in local currency, which is an increase from 84% as of September 30, 2019. The key driver for the changes relate to items related to our Lilly agreement in the prior period. Notably, a CHF 4.5 million remeasurement gain associated with the change in fair value of the conversion feature for the convertible loan due to Lilly and CHF 1.4 million in effective interest to amortize the host debt for the convertible loan were not repeated in the current period.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To date, the Company has financed its cash requirements primarily from its public offerings,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As of September 30, 2020, we had cash and cash equivalents of CHF 176.6 million and short-term financial assets of CHF 70.0 million for a total liquidity balance of CHF 246.6 million.</w:t>
      </w:r>
    </w:p>
    <w:p>
      <w:pPr>
        <w:spacing w:after="0" w:line="15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primary uses of capital are, and we expect will continue to be, research and development expenses, compensation and related expenses, and other operating expenses including rent. Cash and cash equivalents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This includes co-funding ACI-35 to the end of the Phase 1b/2a clinical study, expenditures for clinical activities in accordance with our agreement with Lilly, preparation of a Phase 2 study in ACI-24 in Down syndrome, increased investment in our PET tracer candidates focused on alpha-synuclein and TDP-43 and a number of research initiatives focused on neurodegenerative orphan diseases other than Alzheimer’s disease.</w:t>
      </w:r>
    </w:p>
    <w:p>
      <w:pPr>
        <w:spacing w:after="0" w:line="19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licensing and collaboration agreements (“LCAs”) and through equity or other forms of financing. For example, in September 2020 we entered into the Open Market Sale Agreement with Jefferies, which provides that, upon the terms and subject to the conditions and limitations set forth in the Sales Agreement, we may elect to issue and sell, from time to time, shares of our common shares having an aggregate offering price of up to USD 80 (CHF 74.3) million through Jefferies acting as our sales agent. Under the Sales Agreement, Jefferies may sell the shares of common shares by any method permitted by law deemed to be an “at the market offering” as defined under the Securities Act of 1933, as amended, in privately-negotiated transactions with our consent or in</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ind w:right="40"/>
        <w:spacing w:after="0" w:line="259" w:lineRule="auto"/>
        <w:rPr>
          <w:sz w:val="20"/>
          <w:szCs w:val="20"/>
          <w:color w:val="auto"/>
        </w:rPr>
      </w:pPr>
      <w:r>
        <w:rPr>
          <w:rFonts w:ascii="Arial" w:cs="Arial" w:eastAsia="Arial" w:hAnsi="Arial"/>
          <w:sz w:val="18"/>
          <w:szCs w:val="18"/>
          <w:color w:val="auto"/>
        </w:rPr>
        <w:t>block transactions. Jefferies will use commercially reasonable efforts to sell the shares of common shares subject to the Sales Agreement from time to time, consistent with its normal sales and trading practices, on mutually agreed terms. We will pay Jefferies a commission of up to 3.0% of the gross sales proceeds of any common shares sold through Jefferies under the Sales Agreement. We are not obligated to make any sales of common shares under the Sales Agreement, and we have not yet sold any common shares pursuant to the Sales Agreement.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may also consider entering into additional LCAs and selectively partnering for clinical development and commercialization.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60" w:type="dxa"/>
            <w:vAlign w:val="bottom"/>
          </w:tcPr>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4"/>
                <w:szCs w:val="24"/>
                <w:color w:val="auto"/>
              </w:rPr>
            </w:pPr>
          </w:p>
        </w:tc>
        <w:tc>
          <w:tcPr>
            <w:tcW w:w="2480" w:type="dxa"/>
            <w:vAlign w:val="bottom"/>
            <w:gridSpan w:val="6"/>
          </w:tcPr>
          <w:p>
            <w:pPr>
              <w:ind w:left="360"/>
              <w:spacing w:after="0"/>
              <w:rPr>
                <w:sz w:val="20"/>
                <w:szCs w:val="20"/>
                <w:color w:val="auto"/>
              </w:rPr>
            </w:pPr>
            <w:r>
              <w:rPr>
                <w:rFonts w:ascii="Arial" w:cs="Arial" w:eastAsia="Arial" w:hAnsi="Arial"/>
                <w:sz w:val="18"/>
                <w:szCs w:val="18"/>
                <w:b w:val="1"/>
                <w:bCs w:val="1"/>
                <w:color w:val="auto"/>
              </w:rPr>
              <w:t>For the Nine Months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vMerge w:val="restart"/>
          </w:tcPr>
          <w:p>
            <w:pPr>
              <w:ind w:left="2620"/>
              <w:spacing w:after="0"/>
              <w:rPr>
                <w:sz w:val="20"/>
                <w:szCs w:val="20"/>
                <w:color w:val="auto"/>
              </w:rPr>
            </w:pPr>
            <w:r>
              <w:rPr>
                <w:rFonts w:ascii="Arial" w:cs="Arial" w:eastAsia="Arial" w:hAnsi="Arial"/>
                <w:sz w:val="18"/>
                <w:szCs w:val="18"/>
                <w:b w:val="1"/>
                <w:bCs w:val="1"/>
                <w:color w:val="auto"/>
              </w:rPr>
              <w:t>in CHF thousands, unaudited</w:t>
            </w:r>
          </w:p>
        </w:tc>
        <w:tc>
          <w:tcPr>
            <w:tcW w:w="2480" w:type="dxa"/>
            <w:vAlign w:val="bottom"/>
            <w:gridSpan w:val="6"/>
          </w:tcPr>
          <w:p>
            <w:pPr>
              <w:ind w:left="360"/>
              <w:spacing w:after="0"/>
              <w:rPr>
                <w:sz w:val="20"/>
                <w:szCs w:val="20"/>
                <w:color w:val="auto"/>
              </w:rPr>
            </w:pPr>
            <w:r>
              <w:rPr>
                <w:rFonts w:ascii="Arial" w:cs="Arial" w:eastAsia="Arial" w:hAnsi="Arial"/>
                <w:sz w:val="18"/>
                <w:szCs w:val="18"/>
                <w:b w:val="1"/>
                <w:bCs w:val="1"/>
                <w:color w:val="auto"/>
              </w:rPr>
              <w:t>Ended September 30,</w:t>
            </w:r>
          </w:p>
        </w:tc>
        <w:tc>
          <w:tcPr>
            <w:tcW w:w="11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7660" w:type="dxa"/>
            <w:vAlign w:val="bottom"/>
            <w:tcBorders>
              <w:bottom w:val="single" w:sz="8" w:color="D5EAEA"/>
            </w:tcBorders>
            <w:vMerge w:val="continue"/>
          </w:tcPr>
          <w:p>
            <w:pPr>
              <w:spacing w:after="0"/>
              <w:rPr>
                <w:sz w:val="18"/>
                <w:szCs w:val="18"/>
                <w:color w:val="auto"/>
              </w:rPr>
            </w:pPr>
          </w:p>
        </w:tc>
        <w:tc>
          <w:tcPr>
            <w:tcW w:w="10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Net cash provided by/(used in):</w:t>
            </w: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Operating activities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(40,154)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67,964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(108,118)</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Investing activities</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24,163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(61,307)</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85,470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Financing activities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49,624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(49,967)</w:t>
            </w:r>
          </w:p>
        </w:tc>
        <w:tc>
          <w:tcPr>
            <w:tcW w:w="0" w:type="dxa"/>
            <w:vAlign w:val="bottom"/>
          </w:tcPr>
          <w:p>
            <w:pPr>
              <w:spacing w:after="0"/>
              <w:rPr>
                <w:sz w:val="1"/>
                <w:szCs w:val="1"/>
                <w:color w:val="auto"/>
              </w:rPr>
            </w:pPr>
          </w:p>
        </w:tc>
      </w:tr>
      <w:tr>
        <w:trPr>
          <w:trHeight w:val="210"/>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(16,334)</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56,281</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(72,615)</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Net cash used in operating activities was CHF 40.2 million for the nine months ended September 30, 2020, compared with net cash provided by operating activities of CHF 68.0 million for the nine months ended September 30, 2019. The change in cash used in operating activities for the nine months ended September 30, 2020, was due to the Company’s reporting net loss of CHF 42.4 million for the nine months ended September 30, 2020, compared with net income of CHF 64.9 million for the same period in 2019 driven by (i) a decrease of CHF 95.1 million in revenues, principally due to the recognition of a CHF 73.1 million upfront payment for a right-of-use license fee, CHF 1.5 million for research and development activities and a CHF 30 million payment for the first installment of the first milestone associated with our agreement with Lilly in the prior period compared to CHF 14.1 million in the current period and (ii) a CHF 7.8 million increase in research and development costs for the nine months ended September 30, 2020.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Net cash provided by investing activities was CHF 24.2 million for the nine months ended September 30, 2020, compared with net cash used in investing activities of CHF 61.3 million for the nine months ended September 30, 2019. A net of CHF 25.0 million worth of short-term financial assets matured for the nine months ended September 30, 2020, compared to a CHF 60.0 million increase in investments in short-term financial assets for the prior period. The Company additionally acquired CHF 0.8 million in additional fixed assets in the current period compared to CHF 1.3 million in the prior period.</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Net cash used in financing activities was CHF 0.3 million for the nine months ended September 30, 2020, compared with net cash provided by financing activities of CHF 49.6 million for the nine months ended September 30, 2019. The decrease of CHF 50.0 million is predominantly related to CHF 50.3 million received from Lilly for a convertible loan in the prior period that was not repeated in the current period.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do not expect to generate revenues from royalties based on product sales unless and until our partners obtain regulatory approval of, and successfully commercialize, our current or any future product candidates. As of September 30, 2020, we had cash and cash equivalents of CHF 176.6 million and short-term financial assets of CHF 70.0 million totaling CHF 246.6 million in liquidity. The decrease relative to December 31, 2019 is due to the receipt of a CHF 10 million milestone payment from Lilly offset by an increase in our operating</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ind w:right="140"/>
        <w:spacing w:after="0" w:line="275" w:lineRule="auto"/>
        <w:rPr>
          <w:sz w:val="20"/>
          <w:szCs w:val="20"/>
          <w:color w:val="auto"/>
        </w:rPr>
      </w:pPr>
      <w:r>
        <w:rPr>
          <w:rFonts w:ascii="Arial" w:cs="Arial" w:eastAsia="Arial" w:hAnsi="Arial"/>
          <w:sz w:val="17"/>
          <w:szCs w:val="17"/>
          <w:color w:val="auto"/>
        </w:rPr>
        <w:t>expenditures. This includes increases in our research and development spending on our major discovery and development programs and the strengthening of the Company’s infrastructure,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through the first quarter of 2024.</w:t>
      </w:r>
    </w:p>
    <w:p>
      <w:pPr>
        <w:spacing w:after="0" w:line="17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97"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During the three and nine months ended September 30, 2020,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JOBS Act Exemption</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On April 5, 2012, the Jumpstart our Business Startups Act of 2012, or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also cease to be an emerging growth company if (i) we have more than USD 1.07 billion in annual revenue, (ii) we are deemed to be a “large accelerated filer” under the rules of the SEC, which means the market value of our common shares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right="80"/>
        <w:spacing w:after="0" w:line="277" w:lineRule="auto"/>
        <w:rPr>
          <w:sz w:val="20"/>
          <w:szCs w:val="20"/>
          <w:color w:val="auto"/>
        </w:rPr>
      </w:pPr>
      <w:r>
        <w:rPr>
          <w:rFonts w:ascii="Arial" w:cs="Arial" w:eastAsia="Arial" w:hAnsi="Arial"/>
          <w:sz w:val="18"/>
          <w:szCs w:val="18"/>
          <w:color w:val="auto"/>
        </w:rPr>
        <w:t>that are held by non-affiliates exceeds USD 700 million as of the most recently completed second fiscal quarter, or (iii) we have issued more than USD 1.0 billion in non-convertible debt during the prior three-year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income/(loss) and adjusted earnings/(loss) per share when monitoring and evaluating our operational performance. Adjusted income/(loss) is defined as income/(loss) for the relevant period, as adjusted for certain items that we believe are not indicative of our ongoing operating performance. Adjusted earnings/(loss) per share is defined as adjusted income/(loss) for the relevant period divided by the weighted-average number of shares for such period.</w:t>
      </w:r>
    </w:p>
    <w:p>
      <w:pPr>
        <w:spacing w:after="0" w:line="18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AC Immune’s financial statements prepared in accordance with IFRS. The most directly comparable IFRS measure to these non-IFRS measures is net income/(loss). The following table reconciles net income/(loss) to adjusted income/(loss) and adjusted earnings/(loss) per share for the periods 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20" w:firstLine="1067"/>
        <w:spacing w:after="0" w:line="268" w:lineRule="auto"/>
        <w:rPr>
          <w:sz w:val="20"/>
          <w:szCs w:val="20"/>
          <w:color w:val="auto"/>
        </w:rPr>
      </w:pPr>
      <w:r>
        <w:rPr>
          <w:rFonts w:ascii="Arial" w:cs="Arial" w:eastAsia="Arial" w:hAnsi="Arial"/>
          <w:sz w:val="18"/>
          <w:szCs w:val="18"/>
          <w:b w:val="1"/>
          <w:bCs w:val="1"/>
          <w:color w:val="auto"/>
        </w:rPr>
        <w:t>in CHF thousands except for share and per share data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Non-cash share-based payments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losses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Effective interest expense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conversion feature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Income/(Loss)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diluted</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Weighted-average number of shares outstanding Adjusted earnings/(loss)–basic Weighted-average number of shares outstanding Adjusted earnings/(loss)–diluted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80" w:type="dxa"/>
            <w:vAlign w:val="bottom"/>
            <w:gridSpan w:val="2"/>
          </w:tcPr>
          <w:p>
            <w:pPr>
              <w:ind w:left="400"/>
              <w:spacing w:after="0"/>
              <w:rPr>
                <w:sz w:val="20"/>
                <w:szCs w:val="20"/>
                <w:color w:val="auto"/>
              </w:rPr>
            </w:pPr>
            <w:r>
              <w:rPr>
                <w:rFonts w:ascii="Arial" w:cs="Arial" w:eastAsia="Arial" w:hAnsi="Arial"/>
                <w:sz w:val="18"/>
                <w:szCs w:val="18"/>
                <w:b w:val="1"/>
                <w:bCs w:val="1"/>
                <w:color w:val="auto"/>
              </w:rPr>
              <w:t>For the Three Months</w:t>
            </w:r>
          </w:p>
        </w:tc>
        <w:tc>
          <w:tcPr>
            <w:tcW w:w="22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2680" w:type="dxa"/>
            <w:vAlign w:val="bottom"/>
            <w:gridSpan w:val="2"/>
          </w:tcPr>
          <w:p>
            <w:pPr>
              <w:ind w:left="400"/>
              <w:spacing w:after="0"/>
              <w:rPr>
                <w:sz w:val="20"/>
                <w:szCs w:val="20"/>
                <w:color w:val="auto"/>
              </w:rPr>
            </w:pPr>
            <w:r>
              <w:rPr>
                <w:rFonts w:ascii="Arial" w:cs="Arial" w:eastAsia="Arial" w:hAnsi="Arial"/>
                <w:sz w:val="18"/>
                <w:szCs w:val="18"/>
                <w:b w:val="1"/>
                <w:bCs w:val="1"/>
                <w:color w:val="auto"/>
              </w:rPr>
              <w:t>Ended September 30,</w:t>
            </w:r>
          </w:p>
        </w:tc>
        <w:tc>
          <w:tcPr>
            <w:tcW w:w="22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9"/>
              </w:rPr>
              <w:t>Ended September 30,</w:t>
            </w:r>
          </w:p>
        </w:tc>
      </w:tr>
      <w:tr>
        <w:trPr>
          <w:trHeight w:val="210"/>
        </w:trPr>
        <w:tc>
          <w:tcPr>
            <w:tcW w:w="14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209"/>
        </w:trPr>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(18,994)</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18,213</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(42,421)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64,888</w:t>
            </w:r>
          </w:p>
        </w:tc>
        <w:tc>
          <w:tcPr>
            <w:tcW w:w="20" w:type="dxa"/>
            <w:vAlign w:val="bottom"/>
          </w:tcPr>
          <w:p>
            <w:pPr>
              <w:spacing w:after="0"/>
              <w:rPr>
                <w:sz w:val="18"/>
                <w:szCs w:val="18"/>
                <w:color w:val="auto"/>
              </w:rPr>
            </w:pPr>
          </w:p>
        </w:tc>
      </w:tr>
      <w:tr>
        <w:trPr>
          <w:trHeight w:val="411"/>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1,233</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882</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3,079</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2,027</w:t>
            </w:r>
          </w:p>
        </w:tc>
      </w:tr>
      <w:tr>
        <w:trPr>
          <w:trHeight w:val="216"/>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187</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(272)</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686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r>
      <w:tr>
        <w:trPr>
          <w:trHeight w:val="216"/>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1,355</w:t>
            </w:r>
          </w:p>
        </w:tc>
      </w:tr>
      <w:tr>
        <w:trPr>
          <w:trHeight w:val="23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(4,542)</w:t>
            </w:r>
          </w:p>
        </w:tc>
      </w:tr>
      <w:tr>
        <w:trPr>
          <w:trHeight w:val="210"/>
        </w:trPr>
        <w:tc>
          <w:tcPr>
            <w:tcW w:w="14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(17,574)</w:t>
            </w:r>
          </w:p>
        </w:tc>
        <w:tc>
          <w:tcPr>
            <w:tcW w:w="12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18,823</w:t>
            </w: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(38,656)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64,014</w:t>
            </w:r>
          </w:p>
        </w:tc>
        <w:tc>
          <w:tcPr>
            <w:tcW w:w="20" w:type="dxa"/>
            <w:vAlign w:val="bottom"/>
          </w:tcPr>
          <w:p>
            <w:pPr>
              <w:spacing w:after="0"/>
              <w:rPr>
                <w:sz w:val="18"/>
                <w:szCs w:val="18"/>
                <w:color w:val="auto"/>
              </w:rPr>
            </w:pPr>
          </w:p>
        </w:tc>
      </w:tr>
      <w:tr>
        <w:trPr>
          <w:trHeight w:val="425"/>
        </w:trPr>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(0.26)</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0.25</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(0.59)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24"/>
                <w:szCs w:val="24"/>
                <w:color w:val="auto"/>
              </w:rPr>
            </w:pPr>
          </w:p>
        </w:tc>
      </w:tr>
      <w:tr>
        <w:trPr>
          <w:trHeight w:val="210"/>
        </w:trPr>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(0.26)</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0.25</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(0.59)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18"/>
                <w:szCs w:val="18"/>
                <w:color w:val="auto"/>
              </w:rPr>
            </w:pPr>
          </w:p>
        </w:tc>
      </w:tr>
      <w:tr>
        <w:trPr>
          <w:trHeight w:val="210"/>
        </w:trPr>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0.02</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0.01</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0.05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r>
      <w:tr>
        <w:trPr>
          <w:trHeight w:val="209"/>
        </w:trPr>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0.02</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0.01</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0.05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r>
      <w:tr>
        <w:trPr>
          <w:trHeight w:val="210"/>
        </w:trPr>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(0.24)</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0.26</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(0.54)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0.91</w:t>
            </w:r>
          </w:p>
        </w:tc>
        <w:tc>
          <w:tcPr>
            <w:tcW w:w="20" w:type="dxa"/>
            <w:vAlign w:val="bottom"/>
          </w:tcPr>
          <w:p>
            <w:pPr>
              <w:spacing w:after="0"/>
              <w:rPr>
                <w:sz w:val="18"/>
                <w:szCs w:val="18"/>
                <w:color w:val="auto"/>
              </w:rPr>
            </w:pPr>
          </w:p>
        </w:tc>
      </w:tr>
      <w:tr>
        <w:trPr>
          <w:trHeight w:val="210"/>
        </w:trPr>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(0.24)</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0.26</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(0.54)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0.91</w:t>
            </w:r>
          </w:p>
        </w:tc>
        <w:tc>
          <w:tcPr>
            <w:tcW w:w="20" w:type="dxa"/>
            <w:vAlign w:val="bottom"/>
          </w:tcPr>
          <w:p>
            <w:pPr>
              <w:spacing w:after="0"/>
              <w:rPr>
                <w:sz w:val="18"/>
                <w:szCs w:val="18"/>
                <w:color w:val="auto"/>
              </w:rPr>
            </w:pPr>
          </w:p>
        </w:tc>
      </w:tr>
      <w:tr>
        <w:trPr>
          <w:trHeight w:val="195"/>
        </w:trPr>
        <w:tc>
          <w:tcPr>
            <w:tcW w:w="146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71,925,009</w:t>
            </w:r>
          </w:p>
        </w:tc>
        <w:tc>
          <w:tcPr>
            <w:tcW w:w="12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71,822,884</w:t>
            </w:r>
          </w:p>
        </w:tc>
        <w:tc>
          <w:tcPr>
            <w:tcW w:w="12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71,888,273</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70,184,257</w:t>
            </w:r>
          </w:p>
        </w:tc>
        <w:tc>
          <w:tcPr>
            <w:tcW w:w="20" w:type="dxa"/>
            <w:vAlign w:val="bottom"/>
          </w:tcPr>
          <w:p>
            <w:pPr>
              <w:spacing w:after="0"/>
              <w:rPr>
                <w:sz w:val="16"/>
                <w:szCs w:val="16"/>
                <w:color w:val="auto"/>
              </w:rPr>
            </w:pPr>
          </w:p>
        </w:tc>
      </w:tr>
      <w:tr>
        <w:trPr>
          <w:trHeight w:val="23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71,925,009</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72,281,264</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71,888,273</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70,700,690</w:t>
            </w:r>
          </w:p>
        </w:tc>
      </w:tr>
    </w:tbl>
    <w:p>
      <w:pPr>
        <w:spacing w:after="0" w:line="228" w:lineRule="exact"/>
        <w:rPr>
          <w:sz w:val="20"/>
          <w:szCs w:val="20"/>
          <w:color w:val="auto"/>
        </w:rPr>
      </w:pPr>
    </w:p>
    <w:p>
      <w:pPr>
        <w:sectPr>
          <w:pgSz w:w="11900" w:h="16838" w:orient="portrait"/>
          <w:cols w:equalWidth="0" w:num="2">
            <w:col w:w="5860" w:space="440"/>
            <w:col w:w="4940"/>
          </w:cols>
          <w:pgMar w:left="320" w:top="584" w:right="339" w:bottom="1440" w:gutter="0" w:footer="0" w:header="0"/>
          <w:type w:val="continuous"/>
        </w:sectPr>
      </w:pPr>
    </w:p>
    <w:p>
      <w:pPr>
        <w:ind w:left="660" w:right="22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50"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97"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interest expense for the period relates to the accretion of the Company’s convertible loan in accordance with the effective interest method.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31" w:name="page32"/>
    <w:bookmarkEnd w:id="31"/>
    <w:p>
      <w:pPr>
        <w:ind w:right="80" w:firstLine="324"/>
        <w:spacing w:after="0" w:line="290" w:lineRule="auto"/>
        <w:rPr>
          <w:sz w:val="20"/>
          <w:szCs w:val="20"/>
          <w:color w:val="auto"/>
        </w:rPr>
      </w:pPr>
      <w:r>
        <w:rPr>
          <w:rFonts w:ascii="Arial" w:cs="Arial" w:eastAsia="Arial" w:hAnsi="Arial"/>
          <w:sz w:val="16"/>
          <w:szCs w:val="16"/>
          <w:color w:val="auto"/>
        </w:rPr>
        <w:t>Adjustments for the three and nine months ended September 30, 2020, were CHF 1.4 million and CHF 3.8 million decreases in net losses compared with an increase to net income and a decrease to net income of CHF 0.6 million and CHF 0.9 million for the comparable periods in 2019, respectively. The Company recorded CHF 1.2 million and CHF 3.1 million for the three and nine months, respectively, for share-based compensation expenses. There were foreign currency remeasurement losses of less than CHF 0.2 million and CHF 0.7 million, respectively, predominantly related to the movement in our forward contract settled in Q2 2020. For the three months ended September 30, 2019, the Company recorded CHF 0.9 million for share-based compensation expenses. For the nine months ended September 30, 2019, the Company recorded CHF 2.0 million for share-based compensation expense. Additionally, the Company recorded CHF 1.4 million for amortization of effective interest and a CHF 4.5 million gain for the change in fair value of the liability related to the conversion feature for the nine months ended September 30, 2019. These were not repeated in the current period.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including: the impact of Covid-19 on our business, suppliers, patients and employees and any other impact of Covid-19. These forward-looking statements speak only as of the date of this discussion and analysis and are subject to a number of risks, uncertainties and assumptions described under the sections in our annual report on Form 20-F entitled “Risk Factors” and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such as the global pandemic originating with Covid-19,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left="10040"/>
        <w:spacing w:after="0"/>
        <w:rPr>
          <w:sz w:val="20"/>
          <w:szCs w:val="20"/>
          <w:color w:val="auto"/>
        </w:rPr>
      </w:pPr>
      <w:r>
        <w:rPr>
          <w:rFonts w:ascii="Arial" w:cs="Arial" w:eastAsia="Arial" w:hAnsi="Arial"/>
          <w:sz w:val="21"/>
          <w:szCs w:val="2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774190" cy="557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375"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 Immune Reports Q3 2020 Financial Results and Provides Business Update</w:t>
      </w:r>
    </w:p>
    <w:p>
      <w:pPr>
        <w:spacing w:after="0" w:line="265" w:lineRule="exact"/>
        <w:rPr>
          <w:sz w:val="20"/>
          <w:szCs w:val="20"/>
          <w:color w:val="auto"/>
        </w:rPr>
      </w:pPr>
    </w:p>
    <w:p>
      <w:pPr>
        <w:ind w:left="660" w:hanging="328"/>
        <w:spacing w:after="0" w:line="246" w:lineRule="auto"/>
        <w:tabs>
          <w:tab w:leader="none" w:pos="660" w:val="left"/>
        </w:tabs>
        <w:numPr>
          <w:ilvl w:val="0"/>
          <w:numId w:val="11"/>
        </w:numPr>
        <w:rPr>
          <w:rFonts w:ascii="Arial" w:cs="Arial" w:eastAsia="Arial" w:hAnsi="Arial"/>
          <w:sz w:val="18"/>
          <w:szCs w:val="18"/>
          <w:color w:val="C00000"/>
        </w:rPr>
      </w:pPr>
      <w:r>
        <w:rPr>
          <w:rFonts w:ascii="Arial" w:cs="Arial" w:eastAsia="Arial" w:hAnsi="Arial"/>
          <w:sz w:val="18"/>
          <w:szCs w:val="18"/>
          <w:color w:val="auto"/>
        </w:rPr>
        <w:t>Phase 1 trial completed in Lilly Morphomer™ Tau partnership program with plans to evaluate candidates in Alzheimer’s disease and NeuroOrphan indications</w:t>
      </w:r>
    </w:p>
    <w:p>
      <w:pPr>
        <w:spacing w:after="0" w:line="183" w:lineRule="exact"/>
        <w:rPr>
          <w:rFonts w:ascii="Arial" w:cs="Arial" w:eastAsia="Arial" w:hAnsi="Arial"/>
          <w:sz w:val="18"/>
          <w:szCs w:val="18"/>
          <w:color w:val="C00000"/>
        </w:rPr>
      </w:pPr>
    </w:p>
    <w:p>
      <w:pPr>
        <w:jc w:val="both"/>
        <w:ind w:left="660" w:hanging="328"/>
        <w:spacing w:after="0"/>
        <w:tabs>
          <w:tab w:leader="none" w:pos="660" w:val="left"/>
        </w:tabs>
        <w:numPr>
          <w:ilvl w:val="0"/>
          <w:numId w:val="11"/>
        </w:numPr>
        <w:rPr>
          <w:rFonts w:ascii="Arial" w:cs="Arial" w:eastAsia="Arial" w:hAnsi="Arial"/>
          <w:sz w:val="18"/>
          <w:szCs w:val="18"/>
          <w:color w:val="C00000"/>
        </w:rPr>
      </w:pPr>
      <w:r>
        <w:rPr>
          <w:rFonts w:ascii="Arial" w:cs="Arial" w:eastAsia="Arial" w:hAnsi="Arial"/>
          <w:sz w:val="18"/>
          <w:szCs w:val="18"/>
          <w:color w:val="auto"/>
        </w:rPr>
        <w:t>First-in-class TDP-43 therapeutic and diagnostic programs advance as the target’s role in a newly defined form of age-related dementia, limbic-predominant age-related TDP-43 encephalopathy (LATE), gains prominence, with a highly competitive grant awarded</w:t>
      </w:r>
    </w:p>
    <w:p>
      <w:pPr>
        <w:spacing w:after="0" w:line="189" w:lineRule="exact"/>
        <w:rPr>
          <w:rFonts w:ascii="Arial" w:cs="Arial" w:eastAsia="Arial" w:hAnsi="Arial"/>
          <w:sz w:val="18"/>
          <w:szCs w:val="18"/>
          <w:color w:val="C00000"/>
        </w:rPr>
      </w:pPr>
    </w:p>
    <w:p>
      <w:pPr>
        <w:ind w:left="660" w:hanging="328"/>
        <w:spacing w:after="0"/>
        <w:tabs>
          <w:tab w:leader="none" w:pos="660" w:val="left"/>
        </w:tabs>
        <w:numPr>
          <w:ilvl w:val="0"/>
          <w:numId w:val="11"/>
        </w:numPr>
        <w:rPr>
          <w:rFonts w:ascii="Arial" w:cs="Arial" w:eastAsia="Arial" w:hAnsi="Arial"/>
          <w:sz w:val="18"/>
          <w:szCs w:val="18"/>
          <w:color w:val="C00000"/>
        </w:rPr>
      </w:pPr>
      <w:r>
        <w:rPr>
          <w:rFonts w:ascii="Arial" w:cs="Arial" w:eastAsia="Arial" w:hAnsi="Arial"/>
          <w:sz w:val="18"/>
          <w:szCs w:val="18"/>
          <w:color w:val="auto"/>
        </w:rPr>
        <w:t>All clinical and preclinical programs remain on track to meet all milestones expected in 2020</w:t>
      </w:r>
    </w:p>
    <w:p>
      <w:pPr>
        <w:spacing w:after="0" w:line="211" w:lineRule="exact"/>
        <w:rPr>
          <w:rFonts w:ascii="Arial" w:cs="Arial" w:eastAsia="Arial" w:hAnsi="Arial"/>
          <w:sz w:val="18"/>
          <w:szCs w:val="18"/>
          <w:color w:val="C00000"/>
        </w:rPr>
      </w:pPr>
    </w:p>
    <w:p>
      <w:pPr>
        <w:ind w:left="660" w:hanging="328"/>
        <w:spacing w:after="0"/>
        <w:tabs>
          <w:tab w:leader="none" w:pos="660" w:val="left"/>
        </w:tabs>
        <w:numPr>
          <w:ilvl w:val="0"/>
          <w:numId w:val="11"/>
        </w:numPr>
        <w:rPr>
          <w:rFonts w:ascii="Arial" w:cs="Arial" w:eastAsia="Arial" w:hAnsi="Arial"/>
          <w:sz w:val="18"/>
          <w:szCs w:val="18"/>
          <w:color w:val="C00000"/>
        </w:rPr>
      </w:pPr>
      <w:r>
        <w:rPr>
          <w:rFonts w:ascii="Arial" w:cs="Arial" w:eastAsia="Arial" w:hAnsi="Arial"/>
          <w:sz w:val="18"/>
          <w:szCs w:val="18"/>
          <w:color w:val="auto"/>
        </w:rPr>
        <w:t>CHF 246.6 million in cash ensures operations are fully financed through Q1 2024</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Lausanne, Switzerland, November 13, 2020 </w:t>
      </w:r>
      <w:r>
        <w:rPr>
          <w:rFonts w:ascii="Arial" w:cs="Arial" w:eastAsia="Arial" w:hAnsi="Arial"/>
          <w:sz w:val="18"/>
          <w:szCs w:val="18"/>
          <w:color w:val="auto"/>
        </w:rPr>
        <w:t>– AC Immune SA (NASDAQ: ACIU), a Swiss-based,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a broad pipeline focused on neurodegenerative diseases, today announced financial results for Q3 2020 and provided a business update. The Company ended the third quarter with CHF 246.6 million in cash, which ensures operations are fully financed through Q1 2024 allowing the Company to advance our clinical and preclinical projects to key value inflection points while investing further in our diverse pipeline.</w:t>
      </w:r>
    </w:p>
    <w:p>
      <w:pPr>
        <w:spacing w:after="0" w:line="16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“AC Immune continued to advance its world-leading pipeline in Q3 2020,</w:t>
      </w:r>
      <w:r>
        <w:rPr>
          <w:rFonts w:ascii="Arial" w:cs="Arial" w:eastAsia="Arial" w:hAnsi="Arial"/>
          <w:sz w:val="18"/>
          <w:szCs w:val="18"/>
          <w:b w:val="1"/>
          <w:bCs w:val="1"/>
          <w:color w:val="auto"/>
        </w:rPr>
        <w:t xml:space="preserve"> </w:t>
      </w:r>
      <w:r>
        <w:rPr>
          <w:rFonts w:ascii="Arial" w:cs="Arial" w:eastAsia="Arial" w:hAnsi="Arial"/>
          <w:sz w:val="18"/>
          <w:szCs w:val="18"/>
          <w:color w:val="auto"/>
        </w:rPr>
        <w:t>underpinned by our proprietary discovery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solid financial position. Our proven business model of early development and partnering of validated therapeutic and diagnostic candidates has made us a global leader in precision medicine for neurodegenerative diseases. All clinical and preclinical milestones expected this year remain on track with key data across our Alzheimer’s disease (AD) vaccines, alpha-synuclein and NLRP3</w:t>
      </w:r>
      <w:r>
        <w:rPr>
          <w:rFonts w:ascii="Arial" w:cs="Arial" w:eastAsia="Arial" w:hAnsi="Arial"/>
          <w:sz w:val="18"/>
          <w:szCs w:val="18"/>
          <w:i w:val="1"/>
          <w:iCs w:val="1"/>
          <w:color w:val="auto"/>
        </w:rPr>
        <w:t>-</w:t>
      </w:r>
      <w:r>
        <w:rPr>
          <w:rFonts w:ascii="Arial" w:cs="Arial" w:eastAsia="Arial" w:hAnsi="Arial"/>
          <w:sz w:val="18"/>
          <w:szCs w:val="18"/>
          <w:color w:val="auto"/>
        </w:rPr>
        <w:t>ASC inflammasome programs this year – with the latter becoming a focus for neurodegenerative diseases and non-CNS applications. Together these milestones highlight progress in our late stage clinical programs and focus in NeuroOrphan indications with multiple near and mid-term catalysts.”</w:t>
      </w:r>
    </w:p>
    <w:p>
      <w:pPr>
        <w:spacing w:after="0" w:line="19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strength of the Company’s diversified approach continues to be demonstrated with the announcement today that the Phase 1 study of the small molecule Morphomer™ Tau aggregation inhibitor, ACI-3024 in healthy young, elderly and Japanese volunteers, has been</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completed. In the study, which was conducted in partnership with Eli Lilly and Company, single and multiple dosing with the Morphomer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Tau ACI-3024 resulted in a dose-dependent exposure and brain penetration by achieving the desired levels of ACI-3024 in the cerebrospinal fluid. The program will be expanded to NeuroOrphan indications and ACI-3024 will be further evaluated for efficacy in models of rare Tauopathies. Continued candidate characterization across the research program has also identified new and highly differentiated candidates with excellent cerebrospinal fluid exposure and selectivity for pathological aggregated Tau. These will be broadly developed in Tau-dependent neurodegenerative diseases.</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3" w:name="page34"/>
    <w:bookmarkEnd w:id="33"/>
    <w:p>
      <w:pPr>
        <w:jc w:val="both"/>
        <w:spacing w:after="0" w:line="244" w:lineRule="auto"/>
        <w:rPr>
          <w:sz w:val="20"/>
          <w:szCs w:val="20"/>
          <w:color w:val="auto"/>
        </w:rPr>
      </w:pPr>
      <w:r>
        <w:rPr>
          <w:rFonts w:ascii="Arial" w:cs="Arial" w:eastAsia="Arial" w:hAnsi="Arial"/>
          <w:sz w:val="18"/>
          <w:szCs w:val="18"/>
          <w:b w:val="1"/>
          <w:bCs w:val="1"/>
          <w:color w:val="auto"/>
        </w:rPr>
        <w:t xml:space="preserve">Prof. Pfeifer commented: </w:t>
      </w:r>
      <w:r>
        <w:rPr>
          <w:rFonts w:ascii="Arial" w:cs="Arial" w:eastAsia="Arial" w:hAnsi="Arial"/>
          <w:sz w:val="18"/>
          <w:szCs w:val="18"/>
          <w:color w:val="auto"/>
        </w:rPr>
        <w:t>“The pharmacokinetic observations from the Phase 1 trial in our Lilly Morphomer™ Tau partnership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show the first evidence of a Morphomer™ Tau entity meeting the target CNS concentration in humans. Compared to other Tau-targeting molecules in development, the key potential differentiating factor is that our Morphomer™ Tau molecules have been shown to act intracellularly to address Tau pathology, potentially saving affected neurons that otherwise might die. Our Morphomer™ Tau program is the most advanced orally available small molecule therapeutic candidate of its kind in development.”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2020 Research &amp; Development Updates and Highlights:</w:t>
      </w:r>
    </w:p>
    <w:p>
      <w:pPr>
        <w:spacing w:after="0" w:line="220" w:lineRule="exact"/>
        <w:rPr>
          <w:sz w:val="20"/>
          <w:szCs w:val="20"/>
          <w:color w:val="auto"/>
        </w:rPr>
      </w:pPr>
    </w:p>
    <w:p>
      <w:pPr>
        <w:jc w:val="both"/>
        <w:ind w:left="980" w:hanging="324"/>
        <w:spacing w:after="0" w:line="238" w:lineRule="auto"/>
        <w:tabs>
          <w:tab w:leader="none" w:pos="980" w:val="left"/>
        </w:tabs>
        <w:numPr>
          <w:ilvl w:val="0"/>
          <w:numId w:val="12"/>
        </w:numPr>
        <w:rPr>
          <w:rFonts w:ascii="Arial" w:cs="Arial" w:eastAsia="Arial" w:hAnsi="Arial"/>
          <w:sz w:val="18"/>
          <w:szCs w:val="18"/>
          <w:color w:val="C00000"/>
        </w:rPr>
      </w:pPr>
      <w:r>
        <w:rPr>
          <w:rFonts w:ascii="Arial" w:cs="Arial" w:eastAsia="Arial" w:hAnsi="Arial"/>
          <w:sz w:val="18"/>
          <w:szCs w:val="18"/>
          <w:u w:val="single" w:color="auto"/>
          <w:color w:val="0000FF"/>
        </w:rPr>
        <w:t>The next phase of the strategic partnership</w:t>
      </w:r>
      <w:r>
        <w:rPr>
          <w:rFonts w:ascii="Arial" w:cs="Arial" w:eastAsia="Arial" w:hAnsi="Arial"/>
          <w:sz w:val="18"/>
          <w:szCs w:val="18"/>
          <w:color w:val="0000FF"/>
        </w:rPr>
        <w:t xml:space="preserve"> </w:t>
      </w:r>
      <w:r>
        <w:rPr>
          <w:rFonts w:ascii="Arial" w:cs="Arial" w:eastAsia="Arial" w:hAnsi="Arial"/>
          <w:sz w:val="18"/>
          <w:szCs w:val="18"/>
          <w:color w:val="000000"/>
        </w:rPr>
        <w:t>between AC Immune and WuXi was unveiled with plans to accelerate advancement</w:t>
      </w:r>
      <w:r>
        <w:rPr>
          <w:rFonts w:ascii="Arial" w:cs="Arial" w:eastAsia="Arial" w:hAnsi="Arial"/>
          <w:sz w:val="18"/>
          <w:szCs w:val="18"/>
          <w:color w:val="0000FF"/>
        </w:rPr>
        <w:t xml:space="preserve"> </w:t>
      </w:r>
      <w:r>
        <w:rPr>
          <w:rFonts w:ascii="Arial" w:cs="Arial" w:eastAsia="Arial" w:hAnsi="Arial"/>
          <w:sz w:val="18"/>
          <w:szCs w:val="18"/>
          <w:color w:val="000000"/>
        </w:rPr>
        <w:t>of AC Immune’s TDP-43 antibody into clinical development. A particular focus is developing the clinical antibody candidate to ensure it has high-affinity for TDP-43 and is capable of preventing the intercellular spread of toxic species. With no disease modifying therapies currently available that target TDP-43 there is significant unmet need and market potential</w:t>
      </w:r>
    </w:p>
    <w:p>
      <w:pPr>
        <w:spacing w:after="0" w:line="191" w:lineRule="exact"/>
        <w:rPr>
          <w:rFonts w:ascii="Arial" w:cs="Arial" w:eastAsia="Arial" w:hAnsi="Arial"/>
          <w:sz w:val="18"/>
          <w:szCs w:val="18"/>
          <w:color w:val="C00000"/>
        </w:rPr>
      </w:pPr>
    </w:p>
    <w:p>
      <w:pPr>
        <w:jc w:val="both"/>
        <w:ind w:left="980" w:hanging="324"/>
        <w:spacing w:after="0" w:line="238" w:lineRule="auto"/>
        <w:tabs>
          <w:tab w:leader="none" w:pos="980" w:val="left"/>
        </w:tabs>
        <w:numPr>
          <w:ilvl w:val="0"/>
          <w:numId w:val="12"/>
        </w:numPr>
        <w:rPr>
          <w:rFonts w:ascii="Arial" w:cs="Arial" w:eastAsia="Arial" w:hAnsi="Arial"/>
          <w:sz w:val="18"/>
          <w:szCs w:val="18"/>
          <w:color w:val="C00000"/>
        </w:rPr>
      </w:pPr>
      <w:r>
        <w:rPr>
          <w:rFonts w:ascii="Arial" w:cs="Arial" w:eastAsia="Arial" w:hAnsi="Arial"/>
          <w:sz w:val="18"/>
          <w:szCs w:val="18"/>
          <w:u w:val="single" w:color="auto"/>
          <w:color w:val="0000FF"/>
        </w:rPr>
        <w:t>A highly competitive European Union grant was awarded</w:t>
      </w:r>
      <w:r>
        <w:rPr>
          <w:rFonts w:ascii="Arial" w:cs="Arial" w:eastAsia="Arial" w:hAnsi="Arial"/>
          <w:sz w:val="18"/>
          <w:szCs w:val="18"/>
          <w:color w:val="0000FF"/>
        </w:rPr>
        <w:t xml:space="preserve"> </w:t>
      </w:r>
      <w:r>
        <w:rPr>
          <w:rFonts w:ascii="Arial" w:cs="Arial" w:eastAsia="Arial" w:hAnsi="Arial"/>
          <w:sz w:val="18"/>
          <w:szCs w:val="18"/>
          <w:color w:val="000000"/>
        </w:rPr>
        <w:t>to support the partnership between AC Immune and the EU Joint</w:t>
      </w:r>
      <w:r>
        <w:rPr>
          <w:rFonts w:ascii="Arial" w:cs="Arial" w:eastAsia="Arial" w:hAnsi="Arial"/>
          <w:sz w:val="18"/>
          <w:szCs w:val="18"/>
          <w:color w:val="0000FF"/>
        </w:rPr>
        <w:t xml:space="preserve"> </w:t>
      </w:r>
      <w:r>
        <w:rPr>
          <w:rFonts w:ascii="Arial" w:cs="Arial" w:eastAsia="Arial" w:hAnsi="Arial"/>
          <w:sz w:val="18"/>
          <w:szCs w:val="18"/>
          <w:color w:val="000000"/>
        </w:rPr>
        <w:t>Programme – Neurodegenerative Disease Research (JPND) ImageTDP-43 consortium to accelerate development of the Company’s first-in-class TDP-43 positron emission tomography (PET) tracer. Advancement of the tracer may enable the development of precision medicine approaches for the large and growing proportion of patients with TDP-43-related pathologies, such as patients with LATE and AD</w:t>
      </w:r>
    </w:p>
    <w:p>
      <w:pPr>
        <w:spacing w:after="0" w:line="215" w:lineRule="exact"/>
        <w:rPr>
          <w:rFonts w:ascii="Arial" w:cs="Arial" w:eastAsia="Arial" w:hAnsi="Arial"/>
          <w:sz w:val="18"/>
          <w:szCs w:val="18"/>
          <w:color w:val="C00000"/>
        </w:rPr>
      </w:pPr>
    </w:p>
    <w:p>
      <w:pPr>
        <w:jc w:val="both"/>
        <w:ind w:left="980" w:hanging="324"/>
        <w:spacing w:after="0" w:line="235" w:lineRule="auto"/>
        <w:tabs>
          <w:tab w:leader="none" w:pos="980" w:val="left"/>
        </w:tabs>
        <w:numPr>
          <w:ilvl w:val="0"/>
          <w:numId w:val="12"/>
        </w:numPr>
        <w:rPr>
          <w:rFonts w:ascii="Arial" w:cs="Arial" w:eastAsia="Arial" w:hAnsi="Arial"/>
          <w:sz w:val="20"/>
          <w:szCs w:val="20"/>
          <w:color w:val="C00000"/>
        </w:rPr>
      </w:pPr>
      <w:r>
        <w:rPr>
          <w:rFonts w:ascii="Arial" w:cs="Arial" w:eastAsia="Arial" w:hAnsi="Arial"/>
          <w:sz w:val="18"/>
          <w:szCs w:val="18"/>
          <w:u w:val="single" w:color="auto"/>
          <w:color w:val="0000FF"/>
        </w:rPr>
        <w:t>Top line results from a Phase 2 trial of the anti-Tau antibody</w:t>
      </w:r>
      <w:r>
        <w:rPr>
          <w:rFonts w:ascii="Arial" w:cs="Arial" w:eastAsia="Arial" w:hAnsi="Arial"/>
          <w:sz w:val="18"/>
          <w:szCs w:val="18"/>
          <w:color w:val="0000FF"/>
        </w:rPr>
        <w:t xml:space="preserve"> </w:t>
      </w:r>
      <w:r>
        <w:rPr>
          <w:rFonts w:ascii="Arial" w:cs="Arial" w:eastAsia="Arial" w:hAnsi="Arial"/>
          <w:sz w:val="18"/>
          <w:szCs w:val="18"/>
          <w:color w:val="000000"/>
        </w:rPr>
        <w:t>in early (prodromal to mild) AD showed that semorinemab did not</w:t>
      </w:r>
      <w:r>
        <w:rPr>
          <w:rFonts w:ascii="Arial" w:cs="Arial" w:eastAsia="Arial" w:hAnsi="Arial"/>
          <w:sz w:val="18"/>
          <w:szCs w:val="18"/>
          <w:color w:val="0000FF"/>
        </w:rPr>
        <w:t xml:space="preserve"> </w:t>
      </w:r>
      <w:r>
        <w:rPr>
          <w:rFonts w:ascii="Arial" w:cs="Arial" w:eastAsia="Arial" w:hAnsi="Arial"/>
          <w:sz w:val="18"/>
          <w:szCs w:val="18"/>
          <w:color w:val="000000"/>
        </w:rPr>
        <w:t>meet the co-primary efficacy endpoint or two secondary endpoints in the Tauriel study; the primary safety endpoint was met. Additional data presented at the CTAD 2020 Alzheimer Congress by our partner, Genentech, a member of the Roche group, confirm that semorinemab did not slow clinical progression or Tau accumulation relative to placebo with any of the three different doses tested. Dose-dependent increases were seen in serum pharmacokinetics and there was clear and consistent evidence of plasma target engagement. Preliminary analysis continues to suggest that semorinemab has an acceptable and well-tolerated safety profile. A second Phase 2 (Lauriet) study of semorinemab in patients with moderate AD remains ongoing</w:t>
      </w:r>
    </w:p>
    <w:p>
      <w:pPr>
        <w:spacing w:after="0" w:line="259" w:lineRule="exact"/>
        <w:rPr>
          <w:rFonts w:ascii="Arial" w:cs="Arial" w:eastAsia="Arial" w:hAnsi="Arial"/>
          <w:sz w:val="20"/>
          <w:szCs w:val="20"/>
          <w:color w:val="C00000"/>
        </w:rPr>
      </w:pPr>
    </w:p>
    <w:p>
      <w:pPr>
        <w:jc w:val="both"/>
        <w:ind w:left="980" w:hanging="324"/>
        <w:spacing w:after="0" w:line="235" w:lineRule="auto"/>
        <w:tabs>
          <w:tab w:leader="none" w:pos="980" w:val="left"/>
        </w:tabs>
        <w:numPr>
          <w:ilvl w:val="0"/>
          <w:numId w:val="12"/>
        </w:numPr>
        <w:rPr>
          <w:rFonts w:ascii="Arial" w:cs="Arial" w:eastAsia="Arial" w:hAnsi="Arial"/>
          <w:sz w:val="20"/>
          <w:szCs w:val="20"/>
          <w:color w:val="C00000"/>
        </w:rPr>
      </w:pPr>
      <w:r>
        <w:rPr>
          <w:rFonts w:ascii="Arial" w:cs="Arial" w:eastAsia="Arial" w:hAnsi="Arial"/>
          <w:sz w:val="18"/>
          <w:szCs w:val="18"/>
          <w:u w:val="single" w:color="auto"/>
          <w:color w:val="0000FF"/>
        </w:rPr>
        <w:t>Initiation of investigational new drug (IND)-enabling studies</w:t>
      </w:r>
      <w:r>
        <w:rPr>
          <w:rFonts w:ascii="Arial" w:cs="Arial" w:eastAsia="Arial" w:hAnsi="Arial"/>
          <w:sz w:val="18"/>
          <w:szCs w:val="18"/>
          <w:color w:val="0000FF"/>
        </w:rPr>
        <w:t xml:space="preserve"> </w:t>
      </w:r>
      <w:r>
        <w:rPr>
          <w:rFonts w:ascii="Arial" w:cs="Arial" w:eastAsia="Arial" w:hAnsi="Arial"/>
          <w:sz w:val="18"/>
          <w:szCs w:val="18"/>
          <w:color w:val="000000"/>
        </w:rPr>
        <w:t>for AC Immune’s first-in-class therapeutic antibody targeting TDP-43.</w:t>
      </w:r>
      <w:r>
        <w:rPr>
          <w:rFonts w:ascii="Arial" w:cs="Arial" w:eastAsia="Arial" w:hAnsi="Arial"/>
          <w:sz w:val="18"/>
          <w:szCs w:val="18"/>
          <w:color w:val="0000FF"/>
        </w:rPr>
        <w:t xml:space="preserve"> </w:t>
      </w:r>
      <w:r>
        <w:rPr>
          <w:rFonts w:ascii="Arial" w:cs="Arial" w:eastAsia="Arial" w:hAnsi="Arial"/>
          <w:sz w:val="18"/>
          <w:szCs w:val="18"/>
          <w:color w:val="000000"/>
        </w:rPr>
        <w:t xml:space="preserve">The anti-TDP-43 antibody is the first therapeutic candidate shown to mitigate TDP-43 neuropathology </w:t>
      </w:r>
      <w:r>
        <w:rPr>
          <w:rFonts w:ascii="Arial" w:cs="Arial" w:eastAsia="Arial" w:hAnsi="Arial"/>
          <w:sz w:val="18"/>
          <w:szCs w:val="18"/>
          <w:i w:val="1"/>
          <w:iCs w:val="1"/>
          <w:color w:val="000000"/>
        </w:rPr>
        <w:t>in vivo</w:t>
      </w:r>
      <w:r>
        <w:rPr>
          <w:rFonts w:ascii="Arial" w:cs="Arial" w:eastAsia="Arial" w:hAnsi="Arial"/>
          <w:sz w:val="18"/>
          <w:szCs w:val="18"/>
          <w:color w:val="000000"/>
        </w:rPr>
        <w:t xml:space="preserve"> and the Company plans to develop the antibody for the treatment of NeuroOrphan indications. Effectively slowing or stopping the spread of TDP-43 pathology throughout the brain could provide the first antibody-based TDP-43 targeted therapeutic approach for treating conditions such as LATE, amyotrophic lateral sclerosis (ALS) and frontotemporal lobar degeneration with TDP-43 pathology, representing 50 per cent of all FTLD cases.</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Update on Covid-19</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 Immune remains in continuous contact with its partners and other important stakeholders, including the Swiss government, trial investigators and contractors, and at this stage the Company is not modifying guidance with respect to the multiple clinical and preclinical data readouts anticipated this year. AC Immune will continue to keep the market apprised of any new developments or information that may impact clinical timelines.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Statements for the Three and Nine Months Ended September 30, 2020</w:t>
      </w:r>
    </w:p>
    <w:p>
      <w:pPr>
        <w:spacing w:after="0" w:line="198" w:lineRule="exact"/>
        <w:rPr>
          <w:sz w:val="20"/>
          <w:szCs w:val="20"/>
          <w:color w:val="auto"/>
        </w:rPr>
      </w:pPr>
    </w:p>
    <w:p>
      <w:pPr>
        <w:ind w:left="660" w:right="80" w:hanging="328"/>
        <w:spacing w:after="0"/>
        <w:tabs>
          <w:tab w:leader="none" w:pos="660" w:val="left"/>
        </w:tabs>
        <w:numPr>
          <w:ilvl w:val="0"/>
          <w:numId w:val="13"/>
        </w:numPr>
        <w:rPr>
          <w:rFonts w:ascii="Arial" w:cs="Arial" w:eastAsia="Arial" w:hAnsi="Arial"/>
          <w:sz w:val="18"/>
          <w:szCs w:val="18"/>
          <w:color w:val="C00000"/>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for the three and nine months ended September 30, 2020 totaled CHF 1.1 million and CHF 14.5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This represents a decrease of CHF 32.1 million and CHF 95.1 million over the comparable periods in 2019. The decrease for the three months ended September 30, 2020 relates to the prior recognition of CHF 30 million for the first installment of the first milestone achieved with Lilly and CHF 2.2 million for the initiation of a Phase 2 trial of Tau PET tracer with Life Molecular Imaging that did not repeat in the current quarter. The decrease for the nine months ended September 30, 2020 predominantly relates to CHF 104.5 million recognized in the prior period associated with our license agreement with Lilly offset by a recognition of a CHF 10 million milestone payment and CHF 4.1 million for research and development activities performed in the current period</w:t>
      </w:r>
    </w:p>
    <w:p>
      <w:pPr>
        <w:spacing w:after="0" w:line="171" w:lineRule="exact"/>
        <w:rPr>
          <w:rFonts w:ascii="Arial" w:cs="Arial" w:eastAsia="Arial" w:hAnsi="Arial"/>
          <w:sz w:val="18"/>
          <w:szCs w:val="18"/>
          <w:color w:val="C00000"/>
        </w:rPr>
      </w:pPr>
    </w:p>
    <w:p>
      <w:pPr>
        <w:ind w:left="660" w:hanging="328"/>
        <w:spacing w:after="0"/>
        <w:tabs>
          <w:tab w:leader="none" w:pos="660" w:val="left"/>
        </w:tabs>
        <w:numPr>
          <w:ilvl w:val="0"/>
          <w:numId w:val="13"/>
        </w:numPr>
        <w:rPr>
          <w:rFonts w:ascii="Arial" w:cs="Arial" w:eastAsia="Arial" w:hAnsi="Arial"/>
          <w:sz w:val="18"/>
          <w:szCs w:val="18"/>
          <w:color w:val="C00000"/>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For the three and nine months ended September 30, 2020, R&amp;D expenses increased by CHF 4.0 million</w:t>
      </w:r>
    </w:p>
    <w:p>
      <w:pPr>
        <w:spacing w:after="0" w:line="17" w:lineRule="exact"/>
        <w:rPr>
          <w:rFonts w:ascii="Arial" w:cs="Arial" w:eastAsia="Arial" w:hAnsi="Arial"/>
          <w:sz w:val="18"/>
          <w:szCs w:val="18"/>
          <w:color w:val="C00000"/>
        </w:rPr>
      </w:pPr>
    </w:p>
    <w:p>
      <w:pPr>
        <w:ind w:left="660" w:right="80"/>
        <w:spacing w:after="0" w:line="237" w:lineRule="auto"/>
        <w:rPr>
          <w:rFonts w:ascii="Arial" w:cs="Arial" w:eastAsia="Arial" w:hAnsi="Arial"/>
          <w:sz w:val="18"/>
          <w:szCs w:val="18"/>
          <w:color w:val="C00000"/>
        </w:rPr>
      </w:pPr>
      <w:r>
        <w:rPr>
          <w:rFonts w:ascii="Arial" w:cs="Arial" w:eastAsia="Arial" w:hAnsi="Arial"/>
          <w:sz w:val="18"/>
          <w:szCs w:val="18"/>
          <w:color w:val="auto"/>
        </w:rPr>
        <w:t>(+35.2%) and CHF 7.8 million (+21.7%) to CHF 15.5 million and CHF 43.5 million, respectively. For R&amp;D expenses directly allocated to R&amp;D programs, the Company increased investments in its non-AD programs predominantly led by increases in ACI-24 in Down syndrome related to scaling up activities for a Phase 2 clinical study, investments to advance our alpha-synuclein projects and the development of our anti-TDP-43 antibody with the initiation of IND-enabling studies. For AD, the Company’s expenditures for ACI-24 in AD decreased due to completing the manufacturing process development. The Company also spent less for ACI-35 in the current period related to toxicology and manufacturing costs for clinical trial material in the prior period that did not repeat in the current period</w:t>
      </w:r>
    </w:p>
    <w:p>
      <w:pPr>
        <w:spacing w:after="0" w:line="189" w:lineRule="exact"/>
        <w:rPr>
          <w:rFonts w:ascii="Arial" w:cs="Arial" w:eastAsia="Arial" w:hAnsi="Arial"/>
          <w:sz w:val="18"/>
          <w:szCs w:val="18"/>
          <w:color w:val="C00000"/>
        </w:rPr>
      </w:pPr>
    </w:p>
    <w:p>
      <w:pPr>
        <w:jc w:val="both"/>
        <w:ind w:left="660"/>
        <w:spacing w:after="0" w:line="238" w:lineRule="auto"/>
        <w:rPr>
          <w:rFonts w:ascii="Arial" w:cs="Arial" w:eastAsia="Arial" w:hAnsi="Arial"/>
          <w:sz w:val="18"/>
          <w:szCs w:val="18"/>
          <w:color w:val="C00000"/>
        </w:rPr>
      </w:pPr>
      <w:r>
        <w:rPr>
          <w:rFonts w:ascii="Arial" w:cs="Arial" w:eastAsia="Arial" w:hAnsi="Arial"/>
          <w:sz w:val="18"/>
          <w:szCs w:val="18"/>
          <w:color w:val="auto"/>
        </w:rPr>
        <w:t>Additionally, personnel costs in R&amp;D increased by CHF 0.6 million and CHF 2.0 million for the three and nine months ended September 30, 2020, respectively driven by an increase of 11 FTEs during the year. The remaining increases of CHF 0.9 million and CHF 1.8 million relate to an increase in regulatory and quality assurance, intellectual property and other unallocated research and development costs</w:t>
      </w:r>
    </w:p>
    <w:p>
      <w:pPr>
        <w:spacing w:after="0" w:line="169" w:lineRule="exact"/>
        <w:rPr>
          <w:rFonts w:ascii="Arial" w:cs="Arial" w:eastAsia="Arial" w:hAnsi="Arial"/>
          <w:sz w:val="18"/>
          <w:szCs w:val="18"/>
          <w:color w:val="C00000"/>
        </w:rPr>
      </w:pPr>
    </w:p>
    <w:p>
      <w:pPr>
        <w:ind w:left="660" w:right="120" w:hanging="328"/>
        <w:spacing w:after="0" w:line="253" w:lineRule="auto"/>
        <w:tabs>
          <w:tab w:leader="none" w:pos="660" w:val="left"/>
        </w:tabs>
        <w:numPr>
          <w:ilvl w:val="0"/>
          <w:numId w:val="13"/>
        </w:numPr>
        <w:rPr>
          <w:rFonts w:ascii="Arial" w:cs="Arial" w:eastAsia="Arial" w:hAnsi="Arial"/>
          <w:sz w:val="18"/>
          <w:szCs w:val="18"/>
          <w:color w:val="C00000"/>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For the three and nine months ended September 30, 2020, G&amp;A expenses increased CHF 0.9 million (+23.7%)</w:t>
      </w:r>
      <w:r>
        <w:rPr>
          <w:rFonts w:ascii="Arial" w:cs="Arial" w:eastAsia="Arial" w:hAnsi="Arial"/>
          <w:sz w:val="18"/>
          <w:szCs w:val="18"/>
          <w:b w:val="1"/>
          <w:bCs w:val="1"/>
          <w:color w:val="auto"/>
        </w:rPr>
        <w:t xml:space="preserve"> </w:t>
      </w:r>
      <w:r>
        <w:rPr>
          <w:rFonts w:ascii="Arial" w:cs="Arial" w:eastAsia="Arial" w:hAnsi="Arial"/>
          <w:sz w:val="18"/>
          <w:szCs w:val="18"/>
          <w:color w:val="auto"/>
        </w:rPr>
        <w:t>and CHF 2.7 million (+25.1%) to CHF 4.9 million and CHF 13.6 million, respectively. Increases were driven by an addition of 4 FTEs as well as an increase in professional services and depreciation expenses.</w:t>
      </w:r>
    </w:p>
    <w:p>
      <w:pPr>
        <w:spacing w:after="0" w:line="155" w:lineRule="exact"/>
        <w:rPr>
          <w:rFonts w:ascii="Arial" w:cs="Arial" w:eastAsia="Arial" w:hAnsi="Arial"/>
          <w:sz w:val="18"/>
          <w:szCs w:val="18"/>
          <w:color w:val="C00000"/>
        </w:rPr>
      </w:pPr>
    </w:p>
    <w:p>
      <w:pPr>
        <w:ind w:left="660" w:right="20" w:hanging="328"/>
        <w:spacing w:after="0" w:line="275" w:lineRule="auto"/>
        <w:tabs>
          <w:tab w:leader="none" w:pos="660" w:val="left"/>
        </w:tabs>
        <w:numPr>
          <w:ilvl w:val="0"/>
          <w:numId w:val="13"/>
        </w:numPr>
        <w:rPr>
          <w:rFonts w:ascii="Arial" w:cs="Arial" w:eastAsia="Arial" w:hAnsi="Arial"/>
          <w:sz w:val="17"/>
          <w:szCs w:val="17"/>
          <w:color w:val="C00000"/>
        </w:rPr>
      </w:pPr>
      <w:r>
        <w:rPr>
          <w:rFonts w:ascii="Arial" w:cs="Arial" w:eastAsia="Arial" w:hAnsi="Arial"/>
          <w:sz w:val="17"/>
          <w:szCs w:val="17"/>
          <w:b w:val="1"/>
          <w:bCs w:val="1"/>
          <w:color w:val="auto"/>
        </w:rPr>
        <w:t xml:space="preserve">IFRS (Loss)/Income for the period: </w:t>
      </w:r>
      <w:r>
        <w:rPr>
          <w:rFonts w:ascii="Arial" w:cs="Arial" w:eastAsia="Arial" w:hAnsi="Arial"/>
          <w:sz w:val="17"/>
          <w:szCs w:val="17"/>
          <w:color w:val="auto"/>
        </w:rPr>
        <w:t>The Company incurred a net loss after taxes of CHF 19.0 million and CHF 42.4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three and nine months ended September 30, 2020, respectively, compared with net income of CHF 18.2 million and CHF 64.9 million for the comparable periods in 2019, predominantly related to the variance in revenues and operating expenses discussed above</w:t>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ind w:left="660" w:right="360" w:hanging="328"/>
        <w:spacing w:after="0" w:line="244" w:lineRule="auto"/>
        <w:tabs>
          <w:tab w:leader="none" w:pos="660" w:val="left"/>
        </w:tabs>
        <w:numPr>
          <w:ilvl w:val="0"/>
          <w:numId w:val="14"/>
        </w:numPr>
        <w:rPr>
          <w:rFonts w:ascii="Arial" w:cs="Arial" w:eastAsia="Arial" w:hAnsi="Arial"/>
          <w:sz w:val="18"/>
          <w:szCs w:val="18"/>
          <w:color w:val="C00000"/>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a total cash balance of CHF 246.6 million, comprised of CHF 176.6 million in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CHF 70 million in short-term financial assets. This compares to a total cash balance of CHF 288.6 million as of December 31, 2019. This decrease of CHF 42 million is principally due to the factors noted above in the income statement which resulted in a CHF 42.4 million net loss for the period and changes in our working capital. Further details are available in our Statements of Cash Flows on the accompanying Form 6-K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20"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utilizes two proprietary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six currently in clinical trials. It has collaborations with major pharmaceutical companies including Genentech, a member of the Roche group, Eli Lilly and Company, and Janssen Pharmaceuticals.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Head of Investor Relations</w:t>
            </w:r>
          </w:p>
        </w:tc>
        <w:tc>
          <w:tcPr>
            <w:tcW w:w="4420" w:type="dxa"/>
            <w:vAlign w:val="bottom"/>
            <w:gridSpan w:val="2"/>
          </w:tcPr>
          <w:p>
            <w:pPr>
              <w:ind w:left="90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Joshua Drumm, Ph.D.</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LaVoieHealthScience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+1 917 809 0814</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+1 617 792 3937</w:t>
            </w: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joshua.drumm@acimmune.com</w:t>
            </w:r>
          </w:p>
        </w:tc>
        <w:tc>
          <w:tcPr>
            <w:tcW w:w="4420" w:type="dxa"/>
            <w:vAlign w:val="bottom"/>
            <w:gridSpan w:val="2"/>
          </w:tcPr>
          <w:p>
            <w:pPr>
              <w:ind w:left="90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kgallagher@lavoiehealthscience.com</w:t>
            </w:r>
          </w:p>
        </w:tc>
      </w:tr>
      <w:tr>
        <w:trPr>
          <w:trHeight w:val="20"/>
        </w:trPr>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Global Head of Communications</w:t>
            </w:r>
          </w:p>
        </w:tc>
        <w:tc>
          <w:tcPr>
            <w:tcW w:w="4840" w:type="dxa"/>
            <w:vAlign w:val="bottom"/>
            <w:gridSpan w:val="2"/>
          </w:tcPr>
          <w:p>
            <w:pPr>
              <w:ind w:left="2220"/>
              <w:spacing w:after="0"/>
              <w:rPr>
                <w:sz w:val="20"/>
                <w:szCs w:val="20"/>
                <w:color w:val="auto"/>
              </w:rPr>
            </w:pPr>
            <w:r>
              <w:rPr>
                <w:rFonts w:ascii="Arial" w:cs="Arial" w:eastAsia="Arial" w:hAnsi="Arial"/>
                <w:sz w:val="18"/>
                <w:szCs w:val="18"/>
                <w:b w:val="1"/>
                <w:bCs w:val="1"/>
                <w:color w:val="auto"/>
              </w:rPr>
              <w:t>European Investors &amp; Media</w:t>
            </w: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Judith Moore</w:t>
            </w:r>
          </w:p>
        </w:tc>
        <w:tc>
          <w:tcPr>
            <w:tcW w:w="484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Chris Maggos</w:t>
            </w: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AC Immune</w:t>
            </w:r>
          </w:p>
        </w:tc>
        <w:tc>
          <w:tcPr>
            <w:tcW w:w="484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Phone: +41 79 826 63 82</w:t>
            </w:r>
          </w:p>
        </w:tc>
        <w:tc>
          <w:tcPr>
            <w:tcW w:w="484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Phone: +41 79 367 6254</w:t>
            </w:r>
          </w:p>
        </w:tc>
      </w:tr>
      <w:tr>
        <w:trPr>
          <w:trHeight w:val="176"/>
        </w:trPr>
        <w:tc>
          <w:tcPr>
            <w:tcW w:w="2960" w:type="dxa"/>
            <w:vAlign w:val="bottom"/>
            <w:gridSpan w:val="2"/>
          </w:tcPr>
          <w:p>
            <w:pPr>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judith.moore@acimmune.com</w:t>
            </w:r>
          </w:p>
        </w:tc>
        <w:tc>
          <w:tcPr>
            <w:tcW w:w="4840" w:type="dxa"/>
            <w:vAlign w:val="bottom"/>
            <w:gridSpan w:val="2"/>
          </w:tcPr>
          <w:p>
            <w:pPr>
              <w:ind w:left="222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chris@lifesciadvisors.com</w:t>
            </w:r>
          </w:p>
        </w:tc>
      </w:tr>
      <w:tr>
        <w:trPr>
          <w:trHeight w:val="20"/>
        </w:trPr>
        <w:tc>
          <w:tcPr>
            <w:tcW w:w="56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w:t>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jc w:val="both"/>
        <w:spacing w:after="0" w:line="238" w:lineRule="auto"/>
        <w:rPr>
          <w:sz w:val="20"/>
          <w:szCs w:val="20"/>
          <w:color w:val="auto"/>
        </w:rPr>
      </w:pPr>
      <w:r>
        <w:rPr>
          <w:rFonts w:ascii="Arial" w:cs="Arial" w:eastAsia="Arial" w:hAnsi="Arial"/>
          <w:sz w:val="18"/>
          <w:szCs w:val="18"/>
          <w:color w:val="auto"/>
        </w:rPr>
        <w:t>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0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222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As of September 30,</w:t>
            </w:r>
          </w:p>
        </w:tc>
        <w:tc>
          <w:tcPr>
            <w:tcW w:w="20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66"/>
        </w:trPr>
        <w:tc>
          <w:tcPr>
            <w:tcW w:w="7000" w:type="dxa"/>
            <w:vAlign w:val="bottom"/>
          </w:tcPr>
          <w:p>
            <w:pPr>
              <w:spacing w:after="0"/>
              <w:rPr>
                <w:sz w:val="14"/>
                <w:szCs w:val="14"/>
                <w:color w:val="auto"/>
              </w:rPr>
            </w:pPr>
          </w:p>
        </w:tc>
        <w:tc>
          <w:tcPr>
            <w:tcW w:w="222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0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2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3,785</w:t>
            </w:r>
          </w:p>
        </w:tc>
        <w:tc>
          <w:tcPr>
            <w:tcW w:w="10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3,917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Right-of-use assets</w:t>
            </w:r>
          </w:p>
        </w:tc>
        <w:tc>
          <w:tcPr>
            <w:tcW w:w="212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1,932</w:t>
            </w: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Long-term financial assets</w:t>
            </w:r>
          </w:p>
        </w:tc>
        <w:tc>
          <w:tcPr>
            <w:tcW w:w="2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304</w:t>
            </w:r>
          </w:p>
        </w:tc>
        <w:tc>
          <w:tcPr>
            <w:tcW w:w="10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Borders>
              <w:top w:val="single" w:sz="8" w:color="D5EAEA"/>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non-current assets</w:t>
            </w:r>
          </w:p>
        </w:tc>
        <w:tc>
          <w:tcPr>
            <w:tcW w:w="20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6,021</w:t>
            </w:r>
          </w:p>
        </w:tc>
        <w:tc>
          <w:tcPr>
            <w:tcW w:w="100" w:type="dxa"/>
            <w:vAlign w:val="bottom"/>
            <w:tcBorders>
              <w:top w:val="single" w:sz="8" w:color="D5EAEA"/>
              <w:bottom w:val="single" w:sz="8" w:color="D5EAEA"/>
            </w:tcBorders>
            <w:shd w:val="clear" w:color="auto" w:fill="D5EAEA"/>
          </w:tcPr>
          <w:p>
            <w:pPr>
              <w:spacing w:after="0"/>
              <w:rPr>
                <w:sz w:val="17"/>
                <w:szCs w:val="17"/>
                <w:color w:val="auto"/>
              </w:rPr>
            </w:pPr>
          </w:p>
        </w:tc>
        <w:tc>
          <w:tcPr>
            <w:tcW w:w="100" w:type="dxa"/>
            <w:vAlign w:val="bottom"/>
            <w:tcBorders>
              <w:top w:val="single" w:sz="8" w:color="D5EAEA"/>
              <w:bottom w:val="single" w:sz="8" w:color="D5EAEA"/>
            </w:tcBorders>
            <w:shd w:val="clear" w:color="auto" w:fill="D5EAEA"/>
          </w:tcPr>
          <w:p>
            <w:pPr>
              <w:spacing w:after="0"/>
              <w:rPr>
                <w:sz w:val="17"/>
                <w:szCs w:val="17"/>
                <w:color w:val="auto"/>
              </w:rPr>
            </w:pPr>
          </w:p>
        </w:tc>
        <w:tc>
          <w:tcPr>
            <w:tcW w:w="20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6,476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2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2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2,764</w:t>
            </w:r>
          </w:p>
        </w:tc>
        <w:tc>
          <w:tcPr>
            <w:tcW w:w="10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2,788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Accrued income</w:t>
            </w:r>
          </w:p>
        </w:tc>
        <w:tc>
          <w:tcPr>
            <w:tcW w:w="212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944</w:t>
            </w: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1,095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Other current receivables</w:t>
            </w:r>
          </w:p>
        </w:tc>
        <w:tc>
          <w:tcPr>
            <w:tcW w:w="2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314</w:t>
            </w:r>
          </w:p>
        </w:tc>
        <w:tc>
          <w:tcPr>
            <w:tcW w:w="10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Short-term financial assets</w:t>
            </w:r>
          </w:p>
        </w:tc>
        <w:tc>
          <w:tcPr>
            <w:tcW w:w="212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70,000</w:t>
            </w: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95,000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176,567</w:t>
            </w:r>
          </w:p>
        </w:tc>
        <w:tc>
          <w:tcPr>
            <w:tcW w:w="10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193,587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Borders>
              <w:top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current assets</w:t>
            </w:r>
          </w:p>
        </w:tc>
        <w:tc>
          <w:tcPr>
            <w:tcW w:w="20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250,589</w:t>
            </w:r>
          </w:p>
        </w:tc>
        <w:tc>
          <w:tcPr>
            <w:tcW w:w="100" w:type="dxa"/>
            <w:vAlign w:val="bottom"/>
            <w:tcBorders>
              <w:top w:val="single" w:sz="8" w:color="D5EAEA"/>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20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292,774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256,610</w:t>
            </w:r>
          </w:p>
        </w:tc>
        <w:tc>
          <w:tcPr>
            <w:tcW w:w="10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rPr>
                <w:sz w:val="17"/>
                <w:szCs w:val="17"/>
                <w:color w:val="auto"/>
              </w:rPr>
            </w:pPr>
          </w:p>
        </w:tc>
        <w:tc>
          <w:tcPr>
            <w:tcW w:w="2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 AND LIABILITIES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rPr>
                <w:sz w:val="17"/>
                <w:szCs w:val="17"/>
                <w:color w:val="auto"/>
              </w:rPr>
            </w:pPr>
          </w:p>
        </w:tc>
        <w:tc>
          <w:tcPr>
            <w:tcW w:w="2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Share capital</w:t>
            </w:r>
          </w:p>
        </w:tc>
        <w:tc>
          <w:tcPr>
            <w:tcW w:w="212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1,539</w:t>
            </w: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1,437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rPr>
              <w:t>Share premium</w:t>
            </w:r>
          </w:p>
        </w:tc>
        <w:tc>
          <w:tcPr>
            <w:tcW w:w="21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346,842</w:t>
            </w:r>
          </w:p>
        </w:tc>
        <w:tc>
          <w:tcPr>
            <w:tcW w:w="100" w:type="dxa"/>
            <w:vAlign w:val="bottom"/>
          </w:tcPr>
          <w:p>
            <w:pPr>
              <w:spacing w:after="0"/>
              <w:rPr>
                <w:sz w:val="17"/>
                <w:szCs w:val="17"/>
                <w:color w:val="auto"/>
              </w:rPr>
            </w:pPr>
          </w:p>
        </w:tc>
        <w:tc>
          <w:tcPr>
            <w:tcW w:w="2020" w:type="dxa"/>
            <w:vAlign w:val="bottom"/>
          </w:tcPr>
          <w:p>
            <w:pPr>
              <w:jc w:val="right"/>
              <w:spacing w:after="0" w:line="201" w:lineRule="exact"/>
              <w:rPr>
                <w:sz w:val="20"/>
                <w:szCs w:val="20"/>
                <w:color w:val="auto"/>
              </w:rPr>
            </w:pPr>
            <w:r>
              <w:rPr>
                <w:rFonts w:ascii="Arial" w:cs="Arial" w:eastAsia="Arial" w:hAnsi="Arial"/>
                <w:sz w:val="18"/>
                <w:szCs w:val="18"/>
                <w:color w:val="auto"/>
              </w:rPr>
              <w:t>346,526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3" w:lineRule="exact"/>
              <w:rPr>
                <w:sz w:val="20"/>
                <w:szCs w:val="20"/>
                <w:color w:val="auto"/>
              </w:rPr>
            </w:pPr>
            <w:r>
              <w:rPr>
                <w:rFonts w:ascii="Arial" w:cs="Arial" w:eastAsia="Arial" w:hAnsi="Arial"/>
                <w:sz w:val="18"/>
                <w:szCs w:val="18"/>
                <w:color w:val="auto"/>
              </w:rPr>
              <w:t>Treasury shares</w:t>
            </w:r>
          </w:p>
        </w:tc>
        <w:tc>
          <w:tcPr>
            <w:tcW w:w="21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2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Accumulated losses</w:t>
            </w:r>
          </w:p>
        </w:tc>
        <w:tc>
          <w:tcPr>
            <w:tcW w:w="2120" w:type="dxa"/>
            <w:vAlign w:val="bottom"/>
            <w:gridSpan w:val="2"/>
            <w:shd w:val="clear" w:color="auto" w:fill="D5EAEA"/>
          </w:tcPr>
          <w:p>
            <w:pPr>
              <w:jc w:val="right"/>
              <w:ind w:right="40"/>
              <w:spacing w:after="0" w:line="202" w:lineRule="exact"/>
              <w:rPr>
                <w:sz w:val="20"/>
                <w:szCs w:val="20"/>
                <w:color w:val="auto"/>
              </w:rPr>
            </w:pPr>
            <w:r>
              <w:rPr>
                <w:rFonts w:ascii="Arial" w:cs="Arial" w:eastAsia="Arial" w:hAnsi="Arial"/>
                <w:sz w:val="18"/>
                <w:szCs w:val="18"/>
                <w:color w:val="auto"/>
              </w:rPr>
              <w:t>(115,038)</w:t>
            </w: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(75,521)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2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233,243</w:t>
            </w:r>
          </w:p>
        </w:tc>
        <w:tc>
          <w:tcPr>
            <w:tcW w:w="10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2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272,442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rPr>
                <w:sz w:val="17"/>
                <w:szCs w:val="17"/>
                <w:color w:val="auto"/>
              </w:rPr>
            </w:pPr>
          </w:p>
        </w:tc>
        <w:tc>
          <w:tcPr>
            <w:tcW w:w="2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Long-term lease liabilities</w:t>
            </w:r>
          </w:p>
        </w:tc>
        <w:tc>
          <w:tcPr>
            <w:tcW w:w="212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1,491</w:t>
            </w: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1,813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Net employee defined benefit liabilities</w:t>
            </w:r>
          </w:p>
        </w:tc>
        <w:tc>
          <w:tcPr>
            <w:tcW w:w="2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8,029</w:t>
            </w:r>
          </w:p>
        </w:tc>
        <w:tc>
          <w:tcPr>
            <w:tcW w:w="10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7,485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Borders>
              <w:top w:val="single" w:sz="8" w:color="D5EAEA"/>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non-current liabilities</w:t>
            </w:r>
          </w:p>
        </w:tc>
        <w:tc>
          <w:tcPr>
            <w:tcW w:w="20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9,520</w:t>
            </w:r>
          </w:p>
        </w:tc>
        <w:tc>
          <w:tcPr>
            <w:tcW w:w="100" w:type="dxa"/>
            <w:vAlign w:val="bottom"/>
            <w:tcBorders>
              <w:top w:val="single" w:sz="8" w:color="D5EAEA"/>
              <w:bottom w:val="single" w:sz="8" w:color="D5EAEA"/>
            </w:tcBorders>
            <w:shd w:val="clear" w:color="auto" w:fill="D5EAEA"/>
          </w:tcPr>
          <w:p>
            <w:pPr>
              <w:spacing w:after="0"/>
              <w:rPr>
                <w:sz w:val="17"/>
                <w:szCs w:val="17"/>
                <w:color w:val="auto"/>
              </w:rPr>
            </w:pPr>
          </w:p>
        </w:tc>
        <w:tc>
          <w:tcPr>
            <w:tcW w:w="100" w:type="dxa"/>
            <w:vAlign w:val="bottom"/>
            <w:tcBorders>
              <w:top w:val="single" w:sz="8" w:color="D5EAEA"/>
              <w:bottom w:val="single" w:sz="8" w:color="D5EAEA"/>
            </w:tcBorders>
            <w:shd w:val="clear" w:color="auto" w:fill="D5EAEA"/>
          </w:tcPr>
          <w:p>
            <w:pPr>
              <w:spacing w:after="0"/>
              <w:rPr>
                <w:sz w:val="17"/>
                <w:szCs w:val="17"/>
                <w:color w:val="auto"/>
              </w:rPr>
            </w:pPr>
          </w:p>
        </w:tc>
        <w:tc>
          <w:tcPr>
            <w:tcW w:w="20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9,298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2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2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1,020</w:t>
            </w:r>
          </w:p>
        </w:tc>
        <w:tc>
          <w:tcPr>
            <w:tcW w:w="10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Accrued expenses</w:t>
            </w:r>
          </w:p>
        </w:tc>
        <w:tc>
          <w:tcPr>
            <w:tcW w:w="212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10,996</w:t>
            </w: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11,797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Short-term deferred income</w:t>
            </w:r>
          </w:p>
        </w:tc>
        <w:tc>
          <w:tcPr>
            <w:tcW w:w="2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1,080</w:t>
            </w:r>
          </w:p>
        </w:tc>
        <w:tc>
          <w:tcPr>
            <w:tcW w:w="10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4,477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Short-term financing obligation</w:t>
            </w:r>
          </w:p>
        </w:tc>
        <w:tc>
          <w:tcPr>
            <w:tcW w:w="212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310</w:t>
            </w:r>
          </w:p>
        </w:tc>
        <w:tc>
          <w:tcPr>
            <w:tcW w:w="100" w:type="dxa"/>
            <w:vAlign w:val="bottom"/>
            <w:shd w:val="clear" w:color="auto" w:fill="D5EAEA"/>
          </w:tcPr>
          <w:p>
            <w:pPr>
              <w:spacing w:after="0"/>
              <w:rPr>
                <w:sz w:val="17"/>
                <w:szCs w:val="17"/>
                <w:color w:val="auto"/>
              </w:rPr>
            </w:pPr>
          </w:p>
        </w:tc>
        <w:tc>
          <w:tcPr>
            <w:tcW w:w="2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Short-term lease liabilities</w:t>
            </w:r>
          </w:p>
        </w:tc>
        <w:tc>
          <w:tcPr>
            <w:tcW w:w="2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441</w:t>
            </w:r>
          </w:p>
        </w:tc>
        <w:tc>
          <w:tcPr>
            <w:tcW w:w="10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Borders>
              <w:top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0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13,847</w:t>
            </w:r>
          </w:p>
        </w:tc>
        <w:tc>
          <w:tcPr>
            <w:tcW w:w="100" w:type="dxa"/>
            <w:vAlign w:val="bottom"/>
            <w:tcBorders>
              <w:top w:val="single" w:sz="8" w:color="D5EAEA"/>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20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17,510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liabilities</w:t>
            </w: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23,367</w:t>
            </w:r>
          </w:p>
        </w:tc>
        <w:tc>
          <w:tcPr>
            <w:tcW w:w="10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Borders>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shareholders’ equity and liabilities</w:t>
            </w:r>
          </w:p>
        </w:tc>
        <w:tc>
          <w:tcPr>
            <w:tcW w:w="20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256,610</w:t>
            </w:r>
          </w:p>
        </w:tc>
        <w:tc>
          <w:tcPr>
            <w:tcW w:w="100" w:type="dxa"/>
            <w:vAlign w:val="bottom"/>
            <w:tcBorders>
              <w:bottom w:val="single" w:sz="8" w:color="D5EAEA"/>
            </w:tcBorders>
            <w:shd w:val="clear" w:color="auto" w:fill="D5EAEA"/>
          </w:tcPr>
          <w:p>
            <w:pPr>
              <w:spacing w:after="0"/>
              <w:rPr>
                <w:sz w:val="17"/>
                <w:szCs w:val="17"/>
                <w:color w:val="auto"/>
              </w:rPr>
            </w:pPr>
          </w:p>
        </w:tc>
        <w:tc>
          <w:tcPr>
            <w:tcW w:w="100" w:type="dxa"/>
            <w:vAlign w:val="bottom"/>
            <w:tcBorders>
              <w:bottom w:val="single" w:sz="8" w:color="D5EAEA"/>
            </w:tcBorders>
            <w:shd w:val="clear" w:color="auto" w:fill="D5EAEA"/>
          </w:tcPr>
          <w:p>
            <w:pPr>
              <w:spacing w:after="0"/>
              <w:rPr>
                <w:sz w:val="17"/>
                <w:szCs w:val="17"/>
                <w:color w:val="auto"/>
              </w:rPr>
            </w:pPr>
          </w:p>
        </w:tc>
        <w:tc>
          <w:tcPr>
            <w:tcW w:w="20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299,250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5"/>
        </w:trPr>
        <w:tc>
          <w:tcPr>
            <w:tcW w:w="70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ectPr>
          <w:pgSz w:w="11900" w:h="16838" w:orient="portrait"/>
          <w:cols w:equalWidth="0" w:num="1">
            <w:col w:w="11240"/>
          </w:cols>
          <w:pgMar w:left="320" w:top="598"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Statements of Income/(Loss)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(in CHF thousands except per share data)</w:t>
            </w:r>
          </w:p>
        </w:tc>
        <w:tc>
          <w:tcPr>
            <w:tcW w:w="120" w:type="dxa"/>
            <w:vAlign w:val="bottom"/>
          </w:tcPr>
          <w:p>
            <w:pPr>
              <w:spacing w:after="0"/>
              <w:rPr>
                <w:sz w:val="20"/>
                <w:szCs w:val="20"/>
                <w:color w:val="auto"/>
              </w:rPr>
            </w:pPr>
          </w:p>
        </w:tc>
        <w:tc>
          <w:tcPr>
            <w:tcW w:w="2460" w:type="dxa"/>
            <w:vAlign w:val="bottom"/>
            <w:gridSpan w:val="9"/>
            <w:vMerge w:val="restart"/>
          </w:tcPr>
          <w:p>
            <w:pPr>
              <w:jc w:val="right"/>
              <w:ind w:right="380"/>
              <w:spacing w:after="0"/>
              <w:rPr>
                <w:sz w:val="20"/>
                <w:szCs w:val="20"/>
                <w:color w:val="auto"/>
              </w:rPr>
            </w:pPr>
            <w:r>
              <w:rPr>
                <w:rFonts w:ascii="Arial" w:cs="Arial" w:eastAsia="Arial" w:hAnsi="Arial"/>
                <w:sz w:val="18"/>
                <w:szCs w:val="18"/>
                <w:b w:val="1"/>
                <w:bCs w:val="1"/>
                <w:color w:val="auto"/>
              </w:rPr>
              <w:t>For the Three Months</w:t>
            </w:r>
          </w:p>
        </w:tc>
        <w:tc>
          <w:tcPr>
            <w:tcW w:w="2280" w:type="dxa"/>
            <w:vAlign w:val="bottom"/>
            <w:gridSpan w:val="8"/>
            <w:vMerge w:val="restart"/>
          </w:tcPr>
          <w:p>
            <w:pPr>
              <w:ind w:left="22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166"/>
        </w:trPr>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9"/>
            <w:vMerge w:val="continue"/>
          </w:tcPr>
          <w:p>
            <w:pPr>
              <w:spacing w:after="0"/>
              <w:rPr>
                <w:sz w:val="14"/>
                <w:szCs w:val="14"/>
                <w:color w:val="auto"/>
              </w:rPr>
            </w:pPr>
          </w:p>
        </w:tc>
        <w:tc>
          <w:tcPr>
            <w:tcW w:w="22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9"/>
          </w:tcPr>
          <w:p>
            <w:pPr>
              <w:jc w:val="right"/>
              <w:ind w:right="380"/>
              <w:spacing w:after="0"/>
              <w:rPr>
                <w:sz w:val="20"/>
                <w:szCs w:val="20"/>
                <w:color w:val="auto"/>
              </w:rPr>
            </w:pPr>
            <w:r>
              <w:rPr>
                <w:rFonts w:ascii="Arial" w:cs="Arial" w:eastAsia="Arial" w:hAnsi="Arial"/>
                <w:sz w:val="18"/>
                <w:szCs w:val="18"/>
                <w:b w:val="1"/>
                <w:bCs w:val="1"/>
                <w:color w:val="auto"/>
              </w:rPr>
              <w:t>Ended September 30,</w:t>
            </w:r>
          </w:p>
        </w:tc>
        <w:tc>
          <w:tcPr>
            <w:tcW w:w="2280" w:type="dxa"/>
            <w:vAlign w:val="bottom"/>
            <w:gridSpan w:val="8"/>
          </w:tcPr>
          <w:p>
            <w:pPr>
              <w:ind w:left="18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32"/>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D5EAEA"/>
          </w:tcPr>
          <w:p>
            <w:pPr>
              <w:spacing w:after="0" w:line="202" w:lineRule="exact"/>
              <w:rPr>
                <w:sz w:val="20"/>
                <w:szCs w:val="20"/>
                <w:color w:val="auto"/>
              </w:rPr>
            </w:pPr>
            <w:r>
              <w:rPr>
                <w:rFonts w:ascii="Arial" w:cs="Arial" w:eastAsia="Arial" w:hAnsi="Arial"/>
                <w:sz w:val="18"/>
                <w:szCs w:val="18"/>
                <w:color w:val="auto"/>
              </w:rPr>
              <w:t>Contract revenue</w:t>
            </w:r>
          </w:p>
        </w:tc>
        <w:tc>
          <w:tcPr>
            <w:tcW w:w="1260" w:type="dxa"/>
            <w:vAlign w:val="bottom"/>
            <w:gridSpan w:val="4"/>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1,123</w:t>
            </w:r>
          </w:p>
        </w:tc>
        <w:tc>
          <w:tcPr>
            <w:tcW w:w="80" w:type="dxa"/>
            <w:vAlign w:val="bottom"/>
            <w:shd w:val="clear" w:color="auto" w:fill="D5EAEA"/>
          </w:tcPr>
          <w:p>
            <w:pPr>
              <w:spacing w:after="0"/>
              <w:rPr>
                <w:sz w:val="17"/>
                <w:szCs w:val="17"/>
                <w:color w:val="auto"/>
              </w:rPr>
            </w:pPr>
          </w:p>
        </w:tc>
        <w:tc>
          <w:tcPr>
            <w:tcW w:w="1160" w:type="dxa"/>
            <w:vAlign w:val="bottom"/>
            <w:gridSpan w:val="4"/>
            <w:shd w:val="clear" w:color="auto" w:fill="D5EAEA"/>
          </w:tcPr>
          <w:p>
            <w:pPr>
              <w:jc w:val="right"/>
              <w:spacing w:after="0" w:line="202" w:lineRule="exact"/>
              <w:rPr>
                <w:sz w:val="20"/>
                <w:szCs w:val="20"/>
                <w:color w:val="auto"/>
              </w:rPr>
            </w:pPr>
            <w:r>
              <w:rPr>
                <w:rFonts w:ascii="Arial" w:cs="Arial" w:eastAsia="Arial" w:hAnsi="Arial"/>
                <w:sz w:val="18"/>
                <w:szCs w:val="18"/>
                <w:color w:val="auto"/>
              </w:rPr>
              <w:t>33,208</w:t>
            </w:r>
          </w:p>
        </w:tc>
        <w:tc>
          <w:tcPr>
            <w:tcW w:w="80" w:type="dxa"/>
            <w:vAlign w:val="bottom"/>
            <w:shd w:val="clear" w:color="auto" w:fill="D5EAEA"/>
          </w:tcPr>
          <w:p>
            <w:pPr>
              <w:spacing w:after="0"/>
              <w:rPr>
                <w:sz w:val="17"/>
                <w:szCs w:val="17"/>
                <w:color w:val="auto"/>
              </w:rPr>
            </w:pPr>
          </w:p>
        </w:tc>
        <w:tc>
          <w:tcPr>
            <w:tcW w:w="102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14,487</w:t>
            </w:r>
          </w:p>
        </w:tc>
        <w:tc>
          <w:tcPr>
            <w:tcW w:w="2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109,596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Total revenue</w:t>
            </w:r>
          </w:p>
        </w:tc>
        <w:tc>
          <w:tcPr>
            <w:tcW w:w="120" w:type="dxa"/>
            <w:vAlign w:val="bottom"/>
            <w:tcBorders>
              <w:bottom w:val="single" w:sz="8" w:color="D5EAEA"/>
            </w:tcBorders>
          </w:tcPr>
          <w:p>
            <w:pPr>
              <w:spacing w:after="0"/>
              <w:rPr>
                <w:sz w:val="17"/>
                <w:szCs w:val="17"/>
                <w:color w:val="auto"/>
              </w:rPr>
            </w:pPr>
          </w:p>
        </w:tc>
        <w:tc>
          <w:tcPr>
            <w:tcW w:w="1140" w:type="dxa"/>
            <w:vAlign w:val="bottom"/>
            <w:tcBorders>
              <w:top w:val="single" w:sz="8" w:color="auto"/>
              <w:bottom w:val="single" w:sz="8" w:color="auto"/>
            </w:tcBorders>
            <w:gridSpan w:val="3"/>
          </w:tcPr>
          <w:p>
            <w:pPr>
              <w:jc w:val="right"/>
              <w:ind w:right="100"/>
              <w:spacing w:after="0" w:line="196" w:lineRule="exact"/>
              <w:rPr>
                <w:sz w:val="20"/>
                <w:szCs w:val="20"/>
                <w:color w:val="auto"/>
              </w:rPr>
            </w:pPr>
            <w:r>
              <w:rPr>
                <w:rFonts w:ascii="Arial" w:cs="Arial" w:eastAsia="Arial" w:hAnsi="Arial"/>
                <w:sz w:val="18"/>
                <w:szCs w:val="18"/>
                <w:color w:val="auto"/>
              </w:rPr>
              <w:t>1,123</w:t>
            </w:r>
          </w:p>
        </w:tc>
        <w:tc>
          <w:tcPr>
            <w:tcW w:w="80" w:type="dxa"/>
            <w:vAlign w:val="bottom"/>
            <w:tcBorders>
              <w:bottom w:val="single" w:sz="8" w:color="D5EAEA"/>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33,208</w:t>
            </w:r>
          </w:p>
        </w:tc>
        <w:tc>
          <w:tcPr>
            <w:tcW w:w="80" w:type="dxa"/>
            <w:vAlign w:val="bottom"/>
            <w:tcBorders>
              <w:bottom w:val="single" w:sz="8" w:color="D5EAEA"/>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14,487</w:t>
            </w:r>
          </w:p>
        </w:tc>
        <w:tc>
          <w:tcPr>
            <w:tcW w:w="100" w:type="dxa"/>
            <w:vAlign w:val="bottom"/>
            <w:tcBorders>
              <w:bottom w:val="single" w:sz="8" w:color="D5EAEA"/>
            </w:tcBorders>
          </w:tcPr>
          <w:p>
            <w:pPr>
              <w:spacing w:after="0"/>
              <w:rPr>
                <w:sz w:val="17"/>
                <w:szCs w:val="17"/>
                <w:color w:val="auto"/>
              </w:rPr>
            </w:pPr>
          </w:p>
        </w:tc>
        <w:tc>
          <w:tcPr>
            <w:tcW w:w="20" w:type="dxa"/>
            <w:vAlign w:val="bottom"/>
            <w:tcBorders>
              <w:bottom w:val="single" w:sz="8" w:color="D5EAEA"/>
            </w:tcBorders>
          </w:tcPr>
          <w:p>
            <w:pPr>
              <w:spacing w:after="0"/>
              <w:rPr>
                <w:sz w:val="17"/>
                <w:szCs w:val="17"/>
                <w:color w:val="auto"/>
              </w:rPr>
            </w:pPr>
          </w:p>
        </w:tc>
        <w:tc>
          <w:tcPr>
            <w:tcW w:w="60" w:type="dxa"/>
            <w:vAlign w:val="bottom"/>
            <w:tcBorders>
              <w:bottom w:val="single" w:sz="8" w:color="D5EAEA"/>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109,596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gridSpan w:val="2"/>
            <w:shd w:val="clear" w:color="auto" w:fill="D5EAEA"/>
          </w:tcPr>
          <w:p>
            <w:pPr>
              <w:spacing w:after="0" w:line="201" w:lineRule="exact"/>
              <w:rPr>
                <w:sz w:val="20"/>
                <w:szCs w:val="20"/>
                <w:color w:val="auto"/>
              </w:rPr>
            </w:pPr>
            <w:r>
              <w:rPr>
                <w:rFonts w:ascii="Arial" w:cs="Arial" w:eastAsia="Arial" w:hAnsi="Arial"/>
                <w:sz w:val="18"/>
                <w:szCs w:val="18"/>
                <w:color w:val="auto"/>
              </w:rPr>
              <w:t>Research &amp; development expenses</w:t>
            </w:r>
          </w:p>
        </w:tc>
        <w:tc>
          <w:tcPr>
            <w:tcW w:w="1260" w:type="dxa"/>
            <w:vAlign w:val="bottom"/>
            <w:gridSpan w:val="4"/>
            <w:shd w:val="clear" w:color="auto" w:fill="D5EAEA"/>
          </w:tcPr>
          <w:p>
            <w:pPr>
              <w:jc w:val="right"/>
              <w:ind w:right="40"/>
              <w:spacing w:after="0" w:line="201" w:lineRule="exact"/>
              <w:rPr>
                <w:sz w:val="20"/>
                <w:szCs w:val="20"/>
                <w:color w:val="auto"/>
              </w:rPr>
            </w:pPr>
            <w:r>
              <w:rPr>
                <w:rFonts w:ascii="Arial" w:cs="Arial" w:eastAsia="Arial" w:hAnsi="Arial"/>
                <w:sz w:val="18"/>
                <w:szCs w:val="18"/>
                <w:color w:val="auto"/>
              </w:rPr>
              <w:t>(15,518)</w:t>
            </w:r>
          </w:p>
        </w:tc>
        <w:tc>
          <w:tcPr>
            <w:tcW w:w="80" w:type="dxa"/>
            <w:vAlign w:val="bottom"/>
            <w:shd w:val="clear" w:color="auto" w:fill="D5EAEA"/>
          </w:tcPr>
          <w:p>
            <w:pPr>
              <w:spacing w:after="0"/>
              <w:rPr>
                <w:sz w:val="17"/>
                <w:szCs w:val="17"/>
                <w:color w:val="auto"/>
              </w:rPr>
            </w:pPr>
          </w:p>
        </w:tc>
        <w:tc>
          <w:tcPr>
            <w:tcW w:w="1240" w:type="dxa"/>
            <w:vAlign w:val="bottom"/>
            <w:gridSpan w:val="5"/>
            <w:shd w:val="clear" w:color="auto" w:fill="D5EAEA"/>
          </w:tcPr>
          <w:p>
            <w:pPr>
              <w:jc w:val="right"/>
              <w:ind w:right="80"/>
              <w:spacing w:after="0" w:line="201" w:lineRule="exact"/>
              <w:rPr>
                <w:sz w:val="20"/>
                <w:szCs w:val="20"/>
                <w:color w:val="auto"/>
              </w:rPr>
            </w:pPr>
            <w:r>
              <w:rPr>
                <w:rFonts w:ascii="Arial" w:cs="Arial" w:eastAsia="Arial" w:hAnsi="Arial"/>
                <w:sz w:val="18"/>
                <w:szCs w:val="18"/>
                <w:color w:val="auto"/>
              </w:rPr>
              <w:t>(11,478)</w:t>
            </w:r>
          </w:p>
        </w:tc>
        <w:tc>
          <w:tcPr>
            <w:tcW w:w="1020" w:type="dxa"/>
            <w:vAlign w:val="bottom"/>
            <w:gridSpan w:val="2"/>
            <w:shd w:val="clear" w:color="auto" w:fill="D5EAEA"/>
          </w:tcPr>
          <w:p>
            <w:pPr>
              <w:jc w:val="right"/>
              <w:ind w:right="40"/>
              <w:spacing w:after="0" w:line="201" w:lineRule="exact"/>
              <w:rPr>
                <w:sz w:val="20"/>
                <w:szCs w:val="20"/>
                <w:color w:val="auto"/>
              </w:rPr>
            </w:pPr>
            <w:r>
              <w:rPr>
                <w:rFonts w:ascii="Arial" w:cs="Arial" w:eastAsia="Arial" w:hAnsi="Arial"/>
                <w:sz w:val="18"/>
                <w:szCs w:val="18"/>
                <w:color w:val="auto"/>
              </w:rPr>
              <w:t>(43,536)</w:t>
            </w:r>
          </w:p>
        </w:tc>
        <w:tc>
          <w:tcPr>
            <w:tcW w:w="2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80" w:type="dxa"/>
            <w:vAlign w:val="bottom"/>
            <w:shd w:val="clear" w:color="auto" w:fill="D5EAEA"/>
          </w:tcPr>
          <w:p>
            <w:pPr>
              <w:jc w:val="right"/>
              <w:spacing w:after="0" w:line="201" w:lineRule="exact"/>
              <w:rPr>
                <w:sz w:val="20"/>
                <w:szCs w:val="20"/>
                <w:color w:val="auto"/>
              </w:rPr>
            </w:pPr>
            <w:r>
              <w:rPr>
                <w:rFonts w:ascii="Arial" w:cs="Arial" w:eastAsia="Arial" w:hAnsi="Arial"/>
                <w:sz w:val="18"/>
                <w:szCs w:val="18"/>
                <w:color w:val="auto"/>
              </w:rPr>
              <w:t>(35,770)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D5EAEA"/>
          </w:tcPr>
          <w:p>
            <w:pPr>
              <w:spacing w:after="0" w:line="203" w:lineRule="exact"/>
              <w:rPr>
                <w:sz w:val="20"/>
                <w:szCs w:val="20"/>
                <w:color w:val="auto"/>
              </w:rPr>
            </w:pPr>
            <w:r>
              <w:rPr>
                <w:rFonts w:ascii="Arial" w:cs="Arial" w:eastAsia="Arial" w:hAnsi="Arial"/>
                <w:sz w:val="18"/>
                <w:szCs w:val="18"/>
                <w:color w:val="auto"/>
              </w:rPr>
              <w:t>General &amp; administrative expenses</w:t>
            </w:r>
          </w:p>
        </w:tc>
        <w:tc>
          <w:tcPr>
            <w:tcW w:w="1260" w:type="dxa"/>
            <w:vAlign w:val="bottom"/>
            <w:gridSpan w:val="4"/>
            <w:shd w:val="clear" w:color="auto" w:fill="D5EAEA"/>
          </w:tcPr>
          <w:p>
            <w:pPr>
              <w:jc w:val="right"/>
              <w:ind w:right="40"/>
              <w:spacing w:after="0" w:line="203" w:lineRule="exact"/>
              <w:rPr>
                <w:sz w:val="20"/>
                <w:szCs w:val="20"/>
                <w:color w:val="auto"/>
              </w:rPr>
            </w:pPr>
            <w:r>
              <w:rPr>
                <w:rFonts w:ascii="Arial" w:cs="Arial" w:eastAsia="Arial" w:hAnsi="Arial"/>
                <w:sz w:val="18"/>
                <w:szCs w:val="18"/>
                <w:color w:val="auto"/>
              </w:rPr>
              <w:t>(4,892)</w:t>
            </w:r>
          </w:p>
        </w:tc>
        <w:tc>
          <w:tcPr>
            <w:tcW w:w="80" w:type="dxa"/>
            <w:vAlign w:val="bottom"/>
            <w:shd w:val="clear" w:color="auto" w:fill="D5EAEA"/>
          </w:tcPr>
          <w:p>
            <w:pPr>
              <w:spacing w:after="0"/>
              <w:rPr>
                <w:sz w:val="17"/>
                <w:szCs w:val="17"/>
                <w:color w:val="auto"/>
              </w:rPr>
            </w:pPr>
          </w:p>
        </w:tc>
        <w:tc>
          <w:tcPr>
            <w:tcW w:w="1240" w:type="dxa"/>
            <w:vAlign w:val="bottom"/>
            <w:gridSpan w:val="5"/>
            <w:shd w:val="clear" w:color="auto" w:fill="D5EAEA"/>
          </w:tcPr>
          <w:p>
            <w:pPr>
              <w:jc w:val="right"/>
              <w:ind w:right="80"/>
              <w:spacing w:after="0" w:line="203" w:lineRule="exact"/>
              <w:rPr>
                <w:sz w:val="20"/>
                <w:szCs w:val="20"/>
                <w:color w:val="auto"/>
              </w:rPr>
            </w:pPr>
            <w:r>
              <w:rPr>
                <w:rFonts w:ascii="Arial" w:cs="Arial" w:eastAsia="Arial" w:hAnsi="Arial"/>
                <w:sz w:val="18"/>
                <w:szCs w:val="18"/>
                <w:color w:val="auto"/>
              </w:rPr>
              <w:t>(3,956)</w:t>
            </w:r>
          </w:p>
        </w:tc>
        <w:tc>
          <w:tcPr>
            <w:tcW w:w="1020" w:type="dxa"/>
            <w:vAlign w:val="bottom"/>
            <w:gridSpan w:val="2"/>
            <w:shd w:val="clear" w:color="auto" w:fill="D5EAEA"/>
          </w:tcPr>
          <w:p>
            <w:pPr>
              <w:jc w:val="right"/>
              <w:ind w:right="40"/>
              <w:spacing w:after="0" w:line="203" w:lineRule="exact"/>
              <w:rPr>
                <w:sz w:val="20"/>
                <w:szCs w:val="20"/>
                <w:color w:val="auto"/>
              </w:rPr>
            </w:pPr>
            <w:r>
              <w:rPr>
                <w:rFonts w:ascii="Arial" w:cs="Arial" w:eastAsia="Arial" w:hAnsi="Arial"/>
                <w:sz w:val="18"/>
                <w:szCs w:val="18"/>
                <w:color w:val="auto"/>
              </w:rPr>
              <w:t>(13,553)</w:t>
            </w:r>
          </w:p>
        </w:tc>
        <w:tc>
          <w:tcPr>
            <w:tcW w:w="2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80" w:type="dxa"/>
            <w:vAlign w:val="bottom"/>
            <w:shd w:val="clear" w:color="auto" w:fill="D5EAEA"/>
          </w:tcPr>
          <w:p>
            <w:pPr>
              <w:jc w:val="right"/>
              <w:spacing w:after="0" w:line="203" w:lineRule="exact"/>
              <w:rPr>
                <w:sz w:val="20"/>
                <w:szCs w:val="20"/>
                <w:color w:val="auto"/>
              </w:rPr>
            </w:pPr>
            <w:r>
              <w:rPr>
                <w:rFonts w:ascii="Arial" w:cs="Arial" w:eastAsia="Arial" w:hAnsi="Arial"/>
                <w:sz w:val="18"/>
                <w:szCs w:val="18"/>
                <w:color w:val="auto"/>
              </w:rPr>
              <w:t>(10,835)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income/(expenses)</w:t>
            </w:r>
          </w:p>
        </w:tc>
        <w:tc>
          <w:tcPr>
            <w:tcW w:w="126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482</w:t>
            </w:r>
          </w:p>
        </w:tc>
        <w:tc>
          <w:tcPr>
            <w:tcW w:w="80" w:type="dxa"/>
            <w:vAlign w:val="bottom"/>
          </w:tcPr>
          <w:p>
            <w:pPr>
              <w:spacing w:after="0"/>
              <w:rPr>
                <w:sz w:val="17"/>
                <w:szCs w:val="17"/>
                <w:color w:val="auto"/>
              </w:rPr>
            </w:pPr>
          </w:p>
        </w:tc>
        <w:tc>
          <w:tcPr>
            <w:tcW w:w="11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203</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Borders>
              <w:top w:val="single" w:sz="8" w:color="D5EAEA"/>
              <w:bottom w:val="single" w:sz="8" w:color="D5EAEA"/>
            </w:tcBorders>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40" w:type="dxa"/>
            <w:vAlign w:val="bottom"/>
            <w:tcBorders>
              <w:top w:val="single" w:sz="8" w:color="auto"/>
              <w:bottom w:val="single" w:sz="8" w:color="auto"/>
            </w:tcBorders>
            <w:gridSpan w:val="3"/>
            <w:shd w:val="clear" w:color="auto" w:fill="D5EAEA"/>
          </w:tcPr>
          <w:p>
            <w:pPr>
              <w:jc w:val="right"/>
              <w:ind w:right="40"/>
              <w:spacing w:after="0" w:line="196" w:lineRule="exact"/>
              <w:rPr>
                <w:sz w:val="20"/>
                <w:szCs w:val="20"/>
                <w:color w:val="auto"/>
              </w:rPr>
            </w:pPr>
            <w:r>
              <w:rPr>
                <w:rFonts w:ascii="Arial" w:cs="Arial" w:eastAsia="Arial" w:hAnsi="Arial"/>
                <w:sz w:val="18"/>
                <w:szCs w:val="18"/>
                <w:color w:val="auto"/>
              </w:rPr>
              <w:t>(19,928)</w:t>
            </w:r>
          </w:p>
        </w:tc>
        <w:tc>
          <w:tcPr>
            <w:tcW w:w="80" w:type="dxa"/>
            <w:vAlign w:val="bottom"/>
            <w:tcBorders>
              <w:top w:val="single" w:sz="8" w:color="D5EAEA"/>
              <w:bottom w:val="single" w:sz="8" w:color="D5EAEA"/>
            </w:tcBorders>
            <w:shd w:val="clear" w:color="auto" w:fill="D5EAEA"/>
          </w:tcPr>
          <w:p>
            <w:pPr>
              <w:spacing w:after="0"/>
              <w:rPr>
                <w:sz w:val="18"/>
                <w:szCs w:val="18"/>
                <w:color w:val="auto"/>
              </w:rPr>
            </w:pPr>
          </w:p>
        </w:tc>
        <w:tc>
          <w:tcPr>
            <w:tcW w:w="1080" w:type="dxa"/>
            <w:vAlign w:val="bottom"/>
            <w:tcBorders>
              <w:top w:val="single" w:sz="8" w:color="auto"/>
              <w:bottom w:val="single" w:sz="8" w:color="auto"/>
            </w:tcBorders>
            <w:gridSpan w:val="3"/>
            <w:shd w:val="clear" w:color="auto" w:fill="D5EAEA"/>
          </w:tcPr>
          <w:p>
            <w:pPr>
              <w:jc w:val="right"/>
              <w:spacing w:after="0" w:line="196" w:lineRule="exact"/>
              <w:rPr>
                <w:sz w:val="20"/>
                <w:szCs w:val="20"/>
                <w:color w:val="auto"/>
              </w:rPr>
            </w:pPr>
            <w:r>
              <w:rPr>
                <w:rFonts w:ascii="Arial" w:cs="Arial" w:eastAsia="Arial" w:hAnsi="Arial"/>
                <w:sz w:val="18"/>
                <w:szCs w:val="18"/>
                <w:color w:val="auto"/>
              </w:rPr>
              <w:t>(15,231</w:t>
            </w:r>
          </w:p>
        </w:tc>
        <w:tc>
          <w:tcPr>
            <w:tcW w:w="80" w:type="dxa"/>
            <w:vAlign w:val="bottom"/>
            <w:tcBorders>
              <w:top w:val="single" w:sz="8" w:color="D5EAEA"/>
              <w:bottom w:val="single" w:sz="8" w:color="D5EAEA"/>
            </w:tcBorders>
            <w:shd w:val="clear" w:color="auto" w:fill="D5EAEA"/>
          </w:tcPr>
          <w:p>
            <w:pPr>
              <w:jc w:val="right"/>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shd w:val="clear" w:color="auto" w:fill="D5EAEA"/>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D5EAEA"/>
          </w:tcPr>
          <w:p>
            <w:pPr>
              <w:jc w:val="right"/>
              <w:ind w:right="40"/>
              <w:spacing w:after="0" w:line="196" w:lineRule="exact"/>
              <w:rPr>
                <w:sz w:val="20"/>
                <w:szCs w:val="20"/>
                <w:color w:val="auto"/>
              </w:rPr>
            </w:pPr>
            <w:r>
              <w:rPr>
                <w:rFonts w:ascii="Arial" w:cs="Arial" w:eastAsia="Arial" w:hAnsi="Arial"/>
                <w:sz w:val="18"/>
                <w:szCs w:val="18"/>
                <w:color w:val="auto"/>
              </w:rPr>
              <w:t>(56,282)</w:t>
            </w:r>
          </w:p>
        </w:tc>
        <w:tc>
          <w:tcPr>
            <w:tcW w:w="20" w:type="dxa"/>
            <w:vAlign w:val="bottom"/>
            <w:tcBorders>
              <w:top w:val="single" w:sz="8" w:color="D5EAEA"/>
              <w:bottom w:val="single" w:sz="8" w:color="D5EAEA"/>
            </w:tcBorders>
            <w:shd w:val="clear" w:color="auto" w:fill="D5EAEA"/>
          </w:tcPr>
          <w:p>
            <w:pPr>
              <w:spacing w:after="0"/>
              <w:rPr>
                <w:sz w:val="18"/>
                <w:szCs w:val="18"/>
                <w:color w:val="auto"/>
              </w:rPr>
            </w:pPr>
          </w:p>
        </w:tc>
        <w:tc>
          <w:tcPr>
            <w:tcW w:w="60" w:type="dxa"/>
            <w:vAlign w:val="bottom"/>
            <w:tcBorders>
              <w:top w:val="single" w:sz="8" w:color="D5EAEA"/>
              <w:bottom w:val="single" w:sz="8" w:color="D5EAEA"/>
            </w:tcBorders>
            <w:shd w:val="clear" w:color="auto" w:fill="D5EAEA"/>
          </w:tcPr>
          <w:p>
            <w:pPr>
              <w:spacing w:after="0"/>
              <w:rPr>
                <w:sz w:val="18"/>
                <w:szCs w:val="18"/>
                <w:color w:val="auto"/>
              </w:rPr>
            </w:pPr>
          </w:p>
        </w:tc>
        <w:tc>
          <w:tcPr>
            <w:tcW w:w="40" w:type="dxa"/>
            <w:vAlign w:val="bottom"/>
            <w:tcBorders>
              <w:top w:val="single" w:sz="8" w:color="auto"/>
              <w:bottom w:val="single" w:sz="8" w:color="auto"/>
            </w:tcBorders>
            <w:shd w:val="clear" w:color="auto" w:fill="D5EAEA"/>
          </w:tcPr>
          <w:p>
            <w:pPr>
              <w:spacing w:after="0"/>
              <w:rPr>
                <w:sz w:val="18"/>
                <w:szCs w:val="18"/>
                <w:color w:val="auto"/>
              </w:rPr>
            </w:pPr>
          </w:p>
        </w:tc>
        <w:tc>
          <w:tcPr>
            <w:tcW w:w="140" w:type="dxa"/>
            <w:vAlign w:val="bottom"/>
            <w:tcBorders>
              <w:top w:val="single" w:sz="8" w:color="auto"/>
              <w:bottom w:val="single" w:sz="8" w:color="auto"/>
            </w:tcBorders>
            <w:shd w:val="clear" w:color="auto" w:fill="D5EAEA"/>
          </w:tcPr>
          <w:p>
            <w:pPr>
              <w:spacing w:after="0"/>
              <w:rPr>
                <w:sz w:val="18"/>
                <w:szCs w:val="18"/>
                <w:color w:val="auto"/>
              </w:rPr>
            </w:pPr>
          </w:p>
        </w:tc>
        <w:tc>
          <w:tcPr>
            <w:tcW w:w="9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(46,237)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400" w:type="dxa"/>
            <w:vAlign w:val="bottom"/>
            <w:tcBorders>
              <w:bottom w:val="single" w:sz="8" w:color="D5EAEA"/>
            </w:tcBorders>
            <w:gridSpan w:val="2"/>
          </w:tcPr>
          <w:p>
            <w:pPr>
              <w:spacing w:after="0" w:line="189" w:lineRule="exact"/>
              <w:rPr>
                <w:sz w:val="20"/>
                <w:szCs w:val="20"/>
                <w:color w:val="auto"/>
              </w:rPr>
            </w:pPr>
            <w:r>
              <w:rPr>
                <w:rFonts w:ascii="Arial" w:cs="Arial" w:eastAsia="Arial" w:hAnsi="Arial"/>
                <w:sz w:val="18"/>
                <w:szCs w:val="18"/>
                <w:b w:val="1"/>
                <w:bCs w:val="1"/>
                <w:color w:val="auto"/>
              </w:rPr>
              <w:t>Operating income/(loss)</w:t>
            </w:r>
          </w:p>
        </w:tc>
        <w:tc>
          <w:tcPr>
            <w:tcW w:w="120" w:type="dxa"/>
            <w:vAlign w:val="bottom"/>
            <w:tcBorders>
              <w:bottom w:val="single" w:sz="8" w:color="D5EAEA"/>
            </w:tcBorders>
          </w:tcPr>
          <w:p>
            <w:pPr>
              <w:spacing w:after="0"/>
              <w:rPr>
                <w:sz w:val="16"/>
                <w:szCs w:val="16"/>
                <w:color w:val="auto"/>
              </w:rPr>
            </w:pPr>
          </w:p>
        </w:tc>
        <w:tc>
          <w:tcPr>
            <w:tcW w:w="1140" w:type="dxa"/>
            <w:vAlign w:val="bottom"/>
            <w:tcBorders>
              <w:bottom w:val="single" w:sz="8" w:color="auto"/>
            </w:tcBorders>
            <w:gridSpan w:val="3"/>
          </w:tcPr>
          <w:p>
            <w:pPr>
              <w:jc w:val="right"/>
              <w:ind w:right="40"/>
              <w:spacing w:after="0" w:line="189" w:lineRule="exact"/>
              <w:rPr>
                <w:sz w:val="20"/>
                <w:szCs w:val="20"/>
                <w:color w:val="auto"/>
              </w:rPr>
            </w:pPr>
            <w:r>
              <w:rPr>
                <w:rFonts w:ascii="Arial" w:cs="Arial" w:eastAsia="Arial" w:hAnsi="Arial"/>
                <w:sz w:val="18"/>
                <w:szCs w:val="18"/>
                <w:color w:val="auto"/>
              </w:rPr>
              <w:t>(18,805)</w:t>
            </w:r>
          </w:p>
        </w:tc>
        <w:tc>
          <w:tcPr>
            <w:tcW w:w="80" w:type="dxa"/>
            <w:vAlign w:val="bottom"/>
            <w:tcBorders>
              <w:bottom w:val="single" w:sz="8" w:color="D5EAEA"/>
            </w:tcBorders>
          </w:tcPr>
          <w:p>
            <w:pPr>
              <w:spacing w:after="0"/>
              <w:rPr>
                <w:sz w:val="16"/>
                <w:szCs w:val="16"/>
                <w:color w:val="auto"/>
              </w:rPr>
            </w:pPr>
          </w:p>
        </w:tc>
        <w:tc>
          <w:tcPr>
            <w:tcW w:w="1080" w:type="dxa"/>
            <w:vAlign w:val="bottom"/>
            <w:tcBorders>
              <w:bottom w:val="single" w:sz="8" w:color="auto"/>
            </w:tcBorders>
            <w:gridSpan w:val="3"/>
          </w:tcPr>
          <w:p>
            <w:pPr>
              <w:jc w:val="right"/>
              <w:spacing w:after="0" w:line="189" w:lineRule="exact"/>
              <w:rPr>
                <w:sz w:val="20"/>
                <w:szCs w:val="20"/>
                <w:color w:val="auto"/>
              </w:rPr>
            </w:pPr>
            <w:r>
              <w:rPr>
                <w:rFonts w:ascii="Arial" w:cs="Arial" w:eastAsia="Arial" w:hAnsi="Arial"/>
                <w:sz w:val="18"/>
                <w:szCs w:val="18"/>
                <w:color w:val="auto"/>
              </w:rPr>
              <w:t>17,977</w:t>
            </w:r>
          </w:p>
        </w:tc>
        <w:tc>
          <w:tcPr>
            <w:tcW w:w="80" w:type="dxa"/>
            <w:vAlign w:val="bottom"/>
            <w:tcBorders>
              <w:bottom w:val="single" w:sz="8" w:color="D5EAEA"/>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0"/>
              <w:spacing w:after="0" w:line="189" w:lineRule="exact"/>
              <w:rPr>
                <w:sz w:val="20"/>
                <w:szCs w:val="20"/>
                <w:color w:val="auto"/>
              </w:rPr>
            </w:pPr>
            <w:r>
              <w:rPr>
                <w:rFonts w:ascii="Arial" w:cs="Arial" w:eastAsia="Arial" w:hAnsi="Arial"/>
                <w:sz w:val="18"/>
                <w:szCs w:val="18"/>
                <w:color w:val="auto"/>
              </w:rPr>
              <w:t>(41,795)</w:t>
            </w:r>
          </w:p>
        </w:tc>
        <w:tc>
          <w:tcPr>
            <w:tcW w:w="20" w:type="dxa"/>
            <w:vAlign w:val="bottom"/>
            <w:tcBorders>
              <w:bottom w:val="single" w:sz="8" w:color="D5EAEA"/>
            </w:tcBorders>
          </w:tcPr>
          <w:p>
            <w:pPr>
              <w:spacing w:after="0"/>
              <w:rPr>
                <w:sz w:val="16"/>
                <w:szCs w:val="16"/>
                <w:color w:val="auto"/>
              </w:rPr>
            </w:pPr>
          </w:p>
        </w:tc>
        <w:tc>
          <w:tcPr>
            <w:tcW w:w="60" w:type="dxa"/>
            <w:vAlign w:val="bottom"/>
            <w:tcBorders>
              <w:bottom w:val="single" w:sz="8" w:color="D5EAEA"/>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63,359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Finance expense, net</w:t>
            </w:r>
          </w:p>
        </w:tc>
        <w:tc>
          <w:tcPr>
            <w:tcW w:w="126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(146)</w:t>
            </w:r>
          </w:p>
        </w:tc>
        <w:tc>
          <w:tcPr>
            <w:tcW w:w="80" w:type="dxa"/>
            <w:vAlign w:val="bottom"/>
          </w:tcPr>
          <w:p>
            <w:pPr>
              <w:spacing w:after="0"/>
              <w:rPr>
                <w:sz w:val="17"/>
                <w:szCs w:val="17"/>
                <w:color w:val="auto"/>
              </w:rPr>
            </w:pPr>
          </w:p>
        </w:tc>
        <w:tc>
          <w:tcPr>
            <w:tcW w:w="11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249</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(552)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D5EAEA"/>
          </w:tcPr>
          <w:p>
            <w:pPr>
              <w:spacing w:after="0" w:line="202" w:lineRule="exact"/>
              <w:rPr>
                <w:sz w:val="20"/>
                <w:szCs w:val="20"/>
                <w:color w:val="auto"/>
              </w:rPr>
            </w:pPr>
            <w:r>
              <w:rPr>
                <w:rFonts w:ascii="Arial" w:cs="Arial" w:eastAsia="Arial" w:hAnsi="Arial"/>
                <w:sz w:val="18"/>
                <w:szCs w:val="18"/>
                <w:color w:val="auto"/>
              </w:rPr>
              <w:t>Change in fair value of conversion feature</w:t>
            </w:r>
          </w:p>
        </w:tc>
        <w:tc>
          <w:tcPr>
            <w:tcW w:w="120" w:type="dxa"/>
            <w:vAlign w:val="bottom"/>
            <w:shd w:val="clear" w:color="auto" w:fill="D5EAEA"/>
          </w:tcPr>
          <w:p>
            <w:pPr>
              <w:spacing w:after="0"/>
              <w:rPr>
                <w:sz w:val="17"/>
                <w:szCs w:val="17"/>
                <w:color w:val="auto"/>
              </w:rPr>
            </w:pPr>
          </w:p>
        </w:tc>
        <w:tc>
          <w:tcPr>
            <w:tcW w:w="1220" w:type="dxa"/>
            <w:vAlign w:val="bottom"/>
            <w:gridSpan w:val="4"/>
            <w:shd w:val="clear" w:color="auto" w:fill="D5EAEA"/>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5"/>
            <w:shd w:val="clear" w:color="auto" w:fill="D5EAEA"/>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6"/>
            <w:shd w:val="clear" w:color="auto" w:fill="D5EAEA"/>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4,542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12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73</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D5EAEA"/>
          </w:tcPr>
          <w:p>
            <w:pPr>
              <w:spacing w:after="0" w:line="202" w:lineRule="exact"/>
              <w:rPr>
                <w:sz w:val="20"/>
                <w:szCs w:val="20"/>
                <w:color w:val="auto"/>
              </w:rPr>
            </w:pPr>
            <w:r>
              <w:rPr>
                <w:rFonts w:ascii="Arial" w:cs="Arial" w:eastAsia="Arial" w:hAnsi="Arial"/>
                <w:sz w:val="18"/>
                <w:szCs w:val="18"/>
                <w:color w:val="auto"/>
              </w:rPr>
              <w:t>Interest expense</w:t>
            </w:r>
          </w:p>
        </w:tc>
        <w:tc>
          <w:tcPr>
            <w:tcW w:w="1260" w:type="dxa"/>
            <w:vAlign w:val="bottom"/>
            <w:gridSpan w:val="4"/>
            <w:shd w:val="clear" w:color="auto" w:fill="D5EAEA"/>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80" w:type="dxa"/>
            <w:vAlign w:val="bottom"/>
            <w:shd w:val="clear" w:color="auto" w:fill="D5EAEA"/>
          </w:tcPr>
          <w:p>
            <w:pPr>
              <w:spacing w:after="0"/>
              <w:rPr>
                <w:sz w:val="17"/>
                <w:szCs w:val="17"/>
                <w:color w:val="auto"/>
              </w:rPr>
            </w:pPr>
          </w:p>
        </w:tc>
        <w:tc>
          <w:tcPr>
            <w:tcW w:w="1240" w:type="dxa"/>
            <w:vAlign w:val="bottom"/>
            <w:gridSpan w:val="5"/>
            <w:shd w:val="clear" w:color="auto" w:fill="D5EAEA"/>
          </w:tcPr>
          <w:p>
            <w:pPr>
              <w:jc w:val="right"/>
              <w:ind w:right="80"/>
              <w:spacing w:after="0" w:line="202" w:lineRule="exact"/>
              <w:rPr>
                <w:sz w:val="20"/>
                <w:szCs w:val="20"/>
                <w:color w:val="auto"/>
              </w:rPr>
            </w:pPr>
            <w:r>
              <w:rPr>
                <w:rFonts w:ascii="Arial" w:cs="Arial" w:eastAsia="Arial" w:hAnsi="Arial"/>
                <w:sz w:val="18"/>
                <w:szCs w:val="18"/>
                <w:color w:val="auto"/>
              </w:rPr>
              <w:t>(86)</w:t>
            </w:r>
          </w:p>
        </w:tc>
        <w:tc>
          <w:tcPr>
            <w:tcW w:w="1020" w:type="dxa"/>
            <w:vAlign w:val="bottom"/>
            <w:gridSpan w:val="2"/>
            <w:shd w:val="clear" w:color="auto" w:fill="D5EAEA"/>
          </w:tcPr>
          <w:p>
            <w:pPr>
              <w:jc w:val="right"/>
              <w:ind w:right="40"/>
              <w:spacing w:after="0" w:line="202" w:lineRule="exact"/>
              <w:rPr>
                <w:sz w:val="20"/>
                <w:szCs w:val="20"/>
                <w:color w:val="auto"/>
              </w:rPr>
            </w:pPr>
            <w:r>
              <w:rPr>
                <w:rFonts w:ascii="Arial" w:cs="Arial" w:eastAsia="Arial" w:hAnsi="Arial"/>
                <w:sz w:val="18"/>
                <w:szCs w:val="18"/>
                <w:color w:val="auto"/>
              </w:rPr>
              <w:t>(152)</w:t>
            </w:r>
          </w:p>
        </w:tc>
        <w:tc>
          <w:tcPr>
            <w:tcW w:w="2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(1,686)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Finance result, net</w:t>
            </w:r>
          </w:p>
        </w:tc>
        <w:tc>
          <w:tcPr>
            <w:tcW w:w="120" w:type="dxa"/>
            <w:vAlign w:val="bottom"/>
            <w:tcBorders>
              <w:bottom w:val="single" w:sz="8" w:color="D5EAEA"/>
            </w:tcBorders>
          </w:tcPr>
          <w:p>
            <w:pPr>
              <w:spacing w:after="0"/>
              <w:rPr>
                <w:sz w:val="17"/>
                <w:szCs w:val="17"/>
                <w:color w:val="auto"/>
              </w:rPr>
            </w:pPr>
          </w:p>
        </w:tc>
        <w:tc>
          <w:tcPr>
            <w:tcW w:w="1140" w:type="dxa"/>
            <w:vAlign w:val="bottom"/>
            <w:tcBorders>
              <w:top w:val="single" w:sz="8" w:color="auto"/>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color w:val="auto"/>
              </w:rPr>
              <w:t>(189)</w:t>
            </w:r>
          </w:p>
        </w:tc>
        <w:tc>
          <w:tcPr>
            <w:tcW w:w="80" w:type="dxa"/>
            <w:vAlign w:val="bottom"/>
            <w:tcBorders>
              <w:bottom w:val="single" w:sz="8" w:color="D5EAEA"/>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236</w:t>
            </w:r>
          </w:p>
        </w:tc>
        <w:tc>
          <w:tcPr>
            <w:tcW w:w="80" w:type="dxa"/>
            <w:vAlign w:val="bottom"/>
            <w:tcBorders>
              <w:bottom w:val="single" w:sz="8" w:color="D5EAEA"/>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(626)</w:t>
            </w:r>
          </w:p>
        </w:tc>
        <w:tc>
          <w:tcPr>
            <w:tcW w:w="20" w:type="dxa"/>
            <w:vAlign w:val="bottom"/>
            <w:tcBorders>
              <w:bottom w:val="single" w:sz="8" w:color="D5EAEA"/>
            </w:tcBorders>
          </w:tcPr>
          <w:p>
            <w:pPr>
              <w:spacing w:after="0"/>
              <w:rPr>
                <w:sz w:val="17"/>
                <w:szCs w:val="17"/>
                <w:color w:val="auto"/>
              </w:rPr>
            </w:pPr>
          </w:p>
        </w:tc>
        <w:tc>
          <w:tcPr>
            <w:tcW w:w="60" w:type="dxa"/>
            <w:vAlign w:val="bottom"/>
            <w:tcBorders>
              <w:bottom w:val="single" w:sz="8" w:color="D5EAEA"/>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Income/(loss) before tax</w:t>
            </w:r>
          </w:p>
        </w:tc>
        <w:tc>
          <w:tcPr>
            <w:tcW w:w="126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(18,994)</w:t>
            </w:r>
          </w:p>
        </w:tc>
        <w:tc>
          <w:tcPr>
            <w:tcW w:w="80" w:type="dxa"/>
            <w:vAlign w:val="bottom"/>
          </w:tcPr>
          <w:p>
            <w:pPr>
              <w:spacing w:after="0"/>
              <w:rPr>
                <w:sz w:val="17"/>
                <w:szCs w:val="17"/>
                <w:color w:val="auto"/>
              </w:rPr>
            </w:pPr>
          </w:p>
        </w:tc>
        <w:tc>
          <w:tcPr>
            <w:tcW w:w="11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18,213</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(42,421)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64,888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D5EAEA"/>
            </w:tcBorders>
            <w:gridSpan w:val="2"/>
            <w:shd w:val="clear" w:color="auto" w:fill="D5EAEA"/>
          </w:tcPr>
          <w:p>
            <w:pPr>
              <w:spacing w:after="0" w:line="196" w:lineRule="exact"/>
              <w:rPr>
                <w:sz w:val="20"/>
                <w:szCs w:val="20"/>
                <w:color w:val="auto"/>
              </w:rPr>
            </w:pPr>
            <w:r>
              <w:rPr>
                <w:rFonts w:ascii="Arial" w:cs="Arial" w:eastAsia="Arial" w:hAnsi="Arial"/>
                <w:sz w:val="18"/>
                <w:szCs w:val="18"/>
                <w:color w:val="auto"/>
              </w:rPr>
              <w:t>Income tax expense</w:t>
            </w:r>
          </w:p>
        </w:tc>
        <w:tc>
          <w:tcPr>
            <w:tcW w:w="1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gridSpan w:val="3"/>
            <w:shd w:val="clear" w:color="auto" w:fill="D5EAEA"/>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D5EAEA"/>
            </w:tcBorders>
            <w:shd w:val="clear" w:color="auto" w:fill="D5EAEA"/>
          </w:tcPr>
          <w:p>
            <w:pPr>
              <w:spacing w:after="0"/>
              <w:rPr>
                <w:sz w:val="17"/>
                <w:szCs w:val="17"/>
                <w:color w:val="auto"/>
              </w:rPr>
            </w:pPr>
          </w:p>
        </w:tc>
        <w:tc>
          <w:tcPr>
            <w:tcW w:w="1080" w:type="dxa"/>
            <w:vAlign w:val="bottom"/>
            <w:tcBorders>
              <w:top w:val="single" w:sz="8" w:color="auto"/>
            </w:tcBorders>
            <w:gridSpan w:val="3"/>
            <w:shd w:val="clear" w:color="auto" w:fill="D5EAEA"/>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D5EAEA"/>
            </w:tcBorders>
            <w:shd w:val="clear" w:color="auto" w:fill="D5EAEA"/>
          </w:tcPr>
          <w:p>
            <w:pPr>
              <w:spacing w:after="0"/>
              <w:rPr>
                <w:sz w:val="17"/>
                <w:szCs w:val="17"/>
                <w:color w:val="auto"/>
              </w:rPr>
            </w:pPr>
          </w:p>
        </w:tc>
        <w:tc>
          <w:tcPr>
            <w:tcW w:w="80" w:type="dxa"/>
            <w:vAlign w:val="bottom"/>
            <w:tcBorders>
              <w:top w:val="single" w:sz="8" w:color="auto"/>
            </w:tcBorders>
            <w:shd w:val="clear" w:color="auto" w:fill="D5EAEA"/>
          </w:tcPr>
          <w:p>
            <w:pPr>
              <w:spacing w:after="0"/>
              <w:rPr>
                <w:sz w:val="17"/>
                <w:szCs w:val="17"/>
                <w:color w:val="auto"/>
              </w:rPr>
            </w:pPr>
          </w:p>
        </w:tc>
        <w:tc>
          <w:tcPr>
            <w:tcW w:w="1020" w:type="dxa"/>
            <w:vAlign w:val="bottom"/>
            <w:tcBorders>
              <w:top w:val="single" w:sz="8" w:color="auto"/>
            </w:tcBorders>
            <w:gridSpan w:val="2"/>
            <w:shd w:val="clear" w:color="auto" w:fill="D5EAEA"/>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D5EAEA"/>
            </w:tcBorders>
            <w:shd w:val="clear" w:color="auto" w:fill="D5EAEA"/>
          </w:tcPr>
          <w:p>
            <w:pPr>
              <w:spacing w:after="0"/>
              <w:rPr>
                <w:sz w:val="17"/>
                <w:szCs w:val="17"/>
                <w:color w:val="auto"/>
              </w:rPr>
            </w:pPr>
          </w:p>
        </w:tc>
        <w:tc>
          <w:tcPr>
            <w:tcW w:w="60" w:type="dxa"/>
            <w:vAlign w:val="bottom"/>
            <w:tcBorders>
              <w:top w:val="single" w:sz="8" w:color="D5EAEA"/>
            </w:tcBorders>
            <w:shd w:val="clear" w:color="auto" w:fill="D5EAEA"/>
          </w:tcPr>
          <w:p>
            <w:pPr>
              <w:spacing w:after="0"/>
              <w:rPr>
                <w:sz w:val="17"/>
                <w:szCs w:val="17"/>
                <w:color w:val="auto"/>
              </w:rPr>
            </w:pPr>
          </w:p>
        </w:tc>
        <w:tc>
          <w:tcPr>
            <w:tcW w:w="40" w:type="dxa"/>
            <w:vAlign w:val="bottom"/>
            <w:tcBorders>
              <w:top w:val="single" w:sz="8" w:color="auto"/>
            </w:tcBorders>
            <w:shd w:val="clear" w:color="auto" w:fill="D5EAEA"/>
          </w:tcPr>
          <w:p>
            <w:pPr>
              <w:spacing w:after="0"/>
              <w:rPr>
                <w:sz w:val="17"/>
                <w:szCs w:val="17"/>
                <w:color w:val="auto"/>
              </w:rPr>
            </w:pPr>
          </w:p>
        </w:tc>
        <w:tc>
          <w:tcPr>
            <w:tcW w:w="140" w:type="dxa"/>
            <w:vAlign w:val="bottom"/>
            <w:tcBorders>
              <w:top w:val="single" w:sz="8" w:color="auto"/>
            </w:tcBorders>
            <w:shd w:val="clear" w:color="auto" w:fill="D5EAEA"/>
          </w:tcPr>
          <w:p>
            <w:pPr>
              <w:spacing w:after="0"/>
              <w:rPr>
                <w:sz w:val="17"/>
                <w:szCs w:val="17"/>
                <w:color w:val="auto"/>
              </w:rPr>
            </w:pPr>
          </w:p>
        </w:tc>
        <w:tc>
          <w:tcPr>
            <w:tcW w:w="980" w:type="dxa"/>
            <w:vAlign w:val="bottom"/>
            <w:tcBorders>
              <w:top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Income/(loss) for the period</w:t>
            </w:r>
          </w:p>
        </w:tc>
        <w:tc>
          <w:tcPr>
            <w:tcW w:w="120" w:type="dxa"/>
            <w:vAlign w:val="bottom"/>
            <w:tcBorders>
              <w:bottom w:val="single" w:sz="8" w:color="D5EAEA"/>
            </w:tcBorders>
          </w:tcPr>
          <w:p>
            <w:pPr>
              <w:spacing w:after="0"/>
              <w:rPr>
                <w:sz w:val="17"/>
                <w:szCs w:val="17"/>
                <w:color w:val="auto"/>
              </w:rPr>
            </w:pPr>
          </w:p>
        </w:tc>
        <w:tc>
          <w:tcPr>
            <w:tcW w:w="1140" w:type="dxa"/>
            <w:vAlign w:val="bottom"/>
            <w:tcBorders>
              <w:top w:val="single" w:sz="8" w:color="auto"/>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color w:val="auto"/>
              </w:rPr>
              <w:t>(18,994)</w:t>
            </w:r>
          </w:p>
        </w:tc>
        <w:tc>
          <w:tcPr>
            <w:tcW w:w="80" w:type="dxa"/>
            <w:vAlign w:val="bottom"/>
            <w:tcBorders>
              <w:bottom w:val="single" w:sz="8" w:color="D5EAEA"/>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18,213</w:t>
            </w:r>
          </w:p>
        </w:tc>
        <w:tc>
          <w:tcPr>
            <w:tcW w:w="80" w:type="dxa"/>
            <w:vAlign w:val="bottom"/>
            <w:tcBorders>
              <w:bottom w:val="single" w:sz="8" w:color="D5EAEA"/>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D5EAEA"/>
            </w:tcBorders>
          </w:tcPr>
          <w:p>
            <w:pPr>
              <w:spacing w:after="0"/>
              <w:rPr>
                <w:sz w:val="17"/>
                <w:szCs w:val="17"/>
                <w:color w:val="auto"/>
              </w:rPr>
            </w:pPr>
          </w:p>
        </w:tc>
        <w:tc>
          <w:tcPr>
            <w:tcW w:w="60" w:type="dxa"/>
            <w:vAlign w:val="bottom"/>
            <w:tcBorders>
              <w:bottom w:val="single" w:sz="8" w:color="D5EAEA"/>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Earnings/(loss) per share (EPS):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D5EAEA"/>
          </w:tcPr>
          <w:p>
            <w:pPr>
              <w:spacing w:after="0" w:line="202" w:lineRule="exact"/>
              <w:rPr>
                <w:sz w:val="20"/>
                <w:szCs w:val="20"/>
                <w:color w:val="auto"/>
              </w:rPr>
            </w:pPr>
            <w:r>
              <w:rPr>
                <w:rFonts w:ascii="Arial" w:cs="Arial" w:eastAsia="Arial" w:hAnsi="Arial"/>
                <w:sz w:val="18"/>
                <w:szCs w:val="18"/>
                <w:color w:val="auto"/>
              </w:rPr>
              <w:t>Basic income/(loss) for the period attributable to equity holders</w:t>
            </w:r>
          </w:p>
        </w:tc>
        <w:tc>
          <w:tcPr>
            <w:tcW w:w="1260" w:type="dxa"/>
            <w:vAlign w:val="bottom"/>
            <w:gridSpan w:val="4"/>
            <w:shd w:val="clear" w:color="auto" w:fill="D5EAEA"/>
          </w:tcPr>
          <w:p>
            <w:pPr>
              <w:jc w:val="right"/>
              <w:ind w:right="40"/>
              <w:spacing w:after="0" w:line="202" w:lineRule="exact"/>
              <w:rPr>
                <w:sz w:val="20"/>
                <w:szCs w:val="20"/>
                <w:color w:val="auto"/>
              </w:rPr>
            </w:pPr>
            <w:r>
              <w:rPr>
                <w:rFonts w:ascii="Arial" w:cs="Arial" w:eastAsia="Arial" w:hAnsi="Arial"/>
                <w:sz w:val="18"/>
                <w:szCs w:val="18"/>
                <w:color w:val="auto"/>
              </w:rPr>
              <w:t>(0.26)</w:t>
            </w:r>
          </w:p>
        </w:tc>
        <w:tc>
          <w:tcPr>
            <w:tcW w:w="80" w:type="dxa"/>
            <w:vAlign w:val="bottom"/>
            <w:shd w:val="clear" w:color="auto" w:fill="D5EAEA"/>
          </w:tcPr>
          <w:p>
            <w:pPr>
              <w:spacing w:after="0"/>
              <w:rPr>
                <w:sz w:val="17"/>
                <w:szCs w:val="17"/>
                <w:color w:val="auto"/>
              </w:rPr>
            </w:pPr>
          </w:p>
        </w:tc>
        <w:tc>
          <w:tcPr>
            <w:tcW w:w="1160" w:type="dxa"/>
            <w:vAlign w:val="bottom"/>
            <w:gridSpan w:val="4"/>
            <w:shd w:val="clear" w:color="auto" w:fill="D5EAEA"/>
          </w:tcPr>
          <w:p>
            <w:pPr>
              <w:jc w:val="right"/>
              <w:spacing w:after="0" w:line="202" w:lineRule="exact"/>
              <w:rPr>
                <w:sz w:val="20"/>
                <w:szCs w:val="20"/>
                <w:color w:val="auto"/>
              </w:rPr>
            </w:pPr>
            <w:r>
              <w:rPr>
                <w:rFonts w:ascii="Arial" w:cs="Arial" w:eastAsia="Arial" w:hAnsi="Arial"/>
                <w:sz w:val="18"/>
                <w:szCs w:val="18"/>
                <w:color w:val="auto"/>
              </w:rPr>
              <w:t>0.25</w:t>
            </w:r>
          </w:p>
        </w:tc>
        <w:tc>
          <w:tcPr>
            <w:tcW w:w="80" w:type="dxa"/>
            <w:vAlign w:val="bottom"/>
            <w:shd w:val="clear" w:color="auto" w:fill="D5EAEA"/>
          </w:tcPr>
          <w:p>
            <w:pPr>
              <w:spacing w:after="0"/>
              <w:rPr>
                <w:sz w:val="17"/>
                <w:szCs w:val="17"/>
                <w:color w:val="auto"/>
              </w:rPr>
            </w:pPr>
          </w:p>
        </w:tc>
        <w:tc>
          <w:tcPr>
            <w:tcW w:w="1020" w:type="dxa"/>
            <w:vAlign w:val="bottom"/>
            <w:gridSpan w:val="2"/>
            <w:shd w:val="clear" w:color="auto" w:fill="D5EAEA"/>
          </w:tcPr>
          <w:p>
            <w:pPr>
              <w:jc w:val="right"/>
              <w:ind w:right="40"/>
              <w:spacing w:after="0" w:line="202" w:lineRule="exact"/>
              <w:rPr>
                <w:sz w:val="20"/>
                <w:szCs w:val="20"/>
                <w:color w:val="auto"/>
              </w:rPr>
            </w:pPr>
            <w:r>
              <w:rPr>
                <w:rFonts w:ascii="Arial" w:cs="Arial" w:eastAsia="Arial" w:hAnsi="Arial"/>
                <w:sz w:val="18"/>
                <w:szCs w:val="18"/>
                <w:color w:val="auto"/>
              </w:rPr>
              <w:t>(0.59)</w:t>
            </w:r>
          </w:p>
        </w:tc>
        <w:tc>
          <w:tcPr>
            <w:tcW w:w="2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0.92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400" w:type="dxa"/>
            <w:vAlign w:val="bottom"/>
            <w:gridSpan w:val="2"/>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10"/>
          </w:tcPr>
          <w:p>
            <w:pPr>
              <w:jc w:val="right"/>
              <w:ind w:right="620"/>
              <w:spacing w:after="0"/>
              <w:rPr>
                <w:sz w:val="20"/>
                <w:szCs w:val="20"/>
                <w:color w:val="auto"/>
              </w:rPr>
            </w:pPr>
            <w:r>
              <w:rPr>
                <w:rFonts w:ascii="Arial" w:cs="Arial" w:eastAsia="Arial" w:hAnsi="Arial"/>
                <w:sz w:val="18"/>
                <w:szCs w:val="18"/>
                <w:b w:val="1"/>
                <w:bCs w:val="1"/>
                <w:color w:val="auto"/>
              </w:rPr>
              <w:t>For the Three Months</w:t>
            </w:r>
          </w:p>
        </w:tc>
        <w:tc>
          <w:tcPr>
            <w:tcW w:w="228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9"/>
              </w:rPr>
              <w:t>For the Nine Months</w:t>
            </w:r>
          </w:p>
        </w:tc>
        <w:tc>
          <w:tcPr>
            <w:tcW w:w="0" w:type="dxa"/>
            <w:vAlign w:val="bottom"/>
          </w:tcPr>
          <w:p>
            <w:pPr>
              <w:spacing w:after="0"/>
              <w:rPr>
                <w:sz w:val="1"/>
                <w:szCs w:val="1"/>
                <w:color w:val="auto"/>
              </w:rPr>
            </w:pPr>
          </w:p>
        </w:tc>
      </w:tr>
      <w:tr>
        <w:trPr>
          <w:trHeight w:val="225"/>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Income/(Loss)</w:t>
            </w:r>
          </w:p>
        </w:tc>
        <w:tc>
          <w:tcPr>
            <w:tcW w:w="2580" w:type="dxa"/>
            <w:vAlign w:val="bottom"/>
            <w:gridSpan w:val="10"/>
          </w:tcPr>
          <w:p>
            <w:pPr>
              <w:jc w:val="right"/>
              <w:ind w:right="640"/>
              <w:spacing w:after="0"/>
              <w:rPr>
                <w:sz w:val="20"/>
                <w:szCs w:val="20"/>
                <w:color w:val="auto"/>
              </w:rPr>
            </w:pPr>
            <w:r>
              <w:rPr>
                <w:rFonts w:ascii="Arial" w:cs="Arial" w:eastAsia="Arial" w:hAnsi="Arial"/>
                <w:sz w:val="18"/>
                <w:szCs w:val="18"/>
                <w:b w:val="1"/>
                <w:bCs w:val="1"/>
                <w:color w:val="auto"/>
              </w:rPr>
              <w:t>Ended September 30,</w:t>
            </w:r>
          </w:p>
        </w:tc>
        <w:tc>
          <w:tcPr>
            <w:tcW w:w="228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(in CHF thousands)</w:t>
            </w: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jc w:val="right"/>
              <w:ind w:right="330"/>
              <w:spacing w:after="0" w:line="196"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D5EAEA"/>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D5EAEA"/>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ind w:left="22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D5EAEA"/>
            </w:tcBorders>
          </w:tcPr>
          <w:p>
            <w:pPr>
              <w:spacing w:after="0"/>
              <w:rPr>
                <w:sz w:val="17"/>
                <w:szCs w:val="17"/>
                <w:color w:val="auto"/>
              </w:rPr>
            </w:pPr>
          </w:p>
        </w:tc>
        <w:tc>
          <w:tcPr>
            <w:tcW w:w="40" w:type="dxa"/>
            <w:vAlign w:val="bottom"/>
            <w:tcBorders>
              <w:top w:val="single" w:sz="8" w:color="auto"/>
              <w:bottom w:val="single" w:sz="8" w:color="D5EAEA"/>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Income/(loss) for the period</w:t>
            </w: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(18,994)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18,213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6"/>
          </w:tcPr>
          <w:p>
            <w:pPr>
              <w:jc w:val="right"/>
              <w:ind w:right="140"/>
              <w:spacing w:after="0" w:line="202" w:lineRule="exact"/>
              <w:rPr>
                <w:sz w:val="20"/>
                <w:szCs w:val="20"/>
                <w:color w:val="auto"/>
              </w:rPr>
            </w:pPr>
            <w:r>
              <w:rPr>
                <w:rFonts w:ascii="Arial" w:cs="Arial" w:eastAsia="Arial" w:hAnsi="Arial"/>
                <w:sz w:val="18"/>
                <w:szCs w:val="18"/>
                <w:color w:val="auto"/>
              </w:rPr>
              <w:t>(42,421 )</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64,888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gridSpan w:val="2"/>
            <w:shd w:val="clear" w:color="auto" w:fill="D5EAEA"/>
          </w:tcPr>
          <w:p>
            <w:pPr>
              <w:spacing w:after="0" w:line="201" w:lineRule="exact"/>
              <w:rPr>
                <w:sz w:val="20"/>
                <w:szCs w:val="20"/>
                <w:color w:val="auto"/>
              </w:rPr>
            </w:pPr>
            <w:r>
              <w:rPr>
                <w:rFonts w:ascii="Arial" w:cs="Arial" w:eastAsia="Arial" w:hAnsi="Arial"/>
                <w:sz w:val="18"/>
                <w:szCs w:val="18"/>
                <w:color w:val="auto"/>
              </w:rPr>
              <w:t>Other comprehensive income/(loss) not to be reclassified to income or loss in</w:t>
            </w: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D5EAEA"/>
          </w:tcPr>
          <w:p>
            <w:pPr>
              <w:spacing w:after="0" w:line="203" w:lineRule="exact"/>
              <w:rPr>
                <w:sz w:val="20"/>
                <w:szCs w:val="20"/>
                <w:color w:val="auto"/>
              </w:rPr>
            </w:pPr>
            <w:r>
              <w:rPr>
                <w:rFonts w:ascii="Arial" w:cs="Arial" w:eastAsia="Arial" w:hAnsi="Arial"/>
                <w:sz w:val="18"/>
                <w:szCs w:val="18"/>
                <w:color w:val="auto"/>
              </w:rPr>
              <w:t>subsequent periods (net of tax):</w:t>
            </w: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D5EAEA"/>
            </w:tcBorders>
          </w:tcPr>
          <w:p>
            <w:pPr>
              <w:spacing w:after="0" w:line="202" w:lineRule="exact"/>
              <w:rPr>
                <w:sz w:val="20"/>
                <w:szCs w:val="20"/>
                <w:color w:val="auto"/>
              </w:rPr>
            </w:pPr>
            <w:r>
              <w:rPr>
                <w:rFonts w:ascii="Arial" w:cs="Arial" w:eastAsia="Arial" w:hAnsi="Arial"/>
                <w:sz w:val="18"/>
                <w:szCs w:val="18"/>
                <w:color w:val="auto"/>
              </w:rPr>
              <w:t>Re-measurement losses on defined benefit plans</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7"/>
                <w:szCs w:val="17"/>
                <w:color w:val="auto"/>
              </w:rPr>
            </w:pPr>
          </w:p>
        </w:tc>
        <w:tc>
          <w:tcPr>
            <w:tcW w:w="200" w:type="dxa"/>
            <w:vAlign w:val="bottom"/>
            <w:tcBorders>
              <w:bottom w:val="single" w:sz="8" w:color="auto"/>
            </w:tcBorders>
            <w:gridSpan w:val="3"/>
          </w:tcPr>
          <w:p>
            <w:pPr>
              <w:spacing w:after="0"/>
              <w:rPr>
                <w:sz w:val="17"/>
                <w:szCs w:val="17"/>
                <w:color w:val="auto"/>
              </w:rPr>
            </w:pPr>
          </w:p>
        </w:tc>
        <w:tc>
          <w:tcPr>
            <w:tcW w:w="1280" w:type="dxa"/>
            <w:vAlign w:val="bottom"/>
            <w:tcBorders>
              <w:bottom w:val="single" w:sz="8" w:color="auto"/>
            </w:tcBorders>
            <w:gridSpan w:val="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color w:val="auto"/>
              </w:rPr>
              <w:t>Total comprehensive income/(loss), net of tax</w:t>
            </w:r>
          </w:p>
        </w:tc>
        <w:tc>
          <w:tcPr>
            <w:tcW w:w="200" w:type="dxa"/>
            <w:vAlign w:val="bottom"/>
            <w:tcBorders>
              <w:bottom w:val="single" w:sz="8" w:color="auto"/>
            </w:tcBorders>
            <w:shd w:val="clear" w:color="auto" w:fill="D5EAEA"/>
          </w:tcPr>
          <w:p>
            <w:pPr>
              <w:spacing w:after="0"/>
              <w:rPr>
                <w:sz w:val="17"/>
                <w:szCs w:val="17"/>
                <w:color w:val="auto"/>
              </w:rPr>
            </w:pPr>
          </w:p>
        </w:tc>
        <w:tc>
          <w:tcPr>
            <w:tcW w:w="1040" w:type="dxa"/>
            <w:vAlign w:val="bottom"/>
            <w:tcBorders>
              <w:bottom w:val="single" w:sz="8" w:color="auto"/>
            </w:tcBorders>
            <w:gridSpan w:val="2"/>
            <w:shd w:val="clear" w:color="auto" w:fill="D5EAEA"/>
          </w:tcPr>
          <w:p>
            <w:pPr>
              <w:jc w:val="right"/>
              <w:spacing w:after="0" w:line="196" w:lineRule="exact"/>
              <w:rPr>
                <w:sz w:val="20"/>
                <w:szCs w:val="20"/>
                <w:color w:val="auto"/>
              </w:rPr>
            </w:pPr>
            <w:r>
              <w:rPr>
                <w:rFonts w:ascii="Arial" w:cs="Arial" w:eastAsia="Arial" w:hAnsi="Arial"/>
                <w:sz w:val="18"/>
                <w:szCs w:val="18"/>
                <w:color w:val="auto"/>
              </w:rPr>
              <w:t>(18,994</w:t>
            </w:r>
          </w:p>
        </w:tc>
        <w:tc>
          <w:tcPr>
            <w:tcW w:w="120" w:type="dxa"/>
            <w:vAlign w:val="bottom"/>
            <w:tcBorders>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D5EAEA"/>
          </w:tcPr>
          <w:p>
            <w:pPr>
              <w:spacing w:after="0"/>
              <w:rPr>
                <w:sz w:val="17"/>
                <w:szCs w:val="17"/>
                <w:color w:val="auto"/>
              </w:rPr>
            </w:pPr>
          </w:p>
        </w:tc>
        <w:tc>
          <w:tcPr>
            <w:tcW w:w="80" w:type="dxa"/>
            <w:vAlign w:val="bottom"/>
            <w:tcBorders>
              <w:bottom w:val="single" w:sz="8" w:color="auto"/>
            </w:tcBorders>
            <w:shd w:val="clear" w:color="auto" w:fill="D5EAEA"/>
          </w:tcPr>
          <w:p>
            <w:pPr>
              <w:spacing w:after="0"/>
              <w:rPr>
                <w:sz w:val="17"/>
                <w:szCs w:val="17"/>
                <w:color w:val="auto"/>
              </w:rPr>
            </w:pPr>
          </w:p>
        </w:tc>
        <w:tc>
          <w:tcPr>
            <w:tcW w:w="9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18,213</w:t>
            </w:r>
          </w:p>
        </w:tc>
        <w:tc>
          <w:tcPr>
            <w:tcW w:w="100" w:type="dxa"/>
            <w:vAlign w:val="bottom"/>
            <w:tcBorders>
              <w:bottom w:val="single" w:sz="8" w:color="D5EAEA"/>
            </w:tcBorders>
            <w:shd w:val="clear" w:color="auto" w:fill="D5EAEA"/>
          </w:tcPr>
          <w:p>
            <w:pPr>
              <w:spacing w:after="0"/>
              <w:rPr>
                <w:sz w:val="17"/>
                <w:szCs w:val="17"/>
                <w:color w:val="auto"/>
              </w:rPr>
            </w:pPr>
          </w:p>
        </w:tc>
        <w:tc>
          <w:tcPr>
            <w:tcW w:w="40" w:type="dxa"/>
            <w:vAlign w:val="bottom"/>
            <w:tcBorders>
              <w:bottom w:val="single" w:sz="8" w:color="auto"/>
            </w:tcBorders>
            <w:shd w:val="clear" w:color="auto" w:fill="D5EAEA"/>
          </w:tcPr>
          <w:p>
            <w:pPr>
              <w:spacing w:after="0"/>
              <w:rPr>
                <w:sz w:val="17"/>
                <w:szCs w:val="17"/>
                <w:color w:val="auto"/>
              </w:rPr>
            </w:pPr>
          </w:p>
        </w:tc>
        <w:tc>
          <w:tcPr>
            <w:tcW w:w="80" w:type="dxa"/>
            <w:vAlign w:val="bottom"/>
            <w:tcBorders>
              <w:bottom w:val="single" w:sz="8" w:color="auto"/>
            </w:tcBorders>
            <w:shd w:val="clear" w:color="auto" w:fill="D5EAEA"/>
          </w:tcPr>
          <w:p>
            <w:pPr>
              <w:spacing w:after="0"/>
              <w:rPr>
                <w:sz w:val="17"/>
                <w:szCs w:val="17"/>
                <w:color w:val="auto"/>
              </w:rPr>
            </w:pPr>
          </w:p>
        </w:tc>
        <w:tc>
          <w:tcPr>
            <w:tcW w:w="80" w:type="dxa"/>
            <w:vAlign w:val="bottom"/>
            <w:tcBorders>
              <w:bottom w:val="single" w:sz="8" w:color="auto"/>
            </w:tcBorders>
            <w:shd w:val="clear" w:color="auto" w:fill="D5EAEA"/>
          </w:tcPr>
          <w:p>
            <w:pPr>
              <w:spacing w:after="0"/>
              <w:rPr>
                <w:sz w:val="17"/>
                <w:szCs w:val="17"/>
                <w:color w:val="auto"/>
              </w:rPr>
            </w:pPr>
          </w:p>
        </w:tc>
        <w:tc>
          <w:tcPr>
            <w:tcW w:w="1280" w:type="dxa"/>
            <w:vAlign w:val="bottom"/>
            <w:tcBorders>
              <w:bottom w:val="single" w:sz="8" w:color="auto"/>
            </w:tcBorders>
            <w:gridSpan w:val="6"/>
            <w:shd w:val="clear" w:color="auto" w:fill="D5EAEA"/>
          </w:tcPr>
          <w:p>
            <w:pPr>
              <w:jc w:val="right"/>
              <w:ind w:right="140"/>
              <w:spacing w:after="0" w:line="196" w:lineRule="exact"/>
              <w:rPr>
                <w:sz w:val="20"/>
                <w:szCs w:val="20"/>
                <w:color w:val="auto"/>
              </w:rPr>
            </w:pPr>
            <w:r>
              <w:rPr>
                <w:rFonts w:ascii="Arial" w:cs="Arial" w:eastAsia="Arial" w:hAnsi="Arial"/>
                <w:sz w:val="18"/>
                <w:szCs w:val="18"/>
                <w:color w:val="auto"/>
              </w:rPr>
              <w:t>(42,421 )</w:t>
            </w:r>
          </w:p>
        </w:tc>
        <w:tc>
          <w:tcPr>
            <w:tcW w:w="98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64,888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8"/>
        </w:trPr>
        <w:tc>
          <w:tcPr>
            <w:tcW w:w="6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38" w:name="page39"/>
    <w:bookmarkEnd w:id="38"/>
    <w:p>
      <w:pPr>
        <w:ind w:left="2920"/>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18"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Earnings/(Loss) Per Share to Adjusted Earnings/(Loss) Per Share</w:t>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34" w:lineRule="auto"/>
        <w:rPr>
          <w:sz w:val="20"/>
          <w:szCs w:val="20"/>
          <w:color w:val="auto"/>
        </w:rPr>
      </w:pPr>
      <w:r>
        <w:rPr>
          <w:rFonts w:ascii="Arial" w:cs="Arial" w:eastAsia="Arial" w:hAnsi="Arial"/>
          <w:sz w:val="18"/>
          <w:szCs w:val="18"/>
          <w:color w:val="auto"/>
        </w:rPr>
        <w:t>Non-cash share-based payments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Foreign currency losses (b)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Effective interest expense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fair value of conversion feature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Adjusted Income/(Loss)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Adjustment to earnings/(loss) per share –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Adjusted earnings/(loss) per share – diluted</w:t>
      </w:r>
    </w:p>
    <w:p>
      <w:pPr>
        <w:ind w:left="180" w:hanging="167"/>
        <w:spacing w:after="0" w:line="234" w:lineRule="auto"/>
        <w:rPr>
          <w:sz w:val="20"/>
          <w:szCs w:val="20"/>
          <w:color w:val="auto"/>
        </w:rPr>
      </w:pPr>
      <w:r>
        <w:rPr>
          <w:rFonts w:ascii="Arial" w:cs="Arial" w:eastAsia="Arial" w:hAnsi="Arial"/>
          <w:sz w:val="18"/>
          <w:szCs w:val="18"/>
          <w:color w:val="auto"/>
        </w:rPr>
        <w:t>Weighted-average number of shares outstanding Adjusted earnings/(loss)– basic</w:t>
      </w:r>
    </w:p>
    <w:p>
      <w:pPr>
        <w:spacing w:after="0" w:line="1" w:lineRule="exact"/>
        <w:rPr>
          <w:sz w:val="20"/>
          <w:szCs w:val="20"/>
          <w:color w:val="auto"/>
        </w:rPr>
      </w:pPr>
    </w:p>
    <w:p>
      <w:pPr>
        <w:ind w:left="180" w:hanging="167"/>
        <w:spacing w:after="0" w:line="246" w:lineRule="auto"/>
        <w:rPr>
          <w:sz w:val="20"/>
          <w:szCs w:val="20"/>
          <w:color w:val="auto"/>
        </w:rPr>
      </w:pPr>
      <w:r>
        <w:rPr>
          <w:rFonts w:ascii="Arial" w:cs="Arial" w:eastAsia="Arial" w:hAnsi="Arial"/>
          <w:sz w:val="18"/>
          <w:szCs w:val="18"/>
          <w:color w:val="auto"/>
        </w:rPr>
        <w:t>Weighted-average number of shares outstanding Adjusted earnings/(loss)–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For the Three Months</w:t>
            </w:r>
          </w:p>
        </w:tc>
        <w:tc>
          <w:tcPr>
            <w:tcW w:w="2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For the Nine Months</w:t>
            </w:r>
          </w:p>
        </w:tc>
      </w:tr>
      <w:tr>
        <w:trPr>
          <w:trHeight w:val="225"/>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Ended September 30</w:t>
            </w:r>
          </w:p>
        </w:tc>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Ended September 30,</w:t>
            </w:r>
          </w:p>
        </w:tc>
      </w:tr>
      <w:tr>
        <w:trPr>
          <w:trHeight w:val="222"/>
        </w:trPr>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31375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100"/>
        <w:spacing w:after="0" w:line="234" w:lineRule="auto"/>
        <w:rPr>
          <w:sz w:val="20"/>
          <w:szCs w:val="20"/>
          <w:color w:val="auto"/>
        </w:rPr>
      </w:pPr>
      <w:r>
        <w:rPr>
          <w:rFonts w:ascii="Arial" w:cs="Arial" w:eastAsia="Arial" w:hAnsi="Arial"/>
          <w:sz w:val="18"/>
          <w:szCs w:val="18"/>
          <w:b w:val="1"/>
          <w:bCs w:val="1"/>
          <w:color w:val="auto"/>
        </w:rPr>
        <w:t>(in CHF thousands except for share and per share data)</w:t>
      </w:r>
    </w:p>
    <w:p>
      <w:pPr>
        <w:spacing w:after="0" w:line="1" w:lineRule="exact"/>
        <w:rPr>
          <w:sz w:val="20"/>
          <w:szCs w:val="20"/>
          <w:color w:val="auto"/>
        </w:rPr>
      </w:pPr>
    </w:p>
    <w:p>
      <w:pPr>
        <w:jc w:val="both"/>
        <w:ind w:left="580"/>
        <w:spacing w:after="0"/>
        <w:tabs>
          <w:tab w:leader="none" w:pos="1920" w:val="left"/>
          <w:tab w:leader="none" w:pos="3020" w:val="left"/>
          <w:tab w:leader="none" w:pos="4360" w:val="left"/>
        </w:tabs>
        <w:rPr>
          <w:sz w:val="20"/>
          <w:szCs w:val="20"/>
          <w:color w:val="auto"/>
        </w:rPr>
      </w:pPr>
      <w:r>
        <w:rPr>
          <w:rFonts w:ascii="Arial" w:cs="Arial" w:eastAsia="Arial" w:hAnsi="Arial"/>
          <w:sz w:val="18"/>
          <w:szCs w:val="18"/>
          <w:b w:val="1"/>
          <w:bCs w:val="1"/>
          <w:color w:val="auto"/>
        </w:rPr>
        <w:t>(18,994)</w:t>
      </w:r>
      <w:r>
        <w:rPr>
          <w:sz w:val="20"/>
          <w:szCs w:val="20"/>
          <w:color w:val="auto"/>
        </w:rPr>
        <w:tab/>
      </w:r>
      <w:r>
        <w:rPr>
          <w:rFonts w:ascii="Arial" w:cs="Arial" w:eastAsia="Arial" w:hAnsi="Arial"/>
          <w:sz w:val="18"/>
          <w:szCs w:val="18"/>
          <w:b w:val="1"/>
          <w:bCs w:val="1"/>
          <w:color w:val="auto"/>
        </w:rPr>
        <w:t>18,213</w:t>
      </w:r>
      <w:r>
        <w:rPr>
          <w:sz w:val="20"/>
          <w:szCs w:val="20"/>
          <w:color w:val="auto"/>
        </w:rPr>
        <w:tab/>
      </w:r>
      <w:r>
        <w:rPr>
          <w:rFonts w:ascii="Arial" w:cs="Arial" w:eastAsia="Arial" w:hAnsi="Arial"/>
          <w:sz w:val="18"/>
          <w:szCs w:val="18"/>
          <w:b w:val="1"/>
          <w:bCs w:val="1"/>
          <w:color w:val="auto"/>
        </w:rPr>
        <w:t>(42,421)</w:t>
      </w:r>
      <w:r>
        <w:rPr>
          <w:sz w:val="20"/>
          <w:szCs w:val="20"/>
          <w:color w:val="auto"/>
        </w:rPr>
        <w:tab/>
      </w:r>
      <w:r>
        <w:rPr>
          <w:rFonts w:ascii="Arial" w:cs="Arial" w:eastAsia="Arial" w:hAnsi="Arial"/>
          <w:sz w:val="18"/>
          <w:szCs w:val="18"/>
          <w:b w:val="1"/>
          <w:bCs w:val="1"/>
          <w:color w:val="auto"/>
        </w:rPr>
        <w:t>64,888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jc w:val="right"/>
              <w:ind w:right="90"/>
              <w:spacing w:after="0"/>
              <w:rPr>
                <w:sz w:val="20"/>
                <w:szCs w:val="20"/>
                <w:color w:val="auto"/>
              </w:rPr>
            </w:pPr>
            <w:r>
              <w:rPr>
                <w:rFonts w:ascii="Arial" w:cs="Arial" w:eastAsia="Arial" w:hAnsi="Arial"/>
                <w:sz w:val="18"/>
                <w:szCs w:val="18"/>
                <w:color w:val="auto"/>
              </w:rPr>
              <w:t>1,233</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882</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3,079</w:t>
            </w:r>
          </w:p>
        </w:tc>
        <w:tc>
          <w:tcPr>
            <w:tcW w:w="1060" w:type="dxa"/>
            <w:vAlign w:val="bottom"/>
          </w:tcPr>
          <w:p>
            <w:pPr>
              <w:jc w:val="right"/>
              <w:spacing w:after="0"/>
              <w:rPr>
                <w:sz w:val="20"/>
                <w:szCs w:val="20"/>
                <w:color w:val="auto"/>
              </w:rPr>
            </w:pPr>
            <w:r>
              <w:rPr>
                <w:rFonts w:ascii="Arial" w:cs="Arial" w:eastAsia="Arial" w:hAnsi="Arial"/>
                <w:sz w:val="18"/>
                <w:szCs w:val="18"/>
                <w:color w:val="auto"/>
              </w:rPr>
              <w:t>2,027</w:t>
            </w:r>
          </w:p>
        </w:tc>
      </w:tr>
      <w:tr>
        <w:trPr>
          <w:trHeight w:val="203"/>
        </w:trPr>
        <w:tc>
          <w:tcPr>
            <w:tcW w:w="1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187</w:t>
            </w:r>
          </w:p>
        </w:tc>
        <w:tc>
          <w:tcPr>
            <w:tcW w:w="12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(272)</w:t>
            </w:r>
          </w:p>
        </w:tc>
        <w:tc>
          <w:tcPr>
            <w:tcW w:w="12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686</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r>
      <w:tr>
        <w:trPr>
          <w:trHeight w:val="203"/>
        </w:trPr>
        <w:tc>
          <w:tcPr>
            <w:tcW w:w="1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1,355</w:t>
            </w:r>
          </w:p>
        </w:tc>
      </w:tr>
      <w:tr>
        <w:trPr>
          <w:trHeight w:val="203"/>
        </w:trPr>
        <w:tc>
          <w:tcPr>
            <w:tcW w:w="14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(4,542)</w:t>
            </w:r>
          </w:p>
        </w:tc>
      </w:tr>
      <w:tr>
        <w:trPr>
          <w:trHeight w:val="196"/>
        </w:trPr>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(17,574)</w:t>
            </w:r>
          </w:p>
        </w:tc>
        <w:tc>
          <w:tcPr>
            <w:tcW w:w="12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18,823</w:t>
            </w:r>
          </w:p>
        </w:tc>
        <w:tc>
          <w:tcPr>
            <w:tcW w:w="12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(38,656)</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64,014</w:t>
            </w:r>
          </w:p>
        </w:tc>
      </w:tr>
      <w:tr>
        <w:trPr>
          <w:trHeight w:val="412"/>
        </w:trPr>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(0.26)</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0.25</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(0.59)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0.92</w:t>
            </w:r>
          </w:p>
        </w:tc>
      </w:tr>
      <w:tr>
        <w:trPr>
          <w:trHeight w:val="196"/>
        </w:trPr>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(0.26)</w:t>
            </w:r>
          </w:p>
        </w:tc>
        <w:tc>
          <w:tcPr>
            <w:tcW w:w="12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0.25</w:t>
            </w:r>
          </w:p>
        </w:tc>
        <w:tc>
          <w:tcPr>
            <w:tcW w:w="12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(0.59)</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0.92</w:t>
            </w:r>
          </w:p>
        </w:tc>
      </w:tr>
      <w:tr>
        <w:trPr>
          <w:trHeight w:val="196"/>
        </w:trPr>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0.02</w:t>
            </w:r>
          </w:p>
        </w:tc>
        <w:tc>
          <w:tcPr>
            <w:tcW w:w="12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0.01</w:t>
            </w:r>
          </w:p>
        </w:tc>
        <w:tc>
          <w:tcPr>
            <w:tcW w:w="12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0.05</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r>
      <w:tr>
        <w:trPr>
          <w:trHeight w:val="196"/>
        </w:trPr>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0.02</w:t>
            </w:r>
          </w:p>
        </w:tc>
        <w:tc>
          <w:tcPr>
            <w:tcW w:w="12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0.01</w:t>
            </w:r>
          </w:p>
        </w:tc>
        <w:tc>
          <w:tcPr>
            <w:tcW w:w="12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0.05</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r>
      <w:tr>
        <w:trPr>
          <w:trHeight w:val="196"/>
        </w:trPr>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(0.24)</w:t>
            </w:r>
          </w:p>
        </w:tc>
        <w:tc>
          <w:tcPr>
            <w:tcW w:w="12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0.26</w:t>
            </w:r>
          </w:p>
        </w:tc>
        <w:tc>
          <w:tcPr>
            <w:tcW w:w="12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(0.54)</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0.91</w:t>
            </w:r>
          </w:p>
        </w:tc>
      </w:tr>
      <w:tr>
        <w:trPr>
          <w:trHeight w:val="196"/>
        </w:trPr>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(0.24)</w:t>
            </w:r>
          </w:p>
        </w:tc>
        <w:tc>
          <w:tcPr>
            <w:tcW w:w="12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0.26</w:t>
            </w:r>
          </w:p>
        </w:tc>
        <w:tc>
          <w:tcPr>
            <w:tcW w:w="12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(0.54)</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0.91</w:t>
            </w:r>
          </w:p>
        </w:tc>
      </w:tr>
      <w:tr>
        <w:trPr>
          <w:trHeight w:val="412"/>
        </w:trPr>
        <w:tc>
          <w:tcPr>
            <w:tcW w:w="1420" w:type="dxa"/>
            <w:vAlign w:val="bottom"/>
          </w:tcPr>
          <w:p>
            <w:pPr>
              <w:jc w:val="right"/>
              <w:ind w:right="90"/>
              <w:spacing w:after="0"/>
              <w:rPr>
                <w:sz w:val="20"/>
                <w:szCs w:val="20"/>
                <w:color w:val="auto"/>
              </w:rPr>
            </w:pPr>
            <w:r>
              <w:rPr>
                <w:rFonts w:ascii="Arial" w:cs="Arial" w:eastAsia="Arial" w:hAnsi="Arial"/>
                <w:sz w:val="18"/>
                <w:szCs w:val="18"/>
                <w:color w:val="auto"/>
              </w:rPr>
              <w:t>71,925,009</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71,822,884</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71,888,273</w:t>
            </w:r>
          </w:p>
        </w:tc>
        <w:tc>
          <w:tcPr>
            <w:tcW w:w="1060" w:type="dxa"/>
            <w:vAlign w:val="bottom"/>
          </w:tcPr>
          <w:p>
            <w:pPr>
              <w:jc w:val="right"/>
              <w:spacing w:after="0"/>
              <w:rPr>
                <w:sz w:val="20"/>
                <w:szCs w:val="20"/>
                <w:color w:val="auto"/>
              </w:rPr>
            </w:pPr>
            <w:r>
              <w:rPr>
                <w:rFonts w:ascii="Arial" w:cs="Arial" w:eastAsia="Arial" w:hAnsi="Arial"/>
                <w:sz w:val="18"/>
                <w:szCs w:val="18"/>
                <w:color w:val="auto"/>
              </w:rPr>
              <w:t>70,184,257</w:t>
            </w:r>
          </w:p>
        </w:tc>
      </w:tr>
      <w:tr>
        <w:trPr>
          <w:trHeight w:val="405"/>
        </w:trPr>
        <w:tc>
          <w:tcPr>
            <w:tcW w:w="1420" w:type="dxa"/>
            <w:vAlign w:val="bottom"/>
          </w:tcPr>
          <w:p>
            <w:pPr>
              <w:jc w:val="right"/>
              <w:ind w:right="90"/>
              <w:spacing w:after="0"/>
              <w:rPr>
                <w:sz w:val="20"/>
                <w:szCs w:val="20"/>
                <w:color w:val="auto"/>
              </w:rPr>
            </w:pPr>
            <w:r>
              <w:rPr>
                <w:rFonts w:ascii="Arial" w:cs="Arial" w:eastAsia="Arial" w:hAnsi="Arial"/>
                <w:sz w:val="18"/>
                <w:szCs w:val="18"/>
                <w:color w:val="auto"/>
              </w:rPr>
              <w:t>71,925,009</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72,281,264</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71,888,273</w:t>
            </w:r>
          </w:p>
        </w:tc>
        <w:tc>
          <w:tcPr>
            <w:tcW w:w="1060" w:type="dxa"/>
            <w:vAlign w:val="bottom"/>
          </w:tcPr>
          <w:p>
            <w:pPr>
              <w:jc w:val="right"/>
              <w:spacing w:after="0"/>
              <w:rPr>
                <w:sz w:val="20"/>
                <w:szCs w:val="20"/>
                <w:color w:val="auto"/>
              </w:rPr>
            </w:pPr>
            <w:r>
              <w:rPr>
                <w:rFonts w:ascii="Arial" w:cs="Arial" w:eastAsia="Arial" w:hAnsi="Arial"/>
                <w:sz w:val="18"/>
                <w:szCs w:val="18"/>
                <w:color w:val="auto"/>
              </w:rPr>
              <w:t>70,700,690</w:t>
            </w:r>
          </w:p>
        </w:tc>
      </w:tr>
    </w:tbl>
    <w:p>
      <w:pPr>
        <w:spacing w:after="0" w:line="187" w:lineRule="exact"/>
        <w:rPr>
          <w:sz w:val="20"/>
          <w:szCs w:val="20"/>
          <w:color w:val="auto"/>
        </w:rPr>
      </w:pPr>
    </w:p>
    <w:p>
      <w:pPr>
        <w:sectPr>
          <w:pgSz w:w="11900" w:h="16838" w:orient="portrait"/>
          <w:cols w:equalWidth="0" w:num="2">
            <w:col w:w="5980" w:space="320"/>
            <w:col w:w="4940"/>
          </w:cols>
          <w:pgMar w:left="320" w:top="576" w:right="339" w:bottom="1440" w:gutter="0" w:footer="0" w:header="0"/>
          <w:type w:val="continuous"/>
        </w:sectPr>
      </w:pPr>
    </w:p>
    <w:p>
      <w:pPr>
        <w:jc w:val="both"/>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22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22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interest expense for the period relates to the accretion of the Company’s convertible loan in accordance with the effective interest method.</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19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Adjustments for the three and nine months ended September 30, 2020, were CHF 1.4 million and CHF 3.8 million decreases in net losses compared with an increase to net income and a decrease to net income of CHF 0.6 million and CHF 0.9 million for the comparable periods in 2019, respectively. The Company recorded CHF 1.2 million and CHF 3.1 million for the three and nine months, respectively, for share-based compensation expenses. There were foreign currency remeasurement losses of less than CHF 0.2 million and CHF 0.7 million, respectively, predominantly related to the movement in our forward contract settled in Q2 2020. For the three months ended September 30, 2019, the Company recorded CHF 0.9 million for share-based compensation expenses. For the nine months ended September 30, 2019, the Company recorded CHF 2.0 million for share-based compensation expense. Additionally, the Company recorded CHF 1.4 million for amortization of effective interest and a CHF 4.5 million gain for the change in fair value of the liability related to the conversion feature for the nine months ended September 30, 2019. These were not repeated in the current period.</w:t>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6"/>
    </w:lvl>
  </w:abstractNum>
  <w:abstractNum w:abstractNumId="4">
    <w:nsid w:val="4DB127F8"/>
    <w:multiLevelType w:val="hybridMultilevel"/>
    <w:lvl w:ilvl="0">
      <w:lvlJc w:val="left"/>
      <w:lvlText w:val="%1."/>
      <w:numFmt w:val="decimal"/>
      <w:start w:val="7"/>
    </w:lvl>
  </w:abstractNum>
  <w:abstractNum w:abstractNumId="5">
    <w:nsid w:val="216231B"/>
    <w:multiLevelType w:val="hybridMultilevel"/>
    <w:lvl w:ilvl="0">
      <w:lvlJc w:val="left"/>
      <w:lvlText w:val="%1."/>
      <w:numFmt w:val="decimal"/>
      <w:start w:val="8"/>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310"/>
    </w:lvl>
    <w:lvl w:ilvl="1">
      <w:lvlJc w:val="left"/>
      <w:lvlText w:val="%2."/>
      <w:numFmt w:val="decimal"/>
      <w:start w:val="10"/>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2020-11-13T07:05:27Z</dcterms:created>
  <dcterms:modified xsi:type="dcterms:W3CDTF">2020-11-13T07:05:27Z</dcterms:modified>
</cp:coreProperties>
</file>