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333-255576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April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142875</wp:posOffset>
            </wp:positionV>
            <wp:extent cx="212598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598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Up to $80,000,000</w:t>
      </w:r>
    </w:p>
    <w:p>
      <w:pPr>
        <w:spacing w:after="0" w:line="315" w:lineRule="exact"/>
        <w:rPr>
          <w:sz w:val="24"/>
          <w:szCs w:val="24"/>
          <w:color w:val="auto"/>
        </w:rPr>
      </w:pPr>
    </w:p>
    <w:p>
      <w:pPr>
        <w:jc w:val="both"/>
        <w:ind w:right="200" w:firstLine="416"/>
        <w:spacing w:after="0" w:line="253" w:lineRule="auto"/>
        <w:rPr>
          <w:sz w:val="20"/>
          <w:szCs w:val="20"/>
          <w:color w:val="auto"/>
        </w:rPr>
      </w:pPr>
      <w:r>
        <w:rPr>
          <w:rFonts w:ascii="Arial" w:cs="Arial" w:eastAsia="Arial" w:hAnsi="Arial"/>
          <w:sz w:val="16"/>
          <w:szCs w:val="16"/>
          <w:color w:val="auto"/>
        </w:rPr>
        <w:t>We have entered into an Open Market Sale Agreement</w:t>
      </w:r>
      <w:r>
        <w:rPr>
          <w:rFonts w:ascii="Arial" w:cs="Arial" w:eastAsia="Arial" w:hAnsi="Arial"/>
          <w:sz w:val="30"/>
          <w:szCs w:val="30"/>
          <w:color w:val="auto"/>
          <w:vertAlign w:val="superscript"/>
        </w:rPr>
        <w:t>SM</w:t>
      </w:r>
      <w:r>
        <w:rPr>
          <w:rFonts w:ascii="Arial" w:cs="Arial" w:eastAsia="Arial" w:hAnsi="Arial"/>
          <w:sz w:val="16"/>
          <w:szCs w:val="16"/>
          <w:color w:val="auto"/>
        </w:rPr>
        <w:t>, or the Sales Agreement, with Jefferies LLC, or Jefferies, relating to our common shares offered by this prospectus supplement and the accompanying prospectus. In accordance with the terms of the Sales Agreement, we may offer and sell our common shares having an aggregate offering price of up to $80,000,000 from time to time through Jefferies, acting as our sales agent.</w:t>
      </w:r>
    </w:p>
    <w:p>
      <w:pPr>
        <w:spacing w:after="0" w:line="220" w:lineRule="exact"/>
        <w:rPr>
          <w:sz w:val="24"/>
          <w:szCs w:val="24"/>
          <w:color w:val="auto"/>
        </w:rPr>
      </w:pPr>
    </w:p>
    <w:p>
      <w:pPr>
        <w:ind w:right="100" w:firstLine="416"/>
        <w:spacing w:after="0" w:line="257" w:lineRule="auto"/>
        <w:rPr>
          <w:sz w:val="20"/>
          <w:szCs w:val="20"/>
          <w:color w:val="auto"/>
        </w:rPr>
      </w:pPr>
      <w:r>
        <w:rPr>
          <w:rFonts w:ascii="Arial" w:cs="Arial" w:eastAsia="Arial" w:hAnsi="Arial"/>
          <w:sz w:val="18"/>
          <w:szCs w:val="18"/>
          <w:color w:val="auto"/>
        </w:rPr>
        <w:t>Sales of our common shares, if any, under this prospectus supplement may be made in sales deemed to be an “at the market offering” as defined in Rule 415(a)(4) promulgated under the Securities Act of 1933, as amended, or the Securities Act. Jefferies is not required to sell any specific amount of our common shares, but will act as our sales agent and use commercially reasonable efforts to sell on our behalf all of the common shares requested to be sold by us, consistent with its normal sales and trading practices, on mutually agreed terms between Jefferies and us. There is no arrangement for funds to be received in any escrow, trust or similar arrangement.</w:t>
      </w:r>
    </w:p>
    <w:p>
      <w:pPr>
        <w:spacing w:after="0" w:line="188" w:lineRule="exact"/>
        <w:rPr>
          <w:sz w:val="24"/>
          <w:szCs w:val="24"/>
          <w:color w:val="auto"/>
        </w:rPr>
      </w:pPr>
    </w:p>
    <w:p>
      <w:pPr>
        <w:ind w:right="40" w:firstLine="416"/>
        <w:spacing w:after="0" w:line="257" w:lineRule="auto"/>
        <w:rPr>
          <w:sz w:val="20"/>
          <w:szCs w:val="20"/>
          <w:color w:val="auto"/>
        </w:rPr>
      </w:pPr>
      <w:r>
        <w:rPr>
          <w:rFonts w:ascii="Arial" w:cs="Arial" w:eastAsia="Arial" w:hAnsi="Arial"/>
          <w:sz w:val="18"/>
          <w:szCs w:val="18"/>
          <w:color w:val="auto"/>
        </w:rPr>
        <w:t>Jefferies will receive from us a commission of 3.0% of the gross proceeds of any common shares sold through it under the Sales Agreement. In connection with the sale of our common shares on our behalf, Jefferies may be deemed to be an “underwriter” within the meaning of the Securities Act and the compensation of Jefferies may be deemed to be underwriting commissions or discounts. We have also agreed to provide indemnification and contribution to Jefferies with respect to certain liabilities, including liabilities under the Securities Act. For additional information, see “Plan of Distribution.”</w:t>
      </w:r>
    </w:p>
    <w:p>
      <w:pPr>
        <w:spacing w:after="0" w:line="188" w:lineRule="exact"/>
        <w:rPr>
          <w:sz w:val="24"/>
          <w:szCs w:val="24"/>
          <w:color w:val="auto"/>
        </w:rPr>
      </w:pPr>
    </w:p>
    <w:p>
      <w:pPr>
        <w:ind w:right="480" w:firstLine="416"/>
        <w:spacing w:after="0" w:line="277" w:lineRule="auto"/>
        <w:rPr>
          <w:sz w:val="20"/>
          <w:szCs w:val="20"/>
          <w:color w:val="auto"/>
        </w:rPr>
      </w:pPr>
      <w:r>
        <w:rPr>
          <w:rFonts w:ascii="Arial" w:cs="Arial" w:eastAsia="Arial" w:hAnsi="Arial"/>
          <w:sz w:val="18"/>
          <w:szCs w:val="18"/>
          <w:color w:val="auto"/>
        </w:rPr>
        <w:t>Our common shares trade on The Nasdaq Global Market under the trading symbol “ACIU”. On May 4, 2021, the last sale price of our common shares as reported on The Nasdaq Global Market was $6.16 per share.</w:t>
      </w:r>
    </w:p>
    <w:p>
      <w:pPr>
        <w:spacing w:after="0" w:line="166" w:lineRule="exact"/>
        <w:rPr>
          <w:sz w:val="24"/>
          <w:szCs w:val="24"/>
          <w:color w:val="auto"/>
        </w:rPr>
      </w:pPr>
    </w:p>
    <w:p>
      <w:pPr>
        <w:ind w:right="160" w:firstLine="416"/>
        <w:spacing w:after="0" w:line="266"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are subject to reduced public company reporting requirements. See “Prospectus Supplement Summary—Implications of Being an Emerging Growth Company” and “—Implications of Being a Foreign Private Issuer.”</w:t>
      </w:r>
    </w:p>
    <w:p>
      <w:pPr>
        <w:spacing w:after="0" w:line="167" w:lineRule="exact"/>
        <w:rPr>
          <w:sz w:val="24"/>
          <w:szCs w:val="24"/>
          <w:color w:val="auto"/>
        </w:rPr>
      </w:pPr>
    </w:p>
    <w:p>
      <w:pPr>
        <w:ind w:right="1040" w:firstLine="405"/>
        <w:spacing w:after="0" w:line="256" w:lineRule="auto"/>
        <w:rPr>
          <w:sz w:val="20"/>
          <w:szCs w:val="20"/>
          <w:color w:val="auto"/>
        </w:rPr>
      </w:pPr>
      <w:r>
        <w:rPr>
          <w:rFonts w:ascii="Arial" w:cs="Arial" w:eastAsia="Arial" w:hAnsi="Arial"/>
          <w:sz w:val="22"/>
          <w:szCs w:val="22"/>
          <w:b w:val="1"/>
          <w:bCs w:val="1"/>
          <w:color w:val="auto"/>
        </w:rPr>
        <w:t>Investing in our securities involves a high degree of risk. See “</w:t>
      </w:r>
      <w:r>
        <w:rPr>
          <w:rFonts w:ascii="Arial" w:cs="Arial" w:eastAsia="Arial" w:hAnsi="Arial"/>
          <w:sz w:val="22"/>
          <w:szCs w:val="22"/>
          <w:b w:val="1"/>
          <w:bCs w:val="1"/>
          <w:u w:val="single" w:color="auto"/>
          <w:color w:val="auto"/>
        </w:rPr>
        <w:t>Risk Factors</w:t>
      </w:r>
      <w:r>
        <w:rPr>
          <w:rFonts w:ascii="Arial" w:cs="Arial" w:eastAsia="Arial" w:hAnsi="Arial"/>
          <w:sz w:val="22"/>
          <w:szCs w:val="22"/>
          <w:b w:val="1"/>
          <w:bCs w:val="1"/>
          <w:color w:val="auto"/>
        </w:rPr>
        <w:t>” beginning on page S-11 of this prospectus supplement.</w:t>
      </w:r>
    </w:p>
    <w:p>
      <w:pPr>
        <w:spacing w:after="0" w:line="198" w:lineRule="exact"/>
        <w:rPr>
          <w:sz w:val="24"/>
          <w:szCs w:val="24"/>
          <w:color w:val="auto"/>
        </w:rPr>
      </w:pPr>
    </w:p>
    <w:p>
      <w:pPr>
        <w:ind w:right="380" w:firstLine="416"/>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Jefferies</w:t>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May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7000" w:type="dxa"/>
            <w:vAlign w:val="bottom"/>
          </w:tcPr>
          <w:p>
            <w:pPr>
              <w:jc w:val="center"/>
              <w:ind w:right="4150"/>
              <w:spacing w:after="0"/>
              <w:rPr>
                <w:sz w:val="20"/>
                <w:szCs w:val="20"/>
                <w:color w:val="auto"/>
              </w:rPr>
            </w:pPr>
            <w:r>
              <w:rPr>
                <w:rFonts w:ascii="Arial" w:cs="Arial" w:eastAsia="Arial" w:hAnsi="Arial"/>
                <w:sz w:val="18"/>
                <w:szCs w:val="18"/>
                <w:b w:val="1"/>
                <w:bCs w:val="1"/>
                <w:color w:val="auto"/>
                <w:w w:val="98"/>
              </w:rPr>
              <w:t>TABLE OF CONTENTS</w:t>
            </w:r>
          </w:p>
        </w:tc>
      </w:tr>
      <w:tr>
        <w:trPr>
          <w:trHeight w:val="432"/>
        </w:trPr>
        <w:tc>
          <w:tcPr>
            <w:tcW w:w="4240" w:type="dxa"/>
            <w:vAlign w:val="bottom"/>
          </w:tcPr>
          <w:p>
            <w:pPr>
              <w:spacing w:after="0"/>
              <w:rPr>
                <w:sz w:val="24"/>
                <w:szCs w:val="24"/>
                <w:color w:val="auto"/>
              </w:rPr>
            </w:pPr>
          </w:p>
        </w:tc>
        <w:tc>
          <w:tcPr>
            <w:tcW w:w="70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432"/>
        </w:trPr>
        <w:tc>
          <w:tcPr>
            <w:tcW w:w="4240" w:type="dxa"/>
            <w:vAlign w:val="bottom"/>
          </w:tcPr>
          <w:p>
            <w:pPr>
              <w:spacing w:after="0"/>
              <w:rPr>
                <w:sz w:val="24"/>
                <w:szCs w:val="24"/>
                <w:color w:val="auto"/>
              </w:rPr>
            </w:pPr>
          </w:p>
        </w:tc>
        <w:tc>
          <w:tcPr>
            <w:tcW w:w="7000" w:type="dxa"/>
            <w:vAlign w:val="bottom"/>
          </w:tcPr>
          <w:p>
            <w:pPr>
              <w:jc w:val="center"/>
              <w:ind w:right="4130"/>
              <w:spacing w:after="0"/>
              <w:rPr>
                <w:sz w:val="20"/>
                <w:szCs w:val="20"/>
                <w:color w:val="auto"/>
              </w:rPr>
            </w:pPr>
            <w:r>
              <w:rPr>
                <w:rFonts w:ascii="Arial" w:cs="Arial" w:eastAsia="Arial" w:hAnsi="Arial"/>
                <w:sz w:val="18"/>
                <w:szCs w:val="18"/>
                <w:b w:val="1"/>
                <w:bCs w:val="1"/>
                <w:color w:val="auto"/>
                <w:w w:val="97"/>
              </w:rPr>
              <w:t>PROSPECTUS SUPPLEMENT</w:t>
            </w:r>
          </w:p>
        </w:tc>
      </w:tr>
      <w:tr>
        <w:trPr>
          <w:trHeight w:val="688"/>
        </w:trPr>
        <w:tc>
          <w:tcPr>
            <w:tcW w:w="4240" w:type="dxa"/>
            <w:vAlign w:val="bottom"/>
          </w:tcPr>
          <w:p>
            <w:pPr>
              <w:spacing w:after="0"/>
              <w:rPr>
                <w:sz w:val="20"/>
                <w:szCs w:val="20"/>
                <w:color w:val="auto"/>
              </w:rPr>
            </w:pPr>
            <w:r>
              <w:rPr>
                <w:rFonts w:ascii="Arial" w:cs="Arial" w:eastAsia="Arial" w:hAnsi="Arial"/>
                <w:sz w:val="18"/>
                <w:szCs w:val="18"/>
                <w:color w:val="auto"/>
              </w:rPr>
              <w:t>Presentation of Financial Information</w:t>
            </w:r>
          </w:p>
        </w:tc>
        <w:tc>
          <w:tcPr>
            <w:tcW w:w="70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Trademarks</w:t>
            </w:r>
          </w:p>
        </w:tc>
        <w:tc>
          <w:tcPr>
            <w:tcW w:w="70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About This Prospectus Supplement</w:t>
            </w:r>
          </w:p>
        </w:tc>
        <w:tc>
          <w:tcPr>
            <w:tcW w:w="70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w w:val="99"/>
              </w:rPr>
              <w:t>Special Note Regarding Forward-Looking Statements</w:t>
            </w:r>
          </w:p>
        </w:tc>
        <w:tc>
          <w:tcPr>
            <w:tcW w:w="7000" w:type="dxa"/>
            <w:vAlign w:val="bottom"/>
          </w:tcPr>
          <w:p>
            <w:pPr>
              <w:jc w:val="right"/>
              <w:spacing w:after="0"/>
              <w:rPr>
                <w:sz w:val="20"/>
                <w:szCs w:val="20"/>
                <w:color w:val="auto"/>
              </w:rPr>
            </w:pPr>
            <w:r>
              <w:rPr>
                <w:rFonts w:ascii="Arial" w:cs="Arial" w:eastAsia="Arial" w:hAnsi="Arial"/>
                <w:sz w:val="18"/>
                <w:szCs w:val="18"/>
                <w:color w:val="auto"/>
              </w:rPr>
              <w:t>S-iv</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Prospectus Supplement Summary</w:t>
            </w:r>
          </w:p>
        </w:tc>
        <w:tc>
          <w:tcPr>
            <w:tcW w:w="700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The Offering</w:t>
            </w:r>
          </w:p>
        </w:tc>
        <w:tc>
          <w:tcPr>
            <w:tcW w:w="7000" w:type="dxa"/>
            <w:vAlign w:val="bottom"/>
          </w:tcPr>
          <w:p>
            <w:pPr>
              <w:jc w:val="right"/>
              <w:spacing w:after="0"/>
              <w:rPr>
                <w:sz w:val="20"/>
                <w:szCs w:val="20"/>
                <w:color w:val="auto"/>
              </w:rPr>
            </w:pPr>
            <w:r>
              <w:rPr>
                <w:rFonts w:ascii="Arial" w:cs="Arial" w:eastAsia="Arial" w:hAnsi="Arial"/>
                <w:sz w:val="18"/>
                <w:szCs w:val="18"/>
                <w:color w:val="auto"/>
              </w:rPr>
              <w:t>S-10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Risk Factors</w:t>
            </w:r>
          </w:p>
        </w:tc>
        <w:tc>
          <w:tcPr>
            <w:tcW w:w="700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Use of Proceeds</w:t>
            </w:r>
          </w:p>
        </w:tc>
        <w:tc>
          <w:tcPr>
            <w:tcW w:w="7000" w:type="dxa"/>
            <w:vAlign w:val="bottom"/>
          </w:tcPr>
          <w:p>
            <w:pPr>
              <w:jc w:val="right"/>
              <w:spacing w:after="0"/>
              <w:rPr>
                <w:sz w:val="20"/>
                <w:szCs w:val="20"/>
                <w:color w:val="auto"/>
              </w:rPr>
            </w:pPr>
            <w:r>
              <w:rPr>
                <w:rFonts w:ascii="Arial" w:cs="Arial" w:eastAsia="Arial" w:hAnsi="Arial"/>
                <w:sz w:val="18"/>
                <w:szCs w:val="18"/>
                <w:color w:val="auto"/>
              </w:rPr>
              <w:t>S-13</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Dividend Policy</w:t>
            </w:r>
          </w:p>
        </w:tc>
        <w:tc>
          <w:tcPr>
            <w:tcW w:w="7000" w:type="dxa"/>
            <w:vAlign w:val="bottom"/>
          </w:tcPr>
          <w:p>
            <w:pPr>
              <w:jc w:val="right"/>
              <w:spacing w:after="0"/>
              <w:rPr>
                <w:sz w:val="20"/>
                <w:szCs w:val="20"/>
                <w:color w:val="auto"/>
              </w:rPr>
            </w:pPr>
            <w:r>
              <w:rPr>
                <w:rFonts w:ascii="Arial" w:cs="Arial" w:eastAsia="Arial" w:hAnsi="Arial"/>
                <w:sz w:val="18"/>
                <w:szCs w:val="18"/>
                <w:color w:val="auto"/>
              </w:rPr>
              <w:t>S-14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Dilution</w:t>
            </w:r>
          </w:p>
        </w:tc>
        <w:tc>
          <w:tcPr>
            <w:tcW w:w="7000" w:type="dxa"/>
            <w:vAlign w:val="bottom"/>
          </w:tcPr>
          <w:p>
            <w:pPr>
              <w:jc w:val="right"/>
              <w:spacing w:after="0"/>
              <w:rPr>
                <w:sz w:val="20"/>
                <w:szCs w:val="20"/>
                <w:color w:val="auto"/>
              </w:rPr>
            </w:pPr>
            <w:r>
              <w:rPr>
                <w:rFonts w:ascii="Arial" w:cs="Arial" w:eastAsia="Arial" w:hAnsi="Arial"/>
                <w:sz w:val="18"/>
                <w:szCs w:val="18"/>
                <w:color w:val="auto"/>
              </w:rPr>
              <w:t>S-15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Tax Considerations</w:t>
            </w:r>
          </w:p>
        </w:tc>
        <w:tc>
          <w:tcPr>
            <w:tcW w:w="7000" w:type="dxa"/>
            <w:vAlign w:val="bottom"/>
          </w:tcPr>
          <w:p>
            <w:pPr>
              <w:jc w:val="right"/>
              <w:spacing w:after="0"/>
              <w:rPr>
                <w:sz w:val="20"/>
                <w:szCs w:val="20"/>
                <w:color w:val="auto"/>
              </w:rPr>
            </w:pPr>
            <w:r>
              <w:rPr>
                <w:rFonts w:ascii="Arial" w:cs="Arial" w:eastAsia="Arial" w:hAnsi="Arial"/>
                <w:sz w:val="18"/>
                <w:szCs w:val="18"/>
                <w:color w:val="auto"/>
              </w:rPr>
              <w:t>S-16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Plan of Distribution</w:t>
            </w:r>
          </w:p>
        </w:tc>
        <w:tc>
          <w:tcPr>
            <w:tcW w:w="7000" w:type="dxa"/>
            <w:vAlign w:val="bottom"/>
          </w:tcPr>
          <w:p>
            <w:pPr>
              <w:jc w:val="right"/>
              <w:spacing w:after="0"/>
              <w:rPr>
                <w:sz w:val="20"/>
                <w:szCs w:val="20"/>
                <w:color w:val="auto"/>
              </w:rPr>
            </w:pPr>
            <w:r>
              <w:rPr>
                <w:rFonts w:ascii="Arial" w:cs="Arial" w:eastAsia="Arial" w:hAnsi="Arial"/>
                <w:sz w:val="18"/>
                <w:szCs w:val="18"/>
                <w:color w:val="auto"/>
              </w:rPr>
              <w:t>S-23</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Legal Matters</w:t>
            </w:r>
          </w:p>
        </w:tc>
        <w:tc>
          <w:tcPr>
            <w:tcW w:w="700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Experts</w:t>
            </w:r>
          </w:p>
        </w:tc>
        <w:tc>
          <w:tcPr>
            <w:tcW w:w="700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00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Incorporation By Reference</w:t>
            </w:r>
          </w:p>
        </w:tc>
        <w:tc>
          <w:tcPr>
            <w:tcW w:w="700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432"/>
        </w:trPr>
        <w:tc>
          <w:tcPr>
            <w:tcW w:w="4240" w:type="dxa"/>
            <w:vAlign w:val="bottom"/>
          </w:tcPr>
          <w:p>
            <w:pPr>
              <w:spacing w:after="0"/>
              <w:rPr>
                <w:sz w:val="24"/>
                <w:szCs w:val="24"/>
                <w:color w:val="auto"/>
              </w:rPr>
            </w:pPr>
          </w:p>
        </w:tc>
        <w:tc>
          <w:tcPr>
            <w:tcW w:w="7000" w:type="dxa"/>
            <w:vAlign w:val="bottom"/>
          </w:tcPr>
          <w:p>
            <w:pPr>
              <w:jc w:val="center"/>
              <w:ind w:right="4150"/>
              <w:spacing w:after="0"/>
              <w:rPr>
                <w:sz w:val="20"/>
                <w:szCs w:val="20"/>
                <w:color w:val="auto"/>
              </w:rPr>
            </w:pPr>
            <w:r>
              <w:rPr>
                <w:rFonts w:ascii="Arial" w:cs="Arial" w:eastAsia="Arial" w:hAnsi="Arial"/>
                <w:sz w:val="18"/>
                <w:szCs w:val="18"/>
                <w:b w:val="1"/>
                <w:bCs w:val="1"/>
                <w:color w:val="auto"/>
                <w:w w:val="96"/>
              </w:rPr>
              <w:t>PROSPECTUS</w:t>
            </w:r>
          </w:p>
        </w:tc>
      </w:tr>
      <w:tr>
        <w:trPr>
          <w:trHeight w:val="418"/>
        </w:trPr>
        <w:tc>
          <w:tcPr>
            <w:tcW w:w="4240" w:type="dxa"/>
            <w:vAlign w:val="bottom"/>
          </w:tcPr>
          <w:p>
            <w:pPr>
              <w:spacing w:after="0"/>
              <w:rPr>
                <w:sz w:val="20"/>
                <w:szCs w:val="20"/>
                <w:color w:val="auto"/>
              </w:rPr>
            </w:pPr>
            <w:r>
              <w:rPr>
                <w:rFonts w:ascii="Arial" w:cs="Arial" w:eastAsia="Arial" w:hAnsi="Arial"/>
                <w:sz w:val="18"/>
                <w:szCs w:val="18"/>
                <w:color w:val="auto"/>
              </w:rPr>
              <w:t>About This Prospectus</w:t>
            </w:r>
          </w:p>
        </w:tc>
        <w:tc>
          <w:tcPr>
            <w:tcW w:w="7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w w:val="99"/>
              </w:rPr>
              <w:t>Special Note Regarding Forward-Looking Statements</w:t>
            </w:r>
          </w:p>
        </w:tc>
        <w:tc>
          <w:tcPr>
            <w:tcW w:w="7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AC Immune SA</w:t>
            </w:r>
          </w:p>
        </w:tc>
        <w:tc>
          <w:tcPr>
            <w:tcW w:w="7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Risk Factors</w:t>
            </w:r>
          </w:p>
        </w:tc>
        <w:tc>
          <w:tcPr>
            <w:tcW w:w="7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Use of Proceeds</w:t>
            </w:r>
          </w:p>
        </w:tc>
        <w:tc>
          <w:tcPr>
            <w:tcW w:w="7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w w:val="95"/>
              </w:rPr>
              <w:t>Description of Share Capital and Articles of Association</w:t>
            </w:r>
          </w:p>
        </w:tc>
        <w:tc>
          <w:tcPr>
            <w:tcW w:w="7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Comparison of Swiss Law and Delaware Law</w:t>
            </w:r>
          </w:p>
        </w:tc>
        <w:tc>
          <w:tcPr>
            <w:tcW w:w="7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7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7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Description of Purchase Contracts</w:t>
            </w:r>
          </w:p>
        </w:tc>
        <w:tc>
          <w:tcPr>
            <w:tcW w:w="7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Description of Units</w:t>
            </w:r>
          </w:p>
        </w:tc>
        <w:tc>
          <w:tcPr>
            <w:tcW w:w="7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Description of Subscription Rights</w:t>
            </w:r>
          </w:p>
        </w:tc>
        <w:tc>
          <w:tcPr>
            <w:tcW w:w="7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Plan of Distribution</w:t>
            </w:r>
          </w:p>
        </w:tc>
        <w:tc>
          <w:tcPr>
            <w:tcW w:w="7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7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Expenses</w:t>
            </w:r>
          </w:p>
        </w:tc>
        <w:tc>
          <w:tcPr>
            <w:tcW w:w="7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Legal Matters</w:t>
            </w:r>
          </w:p>
        </w:tc>
        <w:tc>
          <w:tcPr>
            <w:tcW w:w="7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Experts</w:t>
            </w:r>
          </w:p>
        </w:tc>
        <w:tc>
          <w:tcPr>
            <w:tcW w:w="700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right="80" w:firstLine="415"/>
        <w:spacing w:after="0" w:line="272" w:lineRule="auto"/>
        <w:rPr>
          <w:sz w:val="20"/>
          <w:szCs w:val="20"/>
          <w:color w:val="auto"/>
        </w:rPr>
      </w:pPr>
      <w:r>
        <w:rPr>
          <w:rFonts w:ascii="Arial" w:cs="Arial" w:eastAsia="Arial" w:hAnsi="Arial"/>
          <w:sz w:val="17"/>
          <w:szCs w:val="17"/>
          <w:color w:val="auto"/>
        </w:rPr>
        <w:t>Our financial statements incorporated by reference herein are presented in Swiss Francs and in accordance with International Financial Reporting Standards, or IFRS, as issued by the International Accounting Standards Board, or IASB. None of the financial statements included in this prospectus supplement or incorporated by reference herein were prepared in accordance with generally accepted accounting principles in the United States. The terms “dollar” and “USD” refer to US dollars and the terms “Swiss Franc” and “CHF” refer to the legal currency of Switzerland, unless otherwise indicated. We have made rounding adjustments to some of the figures included in this prospectus supplement. Accordingly, any numerical discrepancies in any table between totals and sums of the amounts listed are due to rounding. Unless explicitly mentioned otherwise herein, all references to our financial statements in this prospectus supplement are references to our IFRS financial statements exclusively.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20" w:firstLine="415"/>
        <w:spacing w:after="0" w:line="293" w:lineRule="auto"/>
        <w:rPr>
          <w:sz w:val="20"/>
          <w:szCs w:val="20"/>
          <w:color w:val="auto"/>
        </w:rPr>
      </w:pPr>
      <w:r>
        <w:rPr>
          <w:rFonts w:ascii="Arial" w:cs="Arial" w:eastAsia="Arial" w:hAnsi="Arial"/>
          <w:sz w:val="16"/>
          <w:szCs w:val="16"/>
          <w:color w:val="auto"/>
        </w:rPr>
        <w:t>The Company owns various registered and unregistered trademarks, for some of which formal protection has been obtained or is being sought, including Morphomer™, SupraAntigen™ and its corporate name, logo and Nasdaq Global Market symbol. All other trademarks, trade names and service marks of other companies appearing in this prospectus supplement are the property of their respective owners. Solely for convenience, the trademarks and trade names in this prospectus supplement may be referred to without the ™ symbols, but such references should not be construed as any indicator that their respective owners will not assert, to the fullest extent under applicable law, their rights thereto. The Company does not intend to use or display other companies’ trademarks and/or trade names to imply a relationship with, or endorsement or sponsorship of the Company by, any other companies.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15"/>
        <w:spacing w:after="0" w:line="263"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w:t>
      </w:r>
    </w:p>
    <w:p>
      <w:pPr>
        <w:spacing w:after="0" w:line="184"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Before buying any of our securities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7"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8"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We have not, and Jefferies has not, authorized anyone to provide you with information different from that contained in or incorporated by reference in this prospectus or any related free writing prospectus filed by us with the SEC. If anyone provides you with different or inconsistent information, you should not rely on it.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5" w:lineRule="exact"/>
        <w:rPr>
          <w:sz w:val="20"/>
          <w:szCs w:val="20"/>
          <w:color w:val="auto"/>
        </w:rPr>
      </w:pPr>
    </w:p>
    <w:p>
      <w:pPr>
        <w:ind w:right="340" w:firstLine="416"/>
        <w:spacing w:after="0" w:line="277" w:lineRule="auto"/>
        <w:rPr>
          <w:sz w:val="20"/>
          <w:szCs w:val="20"/>
          <w:color w:val="auto"/>
        </w:rPr>
      </w:pPr>
      <w:r>
        <w:rPr>
          <w:rFonts w:ascii="Arial" w:cs="Arial" w:eastAsia="Arial" w:hAnsi="Arial"/>
          <w:sz w:val="18"/>
          <w:szCs w:val="18"/>
          <w:color w:val="auto"/>
        </w:rPr>
        <w:t>You should also read and consider the information in the documents to which we have referred you in the sections entitled “Where You Can Find More Information” and “Incorporation by Reference” in this prospectus supplement.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ind w:firstLine="41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supplement to “AC Immune” or the “Company,” “we,” “our,” “ours,” “us” or similar terms refer to AC Immune SA, a Swiss stock corporation.</w:t>
      </w: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firstLine="415"/>
        <w:spacing w:after="0" w:line="273" w:lineRule="auto"/>
        <w:rPr>
          <w:sz w:val="20"/>
          <w:szCs w:val="20"/>
          <w:color w:val="auto"/>
        </w:rPr>
      </w:pPr>
      <w:r>
        <w:rPr>
          <w:rFonts w:ascii="Arial" w:cs="Arial" w:eastAsia="Arial" w:hAnsi="Arial"/>
          <w:sz w:val="17"/>
          <w:szCs w:val="17"/>
          <w:color w:val="auto"/>
        </w:rPr>
        <w:t>This prospectus supplement contains statements that constitute forward-looking statements. All statements other than statements of historical facts contained in this prospectus supplement,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supplement can be identified by the use of forward-looking words such as “anticipate,” “believe,” “could,” “expect,” “should,” “plan,” “intend,” “estimate,” “will” and “potential,” among others.</w:t>
      </w:r>
    </w:p>
    <w:p>
      <w:pPr>
        <w:spacing w:after="0" w:line="178"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supplement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“Risk Factors” in this prospectus supplement. These risks and uncertainties include factors relating to:</w:t>
      </w:r>
    </w:p>
    <w:p>
      <w:pPr>
        <w:spacing w:after="0" w:line="188" w:lineRule="exact"/>
        <w:rPr>
          <w:sz w:val="20"/>
          <w:szCs w:val="20"/>
          <w:color w:val="auto"/>
        </w:rPr>
      </w:pPr>
    </w:p>
    <w:p>
      <w:pPr>
        <w:ind w:left="420" w:hanging="331"/>
        <w:spacing w:after="0" w:line="286" w:lineRule="auto"/>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success of our and our collaboration partners’ clinical studies, and our and their ability to obtain and maintain regulatory approval and to commercialize ACI-35, semorinemab, Morphomer Tau, ACI-24 for Alzheimer’s disease (AD) and for Down syndrome-related AD (ACI-24 for DS), crenezumab, and PI-2620, our Tau-positron emission tomography (PET) imaging tracer and to a lesser extent our preclinical candidates;</w:t>
      </w:r>
    </w:p>
    <w:p>
      <w:pPr>
        <w:spacing w:after="0" w:line="165" w:lineRule="exact"/>
        <w:rPr>
          <w:rFonts w:ascii="Arial" w:cs="Arial" w:eastAsia="Arial" w:hAnsi="Arial"/>
          <w:sz w:val="17"/>
          <w:szCs w:val="17"/>
          <w:color w:val="auto"/>
        </w:rPr>
      </w:pPr>
    </w:p>
    <w:p>
      <w:pPr>
        <w:ind w:left="420" w:hanging="331"/>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preclinical and clinical safety, efficacy and utility of our product candidates;</w:t>
      </w:r>
    </w:p>
    <w:p>
      <w:pPr>
        <w:spacing w:after="0" w:line="225" w:lineRule="exact"/>
        <w:rPr>
          <w:rFonts w:ascii="Arial" w:cs="Arial" w:eastAsia="Arial" w:hAnsi="Arial"/>
          <w:sz w:val="18"/>
          <w:szCs w:val="18"/>
          <w:color w:val="auto"/>
        </w:rPr>
      </w:pPr>
    </w:p>
    <w:p>
      <w:pPr>
        <w:ind w:left="420" w:hanging="331"/>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25" w:lineRule="exact"/>
        <w:rPr>
          <w:rFonts w:ascii="Arial" w:cs="Arial" w:eastAsia="Arial" w:hAnsi="Arial"/>
          <w:sz w:val="18"/>
          <w:szCs w:val="18"/>
          <w:color w:val="auto"/>
        </w:rPr>
      </w:pPr>
    </w:p>
    <w:p>
      <w:pPr>
        <w:ind w:left="420" w:hanging="331"/>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225" w:lineRule="exact"/>
        <w:rPr>
          <w:rFonts w:ascii="Arial" w:cs="Arial" w:eastAsia="Arial" w:hAnsi="Arial"/>
          <w:sz w:val="18"/>
          <w:szCs w:val="18"/>
          <w:color w:val="auto"/>
        </w:rPr>
      </w:pPr>
    </w:p>
    <w:p>
      <w:pPr>
        <w:ind w:left="420" w:hanging="331"/>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25" w:lineRule="exact"/>
        <w:rPr>
          <w:rFonts w:ascii="Arial" w:cs="Arial" w:eastAsia="Arial" w:hAnsi="Arial"/>
          <w:sz w:val="18"/>
          <w:szCs w:val="18"/>
          <w:color w:val="auto"/>
        </w:rPr>
      </w:pPr>
    </w:p>
    <w:p>
      <w:pPr>
        <w:ind w:left="420" w:hanging="331"/>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25" w:lineRule="exact"/>
        <w:rPr>
          <w:rFonts w:ascii="Arial" w:cs="Arial" w:eastAsia="Arial" w:hAnsi="Arial"/>
          <w:sz w:val="18"/>
          <w:szCs w:val="18"/>
          <w:color w:val="auto"/>
        </w:rPr>
      </w:pPr>
    </w:p>
    <w:p>
      <w:pPr>
        <w:ind w:left="420" w:hanging="331"/>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maintain our, and not infringe on third parties’, intellectual property rights throughout the world;</w:t>
      </w:r>
    </w:p>
    <w:p>
      <w:pPr>
        <w:spacing w:after="0" w:line="225" w:lineRule="exact"/>
        <w:rPr>
          <w:rFonts w:ascii="Arial" w:cs="Arial" w:eastAsia="Arial" w:hAnsi="Arial"/>
          <w:sz w:val="18"/>
          <w:szCs w:val="18"/>
          <w:color w:val="auto"/>
        </w:rPr>
      </w:pPr>
    </w:p>
    <w:p>
      <w:pPr>
        <w:ind w:left="420" w:hanging="331"/>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25" w:lineRule="exact"/>
        <w:rPr>
          <w:rFonts w:ascii="Arial" w:cs="Arial" w:eastAsia="Arial" w:hAnsi="Arial"/>
          <w:sz w:val="18"/>
          <w:szCs w:val="18"/>
          <w:color w:val="auto"/>
        </w:rPr>
      </w:pPr>
    </w:p>
    <w:p>
      <w:pPr>
        <w:ind w:left="420" w:hanging="331"/>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225" w:lineRule="exact"/>
        <w:rPr>
          <w:rFonts w:ascii="Arial" w:cs="Arial" w:eastAsia="Arial" w:hAnsi="Arial"/>
          <w:sz w:val="18"/>
          <w:szCs w:val="18"/>
          <w:color w:val="auto"/>
        </w:rPr>
      </w:pPr>
    </w:p>
    <w:p>
      <w:pPr>
        <w:ind w:left="420" w:right="500" w:hanging="331"/>
        <w:spacing w:after="0" w:line="27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acceptance by the Food and Drug Administration (FDA) and applicable foreign regulatory authorities of data from studies that we and our collaboration partners conduct within and outside the US now and in the future;</w:t>
      </w:r>
    </w:p>
    <w:p>
      <w:pPr>
        <w:spacing w:after="0" w:line="170" w:lineRule="exact"/>
        <w:rPr>
          <w:rFonts w:ascii="Arial" w:cs="Arial" w:eastAsia="Arial" w:hAnsi="Arial"/>
          <w:sz w:val="18"/>
          <w:szCs w:val="18"/>
          <w:color w:val="auto"/>
        </w:rPr>
      </w:pPr>
    </w:p>
    <w:p>
      <w:pPr>
        <w:ind w:left="420" w:right="180" w:hanging="331"/>
        <w:spacing w:after="0" w:line="27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70" w:lineRule="exact"/>
        <w:rPr>
          <w:rFonts w:ascii="Arial" w:cs="Arial" w:eastAsia="Arial" w:hAnsi="Arial"/>
          <w:sz w:val="18"/>
          <w:szCs w:val="18"/>
          <w:color w:val="auto"/>
        </w:rPr>
      </w:pPr>
    </w:p>
    <w:p>
      <w:pPr>
        <w:ind w:left="420" w:right="120" w:hanging="331"/>
        <w:spacing w:after="0" w:line="27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US; and</w:t>
      </w:r>
    </w:p>
    <w:p>
      <w:pPr>
        <w:spacing w:after="0" w:line="170" w:lineRule="exact"/>
        <w:rPr>
          <w:rFonts w:ascii="Arial" w:cs="Arial" w:eastAsia="Arial" w:hAnsi="Arial"/>
          <w:sz w:val="18"/>
          <w:szCs w:val="18"/>
          <w:color w:val="auto"/>
        </w:rPr>
      </w:pPr>
    </w:p>
    <w:p>
      <w:pPr>
        <w:ind w:left="420" w:hanging="331"/>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225" w:lineRule="exact"/>
        <w:rPr>
          <w:sz w:val="20"/>
          <w:szCs w:val="20"/>
          <w:color w:val="auto"/>
        </w:rPr>
      </w:pPr>
    </w:p>
    <w:p>
      <w:pPr>
        <w:jc w:val="both"/>
        <w:ind w:right="320" w:firstLine="416"/>
        <w:spacing w:after="0" w:line="263" w:lineRule="auto"/>
        <w:rPr>
          <w:sz w:val="20"/>
          <w:szCs w:val="20"/>
          <w:color w:val="auto"/>
        </w:rPr>
      </w:pPr>
      <w:r>
        <w:rPr>
          <w:rFonts w:ascii="Arial" w:cs="Arial" w:eastAsia="Arial" w:hAnsi="Arial"/>
          <w:sz w:val="18"/>
          <w:szCs w:val="18"/>
          <w:color w:val="auto"/>
        </w:rPr>
        <w:t>These forward-looking statements speak only as of the date of this prospectus supplement and are subject to a number of risks, uncertainties and assumptions described under the sections in this prospectus supplement entitled “Risk Factors” and elsewhere in this prospectus supplement. Because forward-looking statements are inherently</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5" w:name="page6"/>
    <w:bookmarkEnd w:id="5"/>
    <w:p>
      <w:pPr>
        <w:spacing w:after="0" w:line="293" w:lineRule="auto"/>
        <w:rPr>
          <w:sz w:val="20"/>
          <w:szCs w:val="20"/>
          <w:color w:val="auto"/>
        </w:rPr>
      </w:pPr>
      <w:r>
        <w:rPr>
          <w:rFonts w:ascii="Arial" w:cs="Arial" w:eastAsia="Arial" w:hAnsi="Arial"/>
          <w:sz w:val="16"/>
          <w:szCs w:val="16"/>
          <w:color w:val="auto"/>
        </w:rPr>
        <w:t>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such as the global pandemic originating with Covid-19,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515620</wp:posOffset>
            </wp:positionV>
            <wp:extent cx="7136130" cy="7016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016115"/>
                    </a:xfrm>
                    <a:prstGeom prst="rect">
                      <a:avLst/>
                    </a:prstGeom>
                    <a:noFill/>
                  </pic:spPr>
                </pic:pic>
              </a:graphicData>
            </a:graphic>
          </wp:anchor>
        </w:drawing>
        <w:t>PROSPECTUS SUPPLEMENT SUMMARY</w:t>
      </w:r>
    </w:p>
    <w:p>
      <w:pPr>
        <w:spacing w:after="0" w:line="229" w:lineRule="exact"/>
        <w:rPr>
          <w:sz w:val="20"/>
          <w:szCs w:val="20"/>
          <w:color w:val="auto"/>
        </w:rPr>
      </w:pPr>
    </w:p>
    <w:p>
      <w:pPr>
        <w:ind w:left="200" w:right="100" w:firstLine="401"/>
        <w:spacing w:after="0" w:line="275"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of investing in our common shares discussed under “Risk Factors” beginning on page S-11 of this prospectus supplement, along with our consolidated financial statements and notes to those consolidated financial statements and the other information incorporated by reference in this prospectus supplement.</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Our Business</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AC Immune is a leading, clinical stage biopharmaceutical company advancing one of the broadest portfolios focused on pioneering precision medicine for neurodegenerative diseases. Our highly differentiated approach integrates novel therapeutics and diagnostics to overcome the fundamental challenge in this therapeutic area – the high number of co-pathologies driving disease and the urgent need for more tailored therapeutic regimens.</w:t>
      </w:r>
    </w:p>
    <w:p>
      <w:pPr>
        <w:spacing w:after="0" w:line="14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nine therapeutic and three diagnostic product candidates, with six currently in clinical trials, targeting five different types of misfolded pathological proteins related to AD and other neurodegenerative disorders. Our pipeline assets are further validated by the multiple partnerships we have established with leading global pharmaceutical companies. We believe our validated technology platforms and personalized medicine approach position AC Immune to revolutionize the treatment of neurodegenerative disease in the way precision diagnostics and targeted therapies are revolutionizing the treatment of cancer.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20" w:top="1323" w:right="539" w:bottom="1440" w:gutter="0" w:footer="0" w:header="0"/>
        </w:sectPr>
      </w:pPr>
    </w:p>
    <w:bookmarkStart w:id="7" w:name="page8"/>
    <w:bookmarkEnd w:id="7"/>
    <w:p>
      <w:pPr>
        <w:ind w:firstLine="32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765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659370"/>
                    </a:xfrm>
                    <a:prstGeom prst="rect">
                      <a:avLst/>
                    </a:prstGeom>
                    <a:noFill/>
                  </pic:spPr>
                </pic:pic>
              </a:graphicData>
            </a:graphic>
          </wp:anchor>
        </w:drawing>
        <w:t>Our vision is to become a global leader in precision medicine for neurodegenerative diseases. We are executing a clear business strategy built on three pillars: (i) accelerate development of novel therapeutics in AD with our partners; (ii) expand our strategic focus in non-AD neurodegenerative diseases, including NeuroOrphan indications, Parkinson’s disease (PD) and limbic-predominant age-related TDP-43 encephalopathy (LATE); and (iii) a continued focus on diagnostics enabling precision medicine to be an ultimate differentiator for the Company.</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Addressing the Need for Precision Medicine in AD and Other Neurodegenerative Diseases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need for precision medicine is highlighted by the high level of co-pathologies present in AD and other neurodegenerative diseases. Much like cancer, neurodegenerative diseases are heterogeneous and may require multiple therapeutic interventions, tailored to patients’ specific co-pathologies, to be used in concert in order to slow or stop the disease course. Ultimately, it is our belief that precision medicine will increase the chances of treatment success by allowing clinical trial participants to be better defined by their various proteinopathies, affording treatment with the right therapies at the right time.</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AC Immune is developing precision medicines for neurodegenerative diseases by utilizing our diagnostic capabilities to enable improved diagnosis, patient selection and assessment of clinical trial outcomes. Our dual technology platforms allow for a multi-modal approach encompassing SupraAntigen-derived vaccines and antibodies, and Morphomer-derived small molecules, tailored to the underlying pathology driving patients’ disease. In addition to generating targeted monotherapies, our approach creates the potential for combination regimens, which may treat a broader spectrum of disease and offer greater efficacy.</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AC Immune’s </w:t>
      </w:r>
      <w:r>
        <w:rPr>
          <w:rFonts w:ascii="Arial" w:cs="Arial" w:eastAsia="Arial" w:hAnsi="Arial"/>
          <w:sz w:val="18"/>
          <w:szCs w:val="18"/>
          <w:b w:val="1"/>
          <w:bCs w:val="1"/>
          <w:i w:val="1"/>
          <w:iCs w:val="1"/>
          <w:color w:val="auto"/>
        </w:rPr>
        <w:t>Roadmap to Successful Therapies for Neurodegenerative Diseases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Precision medicine is a key element of our five-point framework for developing successful therapies in neurodegenerative diseases, building on one of the broadest pipelines in the field. Our Roadmap incorporates the following principles: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Treat earlier</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Identifying patients at risk or in early stages of disease when pathological burden is low and neuronal health is preserved offers the best chance of intercepting pathological spread in neurodegenerative diseases. For example, it is now believed that treatments targeting beta-amyloid (Abeta) may be most effective before symptoms become apparent. The Alzheimer’s Prevention Initiative (API) trial of crenezumab aims to answer this fundamental question.</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Target Tau</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Tau plays a very important role in neurodegeneration. Understanding whether the aggregation and spreading of pathological Tau throughout the brain can be stopped by therapies targeting Tau is a critical question that we are examining. This is being addressed through AC Immune’s multiple Tau research programs in early and late-stage diseases.</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More homogeneous populations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Multiple pathologies are thought to contribute to the development of AD, including genetic, lifestyle and environmental factors. To understand if a candidate drug has therapeutic potential, it is important to first engage more genetically homogeneous patient populations to minimize variability with respect to pathophysiology. We are developing these efforts with our prevention studies in genetically defined populations such as familial AD and Down syndrome (DS)-related AD.</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Precision medicine</w:t>
      </w:r>
    </w:p>
    <w:p>
      <w:pPr>
        <w:spacing w:after="0" w:line="225" w:lineRule="exact"/>
        <w:rPr>
          <w:sz w:val="20"/>
          <w:szCs w:val="20"/>
          <w:color w:val="auto"/>
        </w:rPr>
      </w:pPr>
    </w:p>
    <w:p>
      <w:pPr>
        <w:ind w:right="600" w:firstLine="324"/>
        <w:spacing w:after="0" w:line="263" w:lineRule="auto"/>
        <w:rPr>
          <w:sz w:val="20"/>
          <w:szCs w:val="20"/>
          <w:color w:val="auto"/>
        </w:rPr>
      </w:pPr>
      <w:r>
        <w:rPr>
          <w:rFonts w:ascii="Arial" w:cs="Arial" w:eastAsia="Arial" w:hAnsi="Arial"/>
          <w:sz w:val="18"/>
          <w:szCs w:val="18"/>
          <w:color w:val="auto"/>
        </w:rPr>
        <w:t>Building on the understanding that multiple pathologies contribute to AD, there is a need to accurately diagnose and target the underlying pathology. We are developing an integrated diagnostic and therapeutic strategy to deliver, for the first time, precision medicine for patients with neurodegenerative conditions.</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Target neuroinflammation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20" w:top="1111" w:right="539" w:bottom="1440" w:gutter="0" w:footer="0" w:header="0"/>
        </w:sectPr>
      </w:pPr>
    </w:p>
    <w:bookmarkStart w:id="8" w:name="page9"/>
    <w:bookmarkEnd w:id="8"/>
    <w:p>
      <w:pPr>
        <w:ind w:right="40" w:firstLine="32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515620</wp:posOffset>
            </wp:positionV>
            <wp:extent cx="7136130" cy="7470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t>It is well established that microglia maintain a healthy brain environment by clearing debris, including misfolded and aggregated Abeta, Tau and alpha-synuclein (a-syn). Chronic hyper-stimulation of microglial cells by these protein aggregates is now emerging as a hallmark of AD – and potentially all neurodegenerative diseases – that leads to unwanted inflammation and further damage to brain cells. We focus on the NOD-like receptor pyrin domain-containing protein 3 (NLRP3) inflammasome pathway, based on emerging evidence showing its particular relevance for neurodegenerative diseases.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AC Immune’s clinical stage pipeline is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Key Elements of our Approach Include:</w:t>
      </w:r>
    </w:p>
    <w:p>
      <w:pPr>
        <w:spacing w:after="0" w:line="229" w:lineRule="exact"/>
        <w:rPr>
          <w:sz w:val="20"/>
          <w:szCs w:val="20"/>
          <w:color w:val="auto"/>
        </w:rPr>
      </w:pPr>
    </w:p>
    <w:p>
      <w:pPr>
        <w:ind w:left="640" w:right="180" w:hanging="318"/>
        <w:spacing w:after="0" w:line="277" w:lineRule="auto"/>
        <w:tabs>
          <w:tab w:leader="none" w:pos="6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Execution on advancing our product candidates, in partnership or alone, from clinical development to regulatory approval and potential commercialization.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clinical stage product candidates include:</w:t>
      </w:r>
    </w:p>
    <w:p>
      <w:pPr>
        <w:spacing w:after="0" w:line="221" w:lineRule="exact"/>
        <w:rPr>
          <w:sz w:val="20"/>
          <w:szCs w:val="20"/>
          <w:color w:val="auto"/>
        </w:rPr>
      </w:pPr>
    </w:p>
    <w:p>
      <w:pPr>
        <w:ind w:left="640" w:right="60" w:hanging="318"/>
        <w:spacing w:after="0" w:line="277"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ACI-35.030</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Janssen and AC Immune are evaluating the anti-phosphorylated-Tau (anti-pTau) vaccine candidate ACI-35.030 in a Phase 1b/2a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study in early AD. Interim results show that ACI-35.030 vaccination generated a potent antigen-specific antibody response against pTau in 100% of older patients, achieving antibody levels several orders of magnitude higher than pre-vaccination levels. No vaccine relevant adverse events were observed. These results support plans to further develop the Alzheimer Vaccine into Phase 2/3. ACI-35.030 specifically targets pathological pTau and is intended as a disease-modifying treatment for AD and other Tauopathies.</w:t>
      </w:r>
    </w:p>
    <w:p>
      <w:pPr>
        <w:spacing w:after="0" w:line="167" w:lineRule="exact"/>
        <w:rPr>
          <w:rFonts w:ascii="Arial" w:cs="Arial" w:eastAsia="Arial" w:hAnsi="Arial"/>
          <w:sz w:val="17"/>
          <w:szCs w:val="17"/>
          <w:color w:val="auto"/>
        </w:rPr>
      </w:pPr>
    </w:p>
    <w:p>
      <w:pPr>
        <w:ind w:left="640" w:right="140" w:hanging="318"/>
        <w:spacing w:after="0" w:line="25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Semorinemab</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a member of the Roche Group, is currently completing a Phase 2 clinical program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anti-Tau monoclonal antibody semorinemab. A Phase 2 study (Tauriel) conducted in patients with prodromal-to-mild AD was completed in Q3 2020 and did not meet its primary efficacy endpoint of reducing decline on Clinical Dementia Rating-Sum of Boxes (CDR-SB) compared to placebo. A second Phase 2 study (Lauriet) conducted in patients with moderate AD remains ongoing with primary completion estimated in Q2 2021. Semorinemab is designed to slow the prion-like propagation of Tau pathology, which coincides with both clinical symptoms and disease progression in AD.</w:t>
      </w:r>
    </w:p>
    <w:p>
      <w:pPr>
        <w:spacing w:after="0" w:line="191" w:lineRule="exact"/>
        <w:rPr>
          <w:rFonts w:ascii="Arial" w:cs="Arial" w:eastAsia="Arial" w:hAnsi="Arial"/>
          <w:sz w:val="18"/>
          <w:szCs w:val="18"/>
          <w:color w:val="auto"/>
        </w:rPr>
      </w:pPr>
    </w:p>
    <w:p>
      <w:pPr>
        <w:ind w:left="640" w:hanging="318"/>
        <w:spacing w:after="0" w:line="25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Morphomer Tau. </w:t>
      </w:r>
      <w:r>
        <w:rPr>
          <w:rFonts w:ascii="Arial" w:cs="Arial" w:eastAsia="Arial" w:hAnsi="Arial"/>
          <w:sz w:val="18"/>
          <w:szCs w:val="18"/>
          <w:color w:val="auto"/>
        </w:rPr>
        <w:t>In collaboration with our partner, Lilly, we are researching and developing small molecule Tau aggregation inhibitors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to evaluate candidates in AD and NeuroOrphan indications. We completed a Phase 1 clinical study in healthy volunteers with ACI-3024, in Q2 2020, which showed dose-dependent plasma exposure, and after multiple doses, ACI-3024 concentrations in cerebrospinal fluid exceeded target concentrations based on animal studies. Plans to conduct additional clinical trials with ACI-3024 in AD have been suspended. The Companies have decided to pursue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420" w:top="1327" w:right="559" w:bottom="1440" w:gutter="0" w:footer="0" w:header="0"/>
        </w:sectPr>
      </w:pPr>
    </w:p>
    <w:bookmarkStart w:id="9" w:name="page10"/>
    <w:bookmarkEnd w:id="9"/>
    <w:p>
      <w:pPr>
        <w:ind w:left="640"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5053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053330"/>
                    </a:xfrm>
                    <a:prstGeom prst="rect">
                      <a:avLst/>
                    </a:prstGeom>
                    <a:noFill/>
                  </pic:spPr>
                </pic:pic>
              </a:graphicData>
            </a:graphic>
          </wp:anchor>
        </w:drawing>
        <w:t>promising Tau Morphomer candidates from AC Immune’s research platform for potential clinical development in AD. ACI-3024 will be further evaluated for efficacy in models of rare Tauopathies.</w:t>
      </w:r>
    </w:p>
    <w:p>
      <w:pPr>
        <w:spacing w:after="0" w:line="170" w:lineRule="exact"/>
        <w:rPr>
          <w:sz w:val="20"/>
          <w:szCs w:val="20"/>
          <w:color w:val="auto"/>
        </w:rPr>
      </w:pPr>
    </w:p>
    <w:p>
      <w:pPr>
        <w:ind w:left="640" w:right="160" w:hanging="318"/>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w:t>
      </w:r>
      <w:r>
        <w:rPr>
          <w:rFonts w:ascii="Arial" w:cs="Arial" w:eastAsia="Arial" w:hAnsi="Arial"/>
          <w:sz w:val="18"/>
          <w:szCs w:val="18"/>
          <w:color w:val="auto"/>
        </w:rPr>
        <w:t>We currently own the global rights to our anti-Abeta vaccine candidate ACI-24, and we continue to develop this asset in-house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 and DS.</w:t>
      </w:r>
    </w:p>
    <w:p>
      <w:pPr>
        <w:spacing w:after="0" w:line="170" w:lineRule="exact"/>
        <w:rPr>
          <w:rFonts w:ascii="Arial" w:cs="Arial" w:eastAsia="Arial" w:hAnsi="Arial"/>
          <w:sz w:val="18"/>
          <w:szCs w:val="18"/>
          <w:color w:val="auto"/>
        </w:rPr>
      </w:pPr>
    </w:p>
    <w:p>
      <w:pPr>
        <w:ind w:left="640" w:right="40" w:hanging="318"/>
        <w:spacing w:after="0" w:line="279"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for AD. </w:t>
      </w:r>
      <w:r>
        <w:rPr>
          <w:rFonts w:ascii="Arial" w:cs="Arial" w:eastAsia="Arial" w:hAnsi="Arial"/>
          <w:sz w:val="17"/>
          <w:szCs w:val="17"/>
          <w:color w:val="auto"/>
        </w:rPr>
        <w:t>A Phase 2 study commenced in October 2018 and is currently ongoing to assess the safety, tolerability, immunogenicity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 engagement of ACI-24 formulations using intramuscular injections, and to analyze the effects of ACI-24 on brain amyloid as assessed by PET imaging. Encouraging 12-month interim results were reported and results from the 18-month interim analysis are expected in Q2 2021. The previous Phase 1/2 study was completed and the clinical study report finalized in 2019.</w:t>
      </w:r>
    </w:p>
    <w:p>
      <w:pPr>
        <w:spacing w:after="0" w:line="171" w:lineRule="exact"/>
        <w:rPr>
          <w:rFonts w:ascii="Arial" w:cs="Arial" w:eastAsia="Arial" w:hAnsi="Arial"/>
          <w:sz w:val="17"/>
          <w:szCs w:val="17"/>
          <w:color w:val="auto"/>
        </w:rPr>
      </w:pPr>
    </w:p>
    <w:p>
      <w:pPr>
        <w:ind w:left="640" w:right="60" w:hanging="318"/>
        <w:spacing w:after="0" w:line="259"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for DS. </w:t>
      </w:r>
      <w:r>
        <w:rPr>
          <w:rFonts w:ascii="Arial" w:cs="Arial" w:eastAsia="Arial" w:hAnsi="Arial"/>
          <w:sz w:val="18"/>
          <w:szCs w:val="18"/>
          <w:color w:val="auto"/>
        </w:rPr>
        <w:t>Our Phase 1b clinical study of ACI-24 for individuals with DS, intended to assess safety, tolerability and immunogenicity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two doses, was completed and results reported in Q1 2021. The results support a favorable safety and tolerability profile of ACI-24 in this vulnerable patient population and the advancement of this program into Phase 2 studies, the initiation of which will be determined by appropriate public safety measures related to Covid-19.</w:t>
      </w:r>
    </w:p>
    <w:p>
      <w:pPr>
        <w:spacing w:after="0" w:line="186" w:lineRule="exact"/>
        <w:rPr>
          <w:rFonts w:ascii="Arial" w:cs="Arial" w:eastAsia="Arial" w:hAnsi="Arial"/>
          <w:sz w:val="18"/>
          <w:szCs w:val="18"/>
          <w:color w:val="auto"/>
        </w:rPr>
      </w:pPr>
    </w:p>
    <w:p>
      <w:pPr>
        <w:ind w:left="640" w:hanging="318"/>
        <w:spacing w:after="0" w:line="259"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The parent of our collaboration partner discontinued, as of January 2019, the Phase 3 clinical trials in AD but is continuing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landmark prevention trial in Columbia, in a population of genetically predisposed people at risk of developing familial AD. The overall beneficial safety profile was confirmed in the CREAD studies, supporting use of crenezumab in healthy individuals with risk of developing AD.</w:t>
      </w:r>
    </w:p>
    <w:p>
      <w:pPr>
        <w:spacing w:after="0" w:line="182" w:lineRule="exact"/>
        <w:rPr>
          <w:rFonts w:ascii="Arial" w:cs="Arial" w:eastAsia="Arial" w:hAnsi="Arial"/>
          <w:sz w:val="18"/>
          <w:szCs w:val="18"/>
          <w:color w:val="auto"/>
        </w:rPr>
      </w:pPr>
    </w:p>
    <w:p>
      <w:pPr>
        <w:jc w:val="both"/>
        <w:ind w:left="640" w:right="160" w:hanging="318"/>
        <w:spacing w:after="0" w:line="26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Diagnostic candidates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the above therapeutic product candidates, we will continue to develop our complementary diagnostic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candidates for Tau (with Life Molecular Imaging “LMI”), a-syn and TDP-43 to advance these through clinical development, either independently or with collaboration partners.</w:t>
      </w:r>
    </w:p>
    <w:p>
      <w:pPr>
        <w:spacing w:after="0" w:line="180" w:lineRule="exact"/>
        <w:rPr>
          <w:sz w:val="20"/>
          <w:szCs w:val="20"/>
          <w:color w:val="auto"/>
        </w:rPr>
      </w:pPr>
    </w:p>
    <w:p>
      <w:pPr>
        <w:ind w:left="640" w:hanging="318"/>
        <w:spacing w:after="0"/>
        <w:tabs>
          <w:tab w:leader="none" w:pos="6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Expand product development into NeuroOrphan and additional neurodegenerative diseases.</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Beyond AD, we aim to pursue NeuroOrphan indications, specifically Tau- and TDP-43-driven diseases, such as FTLD-Tau (e.g., PSP, CBD, FTLD-MAPT), and ALS and FTLD-TDP, respectively. Pursuing NeuroOrphan indications may enable us to obtain a streamlined regulatory approval pathway and favorable reimbursement for any approved products. In addition, we are accelerating our novel therapeutic and diagnostic candidates targeting a-syn as a primary pathology in Parkinson’s disease and other a-synucleinopathies. A summary of our diversified novel targets pipeline including non-AD neurodegenerative diseases, with an in-house focus on NeuroOrphan indications, is shown below:</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20"/>
          </w:cols>
          <w:pgMar w:left="420" w:top="1111" w:right="6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532765</wp:posOffset>
            </wp:positionV>
            <wp:extent cx="7136130" cy="7127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3. Accelerating the advancement of our diagnostic portfolio</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To realize our vision for precision medicine in neurodegenerative disease, we are developing a suite of companion diagnostics designed to be first-in-class or best-in-class, which will enable improved diagnosis of co-pathologies, patient selection and assessment of clinical trial outcomes. We currently have three families of diagnostic candidates in our pipeline, developed using our Morphomer platform; each addresses a key therapeutic target: Tau, a-syn and TDP-43.</w:t>
      </w:r>
    </w:p>
    <w:p>
      <w:pPr>
        <w:spacing w:after="0" w:line="18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 xml:space="preserve">The most advanced clinical candidate is PI-2620, our Tau-PET imaging agent. We are working with our partner, LMI, to advance PI-2620 as a highly differentiated, best-in-class Tau diagnostic for AD as well as non-AD Tauopathies such as PSP. A study published in </w:t>
      </w:r>
      <w:r>
        <w:rPr>
          <w:rFonts w:ascii="Arial" w:cs="Arial" w:eastAsia="Arial" w:hAnsi="Arial"/>
          <w:sz w:val="18"/>
          <w:szCs w:val="18"/>
          <w:i w:val="1"/>
          <w:iCs w:val="1"/>
          <w:color w:val="auto"/>
        </w:rPr>
        <w:t>JAMA Neurology</w:t>
      </w:r>
      <w:r>
        <w:rPr>
          <w:rFonts w:ascii="Arial" w:cs="Arial" w:eastAsia="Arial" w:hAnsi="Arial"/>
          <w:sz w:val="18"/>
          <w:szCs w:val="18"/>
          <w:color w:val="auto"/>
        </w:rPr>
        <w:t xml:space="preserve"> showed that PI-2620 could facilitate earlier and more reliable diagnosis of PSP, where previous Tau tracers and other biomarkers failed. Further, results demonstrated PI-2620’s excellent characteristics as a diagnostic tool for studying Tau-related diseases following recent publications about its capabilities in early and more advanced AD.</w:t>
      </w:r>
    </w:p>
    <w:p>
      <w:pPr>
        <w:spacing w:after="0" w:line="18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also developing proprietary PET imaging diagnostics for diseases resulting from the misfolding of a-syn and TDP-43 proteins. No such diagnostics are currently available for these important pathologies and AC Immune has identified promising compounds with high affinity and target specificity, as well as favorable central nervous system (CNS) pharmacokinetic properties. In 2020, the a-syn-PET tracer won the Ken Griffin Alpha-synuclein Imaging Competition from The Michael J. Fox Foundation for Parkinson’s Research. Our novel TDP-43-PET tracer and our antibody-based immuno-assay for biofluid detection of TDP-43 also were awarded highly competitive grants from the EU Joint Programme – Neurodegenerative Disease Research’ (JPND) and The Target ALS Foundation, respectively, in 2020. Our diagnostics for a-syn and TDP-43, if validated clinically, will be the first in the world to effectively diagnose these proteinopathies, which are highly relevant for multiple neurodegenerative diseases.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4. Continuing to optimize our long-term growth by selectively partnering product candidates for global development and commercialization</w:t>
      </w:r>
    </w:p>
    <w:p>
      <w:pPr>
        <w:spacing w:after="0" w:line="248"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We have a strong track record of establishing value-driving collaboration agreements with leading pharmaceutical companies, including two collaborations with Genentech, one with Janssen and one with Lilly. This strategy allows us to leverage our partners’ scientific, development, manufacturing and commercialization expertise and other resources while partially monetizing our investments, de-risking and accelerating the development of our product candidates. This strategy also enables us to use non-dilutive partnership revenue to bolster our investment into our early-stage proprietary programs and fuel our continued growth. We have five current collaboration agreements with leading global pharmaceutical companies,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420" w:top="1440" w:right="5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6981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98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For any additional product candidates targeting large markets, we may selectively partner with leading companies that we believe can contribute development, manufacturing and marketing expertise, geographic reach and/or other resources that can enhance the value of our wholly-owned products. We will continue to seek to retain certain indications (e.g., NeuroOrphan) and/or geographies, such that we can begin to grow our own marketing capabilities as we develop AC Immune into a fully integrated pharmaceutical company.</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have assembled an excellent management team with outstanding scientific, clinical and regulatory expertise. They are led by Chief Executive Officer and Co-Founder, Dr. Andrea Pfeifer, a Pharmacologist with a Ph.D. in cancer research and a former National Institute of Health researcher with a highly successful track record of over 30 years in product innovation and product implementation and business development:</w:t>
      </w:r>
    </w:p>
    <w:p>
      <w:pPr>
        <w:spacing w:after="0" w:line="161" w:lineRule="exact"/>
        <w:rPr>
          <w:sz w:val="20"/>
          <w:szCs w:val="20"/>
          <w:color w:val="auto"/>
        </w:rPr>
      </w:pPr>
    </w:p>
    <w:p>
      <w:pPr>
        <w:ind w:left="960" w:right="120" w:hanging="314"/>
        <w:spacing w:after="0" w:line="289"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Andrea Pfeifer, Ph.D., Co-Founder, Chief Executive Officer:</w:t>
      </w:r>
      <w:r>
        <w:rPr>
          <w:rFonts w:ascii="Arial" w:cs="Arial" w:eastAsia="Arial" w:hAnsi="Arial"/>
          <w:sz w:val="16"/>
          <w:szCs w:val="16"/>
          <w:color w:val="auto"/>
        </w:rPr>
        <w:t>, Prof. Andrea Pfeifer co-founded AC Immune SA in 2003, successfully</w:t>
      </w:r>
      <w:r>
        <w:rPr>
          <w:rFonts w:ascii="Arial" w:cs="Arial" w:eastAsia="Arial" w:hAnsi="Arial"/>
          <w:sz w:val="16"/>
          <w:szCs w:val="16"/>
          <w:b w:val="1"/>
          <w:bCs w:val="1"/>
          <w:color w:val="auto"/>
        </w:rPr>
        <w:t xml:space="preserve"> </w:t>
      </w:r>
      <w:r>
        <w:rPr>
          <w:rFonts w:ascii="Arial" w:cs="Arial" w:eastAsia="Arial" w:hAnsi="Arial"/>
          <w:sz w:val="16"/>
          <w:szCs w:val="16"/>
          <w:color w:val="auto"/>
        </w:rPr>
        <w:t>leading it to an IPO in 2016, since when she has served as a Director on the Board. Under her leadership, multiple transformative partnerships have been established with leading pharmaceutical companies, yielding a potential value of up to CHF 3.3 billion plus additional royalties. Before founding the Company, she was the Head of Nestlé Research Centre in Lausanne, Switzerland where she played a major role in connecting science and business. Whilst at Nestlé she led the scientific development of a number of highly innovative, critically acclaimed products from laboratory to market, established the microbiome as a major cross-category product development platform and co-founded the Life Science focused Nestlé Venture Capital Fund. Prior to this she was a Visiting Fellow at the Human Carcinogenesis Branch of The National Institute of Health, Bethesda, USA. She currently serves as the Chair of Investment Fund BioMedInvest, Basel and AB2 Bio SA, Lausanne, and is a member of the Supervisory Board of Symrise AG, Holzminden, Germany. She is also a key member of the CEOi initiative on Alzheimer’s Disease and the Davos Alzheimer’s Collaborative (DAC).</w:t>
      </w:r>
    </w:p>
    <w:p>
      <w:pPr>
        <w:spacing w:after="0" w:line="160" w:lineRule="exact"/>
        <w:rPr>
          <w:rFonts w:ascii="Arial" w:cs="Arial" w:eastAsia="Arial" w:hAnsi="Arial"/>
          <w:sz w:val="16"/>
          <w:szCs w:val="16"/>
          <w:color w:val="auto"/>
        </w:rPr>
      </w:pPr>
    </w:p>
    <w:p>
      <w:pPr>
        <w:ind w:left="960" w:right="220" w:hanging="314"/>
        <w:spacing w:after="0" w:line="272"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Marie Kosco-Vilbois, Ph.D., Chief Scientific Officer: </w:t>
      </w:r>
      <w:r>
        <w:rPr>
          <w:rFonts w:ascii="Arial" w:cs="Arial" w:eastAsia="Arial" w:hAnsi="Arial"/>
          <w:sz w:val="17"/>
          <w:szCs w:val="17"/>
          <w:color w:val="auto"/>
        </w:rPr>
        <w:t>A US citizen, Dr. Kosco-Vilbois has extensive experience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biopharmaceutical industry and served as Chief Scientific Officer of Novimmune since 2005. Prior to joining Novimmune in 2002, Dr. Kosco-Vilbois was Head of Immunology and Preclinical Pharmacology at the Serono Pharmaceutical Research Institute, a Senior Scientist and then Head of Immunology at the Glaxo Wellcome Research Institute in Geneva, and a Scientific Member of the Basel Institute for Immunology. During her career, she has taken numerous biologicals from discovery into preclinical studies and clinical development, most notably filing market applications of a biological for an orphan indication. Dr. Kosco-Vilbois gained her Bachelor's Degree in Biology from Rutgers University, New Jersey, US, and a PhD in Anatomy and Immunology from the Medical College of Virginia/Virginia Commonwealth University School of Medicine, US.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420" w:top="1440" w:right="579" w:bottom="1440" w:gutter="0" w:footer="0" w:header="0"/>
        </w:sectPr>
      </w:pPr>
    </w:p>
    <w:bookmarkStart w:id="12" w:name="page13"/>
    <w:bookmarkEnd w:id="12"/>
    <w:p>
      <w:pPr>
        <w:ind w:left="960" w:right="140" w:hanging="314"/>
        <w:spacing w:after="0" w:line="274"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7007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007860"/>
                    </a:xfrm>
                    <a:prstGeom prst="rect">
                      <a:avLst/>
                    </a:prstGeom>
                    <a:noFill/>
                  </pic:spPr>
                </pic:pic>
              </a:graphicData>
            </a:graphic>
          </wp:anchor>
        </w:drawing>
        <w:t xml:space="preserve">Johannes Rolf Streffer, M.D., Chief Medical Officer: </w:t>
      </w:r>
      <w:r>
        <w:rPr>
          <w:rFonts w:ascii="Arial" w:cs="Arial" w:eastAsia="Arial" w:hAnsi="Arial"/>
          <w:sz w:val="17"/>
          <w:szCs w:val="17"/>
          <w:color w:val="auto"/>
        </w:rPr>
        <w:t>Prof. Johannes Streffer joined AC Immune SA in January 2021 as Chief</w:t>
      </w:r>
      <w:r>
        <w:rPr>
          <w:rFonts w:ascii="Arial" w:cs="Arial" w:eastAsia="Arial" w:hAnsi="Arial"/>
          <w:sz w:val="17"/>
          <w:szCs w:val="17"/>
          <w:b w:val="1"/>
          <w:bCs w:val="1"/>
          <w:color w:val="auto"/>
        </w:rPr>
        <w:t xml:space="preserve"> </w:t>
      </w:r>
      <w:r>
        <w:rPr>
          <w:rFonts w:ascii="Arial" w:cs="Arial" w:eastAsia="Arial" w:hAnsi="Arial"/>
          <w:sz w:val="17"/>
          <w:szCs w:val="17"/>
          <w:color w:val="auto"/>
        </w:rPr>
        <w:t>Medical Officer from UCB Biopharma SPRL where he was VP, Head of Translational Medicine Neuroscience. Prior to this he was a member of the Alzheimer Disease Area Leadership Team at Janssen R&amp;D and the industrial lead for EMIF-AD, where 14 countries are combined to foster understanding of early biomarkers and change in the predementia AD spectrum. His recognized expertise and standing in the scientific and medical community provide an invaluable asset as we work to develop innovative treatments for neurodegenerative diseases based on our proprietary technology platforms.</w:t>
      </w:r>
    </w:p>
    <w:p>
      <w:pPr>
        <w:spacing w:after="0" w:line="173" w:lineRule="exact"/>
        <w:rPr>
          <w:rFonts w:ascii="Arial" w:cs="Arial" w:eastAsia="Arial" w:hAnsi="Arial"/>
          <w:sz w:val="17"/>
          <w:szCs w:val="17"/>
          <w:color w:val="auto"/>
        </w:rPr>
      </w:pPr>
    </w:p>
    <w:p>
      <w:pPr>
        <w:ind w:left="960" w:right="160" w:hanging="314"/>
        <w:spacing w:after="0" w:line="258"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Piergiorgio Donati, Chief Technical Operations Officer: </w:t>
      </w:r>
      <w:r>
        <w:rPr>
          <w:rFonts w:ascii="Arial" w:cs="Arial" w:eastAsia="Arial" w:hAnsi="Arial"/>
          <w:sz w:val="18"/>
          <w:szCs w:val="18"/>
          <w:color w:val="auto"/>
        </w:rPr>
        <w:t>Mr. Donati joined AC Immune in June 2018 as Director, Global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having previously worked for AC Immune from 2011 to 2015 as Head of Manufacturing and Project Management. Between 2015 and 2018, Mr. Donati was Head of CMC program development at Glenmark Pharmaceuticals and Biotech CMC Lead at Merck KGaA. Prior to 2011, he held R&amp;D positions at Abiogen, Merck Group and Serono. Mr. Donati holds a degree in Analytical Chemistry from the Technical Institute G.L. Bernini.</w:t>
      </w:r>
    </w:p>
    <w:p>
      <w:pPr>
        <w:spacing w:after="0" w:line="183" w:lineRule="exact"/>
        <w:rPr>
          <w:rFonts w:ascii="Arial" w:cs="Arial" w:eastAsia="Arial" w:hAnsi="Arial"/>
          <w:sz w:val="18"/>
          <w:szCs w:val="18"/>
          <w:color w:val="auto"/>
        </w:rPr>
      </w:pPr>
    </w:p>
    <w:p>
      <w:pPr>
        <w:ind w:left="960" w:right="60" w:hanging="314"/>
        <w:spacing w:after="0" w:line="254"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Joerg Hornstein, Chief Financial Officer: </w:t>
      </w:r>
      <w:r>
        <w:rPr>
          <w:rFonts w:ascii="Arial" w:cs="Arial" w:eastAsia="Arial" w:hAnsi="Arial"/>
          <w:sz w:val="18"/>
          <w:szCs w:val="18"/>
          <w:color w:val="auto"/>
        </w:rPr>
        <w:t>Mr. Hornstein has served as our Chief Financial Officer since April 2017. Prior to joining</w:t>
      </w:r>
      <w:r>
        <w:rPr>
          <w:rFonts w:ascii="Arial" w:cs="Arial" w:eastAsia="Arial" w:hAnsi="Arial"/>
          <w:sz w:val="18"/>
          <w:szCs w:val="18"/>
          <w:b w:val="1"/>
          <w:bCs w:val="1"/>
          <w:color w:val="auto"/>
        </w:rPr>
        <w:t xml:space="preserve"> </w:t>
      </w:r>
      <w:r>
        <w:rPr>
          <w:rFonts w:ascii="Arial" w:cs="Arial" w:eastAsia="Arial" w:hAnsi="Arial"/>
          <w:sz w:val="18"/>
          <w:szCs w:val="18"/>
          <w:color w:val="auto"/>
        </w:rPr>
        <w:t>AC Immune, Mr. Hornstein served as Senior Vice President Group Controlling for Unternehmensgruppe Theo Müller based in Luxembourg from January 2014 to March 2017. Between 2002 and 2013 he worked for Merck KGaA, a leading science and technology company in healthcare, life science and performance materials, where he held various senior finance roles. Among other appointments, he was CFO for Merck’s operations in Indonesia and Merck Serono’s operations in China. Furthermore, he served as Vice President Group Controlling for Merck Group Headquarters in Germany and as Divisional CFO for Merck Millipore in the US. Mr. Hornstein holds an MBA with Distinction from London Business School, UK, and a Bachelor of Business Administration from Baylor University in the US.</w:t>
      </w:r>
    </w:p>
    <w:p>
      <w:pPr>
        <w:spacing w:after="0" w:line="191" w:lineRule="exact"/>
        <w:rPr>
          <w:rFonts w:ascii="Arial" w:cs="Arial" w:eastAsia="Arial" w:hAnsi="Arial"/>
          <w:sz w:val="18"/>
          <w:szCs w:val="18"/>
          <w:color w:val="auto"/>
        </w:rPr>
      </w:pPr>
    </w:p>
    <w:p>
      <w:pPr>
        <w:ind w:left="960" w:hanging="314"/>
        <w:spacing w:after="0" w:line="277"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Jean-Fabien Monin, Chief Administrative Officer: </w:t>
      </w:r>
      <w:r>
        <w:rPr>
          <w:rFonts w:ascii="Arial" w:cs="Arial" w:eastAsia="Arial" w:hAnsi="Arial"/>
          <w:sz w:val="17"/>
          <w:szCs w:val="17"/>
          <w:color w:val="auto"/>
        </w:rPr>
        <w:t>Mr. Monin was nominated Chief Administrative Officer in July 2015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his role as our Chief Financial Officer from March 2009 to July 2015. Prior to AC Immune, he held several positions during his tenure of 14 years at bioMérieux, a leading international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Management Team is supported by world renowned experts that sit on the Clinical Advisory Board.</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Together, these acclaimed leaders help the Company maintain its leadership position in the field of Neurodegenerative Diseases. Members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Advisory Board include:</w:t>
      </w:r>
    </w:p>
    <w:p>
      <w:pPr>
        <w:spacing w:after="0" w:line="211" w:lineRule="exact"/>
        <w:rPr>
          <w:sz w:val="20"/>
          <w:szCs w:val="20"/>
          <w:color w:val="auto"/>
        </w:rPr>
      </w:pPr>
    </w:p>
    <w:p>
      <w:pPr>
        <w:ind w:left="960" w:hanging="31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Andreas U. Monsch, Ph.D. (Chairman), Head, Memory Clinic, University Department of Geriatric Medicine FELIX PLATTER;</w:t>
      </w:r>
    </w:p>
    <w:p>
      <w:pPr>
        <w:spacing w:after="0" w:line="225" w:lineRule="exact"/>
        <w:rPr>
          <w:rFonts w:ascii="Arial" w:cs="Arial" w:eastAsia="Arial" w:hAnsi="Arial"/>
          <w:sz w:val="18"/>
          <w:szCs w:val="18"/>
          <w:color w:val="auto"/>
        </w:rPr>
      </w:pPr>
    </w:p>
    <w:p>
      <w:pPr>
        <w:ind w:left="960" w:hanging="31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Pierre N. Tariot, MD, Director of Banner Alzheimer’s Institute and Research Professor;</w:t>
      </w:r>
    </w:p>
    <w:p>
      <w:pPr>
        <w:spacing w:after="0" w:line="225" w:lineRule="exact"/>
        <w:rPr>
          <w:rFonts w:ascii="Arial" w:cs="Arial" w:eastAsia="Arial" w:hAnsi="Arial"/>
          <w:sz w:val="18"/>
          <w:szCs w:val="18"/>
          <w:color w:val="auto"/>
        </w:rPr>
      </w:pPr>
    </w:p>
    <w:p>
      <w:pPr>
        <w:ind w:left="960" w:hanging="31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Murat Emre, MD, Professor of Practice and Expert in Neurodegenerative Diseases;</w:t>
      </w:r>
    </w:p>
    <w:p>
      <w:pPr>
        <w:spacing w:after="0" w:line="225" w:lineRule="exact"/>
        <w:rPr>
          <w:rFonts w:ascii="Arial" w:cs="Arial" w:eastAsia="Arial" w:hAnsi="Arial"/>
          <w:sz w:val="18"/>
          <w:szCs w:val="18"/>
          <w:color w:val="auto"/>
        </w:rPr>
      </w:pPr>
    </w:p>
    <w:p>
      <w:pPr>
        <w:ind w:left="960" w:hanging="314"/>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Juan Fortea, MD, Ph.D., Director of the Alzheimer Down Unit and Leader of the Down Alzheimer Barcelona Imaging Initiative;</w:t>
      </w:r>
    </w:p>
    <w:p>
      <w:pPr>
        <w:spacing w:after="0" w:line="236" w:lineRule="exact"/>
        <w:rPr>
          <w:rFonts w:ascii="Arial" w:cs="Arial" w:eastAsia="Arial" w:hAnsi="Arial"/>
          <w:sz w:val="17"/>
          <w:szCs w:val="17"/>
          <w:color w:val="auto"/>
        </w:rPr>
      </w:pPr>
    </w:p>
    <w:p>
      <w:pPr>
        <w:ind w:left="960" w:hanging="31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Reisa Sperling, MD, Director of the Center for Alzheimer Research and Treatment and Professor in Neurology; and</w:t>
      </w:r>
    </w:p>
    <w:p>
      <w:pPr>
        <w:spacing w:after="0" w:line="225" w:lineRule="exact"/>
        <w:rPr>
          <w:rFonts w:ascii="Arial" w:cs="Arial" w:eastAsia="Arial" w:hAnsi="Arial"/>
          <w:sz w:val="18"/>
          <w:szCs w:val="18"/>
          <w:color w:val="auto"/>
        </w:rPr>
      </w:pPr>
    </w:p>
    <w:p>
      <w:pPr>
        <w:ind w:left="960" w:hanging="31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 S. Schneider, MD, MS Director of the USC State of California Alzheimer’s Disease Center</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420" w:top="1161" w:right="619" w:bottom="1440" w:gutter="0" w:footer="0" w:header="0"/>
        </w:sectPr>
      </w:pPr>
    </w:p>
    <w:bookmarkStart w:id="13" w:name="page14"/>
    <w:bookmarkEnd w:id="13"/>
    <w:p>
      <w:pPr>
        <w:jc w:val="both"/>
        <w:ind w:firstLine="32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68364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836410"/>
                    </a:xfrm>
                    <a:prstGeom prst="rect">
                      <a:avLst/>
                    </a:prstGeom>
                    <a:noFill/>
                  </pic:spPr>
                </pic:pic>
              </a:graphicData>
            </a:graphic>
          </wp:anchor>
        </w:drawing>
        <w:t>Our domicile and registered office is in Ecublens, at EPFL Innovation Park Building B, 1015 Lausanne, Vaud, Switzerland, our general telephone number is +41 21 345 91 21 and our internet address is www.acimmune.com. The information contained on our website is not a part of this prospectus supplement.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 an exemption from the auditor attestation requirement in the assessment of our internal control over financial reporting pursuant to the Section 404 of the Sarbanes-Oxley Act of 2002.</w:t>
      </w:r>
    </w:p>
    <w:p>
      <w:pPr>
        <w:spacing w:after="0" w:line="18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$1.07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our initial public offering (2016). We may choose to take advantage of some but not all of these reduced burdens. For example, Section 107 of the JOBS Act provides that an emerging growth company can use the extended transition period provided in Section 7(a)</w:t>
      </w:r>
    </w:p>
    <w:p>
      <w:pPr>
        <w:spacing w:after="0" w:line="4"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(2)(B) of the Securities Act for complying with new or revised accounting standards. However, given that we currently report and expect to continue to report under IFRS, we have irrevocably elected not to avail ourselves of this extended transition period and, as a result, we will adopt new or revised accounting standards on the relevant dates on which adoption of such standards is required by the IASB.</w:t>
      </w:r>
    </w:p>
    <w:p>
      <w:pPr>
        <w:spacing w:after="0" w:line="17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Furthermore, in March 2020, the SEC approved amendments to exempt companies with less than $100 million of revenue and less than $700 million of public float from the requirements of Section 404(b). These amendments provide that such companies are no longer required to obtain an attestation of their internal controls over financial reporting from an independent outside auditor, even if such companies are no longer “emerging growth companies.”</w:t>
      </w:r>
    </w:p>
    <w:p>
      <w:pPr>
        <w:spacing w:after="0" w:line="18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For as long as we remain an “emerging growth company” and are exempt per the above-described SEC amendments, we may not be able to detect problems that an independent assessment of the effectiveness of our internal controls could. Undetected material weaknesses in our internal controls could lead to financial statement restatements and require us to incur the expense of remediation.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29"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We are also considered a “foreign private issuer.” Accordingly, we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49" w:lineRule="exact"/>
        <w:rPr>
          <w:sz w:val="20"/>
          <w:szCs w:val="20"/>
          <w:color w:val="auto"/>
        </w:rPr>
      </w:pPr>
    </w:p>
    <w:p>
      <w:pPr>
        <w:ind w:left="1060" w:right="400" w:hanging="41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1060" w:right="120" w:hanging="41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70" w:lineRule="exact"/>
        <w:rPr>
          <w:rFonts w:ascii="Arial" w:cs="Arial" w:eastAsia="Arial" w:hAnsi="Arial"/>
          <w:sz w:val="18"/>
          <w:szCs w:val="18"/>
          <w:color w:val="auto"/>
        </w:rPr>
      </w:pPr>
    </w:p>
    <w:p>
      <w:pPr>
        <w:ind w:left="1060" w:right="300" w:hanging="414"/>
        <w:spacing w:after="0" w:line="26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420" w:top="1111" w:right="619" w:bottom="1440" w:gutter="0" w:footer="0" w:header="0"/>
        </w:sectPr>
      </w:pPr>
    </w:p>
    <w:bookmarkStart w:id="14" w:name="page15"/>
    <w:bookmarkEnd w:id="14"/>
    <w:p>
      <w:pPr>
        <w:ind w:firstLine="324"/>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515620</wp:posOffset>
            </wp:positionV>
            <wp:extent cx="7136130" cy="2447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447290"/>
                    </a:xfrm>
                    <a:prstGeom prst="rect">
                      <a:avLst/>
                    </a:prstGeom>
                    <a:noFill/>
                  </pic:spPr>
                </pic:pic>
              </a:graphicData>
            </a:graphic>
          </wp:anchor>
        </w:drawing>
        <w:t>Although as a foreign private issuer we will not be required to file periodic reports and financial statements with the SEC as frequently or as promptly as US companies whose securities are registered under the Exchange Act, we report our results of operations voluntarily on a quarterly basis.</w:t>
      </w:r>
    </w:p>
    <w:p>
      <w:pPr>
        <w:spacing w:after="0" w:line="12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420" w:top="1327" w:right="619" w:bottom="1440" w:gutter="0" w:footer="0" w:header="0"/>
        </w:sectPr>
      </w:pPr>
    </w:p>
    <w:bookmarkStart w:id="15" w:name="page16"/>
    <w:bookmarkEnd w:id="1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7136130" cy="5190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190490"/>
                    </a:xfrm>
                    <a:prstGeom prst="rect">
                      <a:avLst/>
                    </a:prstGeom>
                    <a:noFill/>
                  </pic:spPr>
                </pic:pic>
              </a:graphicData>
            </a:graphic>
          </wp:anchor>
        </w:drawing>
        <w:t>THE OFFERING</w:t>
      </w:r>
    </w:p>
    <w:p>
      <w:pPr>
        <w:spacing w:after="0" w:line="229" w:lineRule="exact"/>
        <w:rPr>
          <w:sz w:val="20"/>
          <w:szCs w:val="20"/>
          <w:color w:val="auto"/>
        </w:rPr>
      </w:pPr>
    </w:p>
    <w:p>
      <w:pPr>
        <w:ind w:left="200" w:right="220" w:firstLine="396"/>
        <w:spacing w:after="0" w:line="259"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supplement. This summary is not complete and does not contain all the information you should consider before investing in our securities. You should carefully read this entire prospectus supplement before investing in our securities including “Risk Factors” and our financial statements included in this prospectus supplement or incorporated by reference herein.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Common shares offered by us</w:t>
            </w:r>
          </w:p>
        </w:tc>
        <w:tc>
          <w:tcPr>
            <w:tcW w:w="6460" w:type="dxa"/>
            <w:vAlign w:val="bottom"/>
          </w:tcPr>
          <w:p>
            <w:pPr>
              <w:ind w:left="160"/>
              <w:spacing w:after="0"/>
              <w:rPr>
                <w:sz w:val="20"/>
                <w:szCs w:val="20"/>
                <w:color w:val="auto"/>
              </w:rPr>
            </w:pPr>
            <w:r>
              <w:rPr>
                <w:rFonts w:ascii="Arial" w:cs="Arial" w:eastAsia="Arial" w:hAnsi="Arial"/>
                <w:sz w:val="18"/>
                <w:szCs w:val="18"/>
                <w:color w:val="auto"/>
              </w:rPr>
              <w:t>Our common shares having an aggregate offering price of up to $80,000,000.</w:t>
            </w:r>
          </w:p>
        </w:tc>
        <w:tc>
          <w:tcPr>
            <w:tcW w:w="0" w:type="dxa"/>
            <w:vAlign w:val="bottom"/>
          </w:tcPr>
          <w:p>
            <w:pPr>
              <w:spacing w:after="0"/>
              <w:rPr>
                <w:sz w:val="1"/>
                <w:szCs w:val="1"/>
                <w:color w:val="auto"/>
              </w:rPr>
            </w:pP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w w:val="91"/>
              </w:rPr>
              <w:t>Common shares to be outstanding following the offering</w:t>
            </w:r>
          </w:p>
        </w:tc>
        <w:tc>
          <w:tcPr>
            <w:tcW w:w="6460" w:type="dxa"/>
            <w:vAlign w:val="bottom"/>
          </w:tcPr>
          <w:p>
            <w:pPr>
              <w:ind w:left="160"/>
              <w:spacing w:after="0"/>
              <w:rPr>
                <w:sz w:val="20"/>
                <w:szCs w:val="20"/>
                <w:color w:val="auto"/>
              </w:rPr>
            </w:pPr>
            <w:r>
              <w:rPr>
                <w:rFonts w:ascii="Arial" w:cs="Arial" w:eastAsia="Arial" w:hAnsi="Arial"/>
                <w:sz w:val="18"/>
                <w:szCs w:val="18"/>
                <w:color w:val="auto"/>
                <w:w w:val="88"/>
              </w:rPr>
              <w:t>Up to 85,639,667 shares, assuming sales of 12,987,013 shares of our common shares in</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w w:val="92"/>
              </w:rPr>
              <w:t>this offering at an assumed price of $6.16 per share, which was the last reported sale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w w:val="90"/>
              </w:rPr>
              <w:t>price of our common shares on The Nasdaq Global Market on May 4, 2021. The actual</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w w:val="95"/>
              </w:rPr>
              <w:t>number of shares issued will vary depending on the sales price under this offering.</w:t>
            </w:r>
          </w:p>
        </w:tc>
        <w:tc>
          <w:tcPr>
            <w:tcW w:w="0" w:type="dxa"/>
            <w:vAlign w:val="bottom"/>
          </w:tcPr>
          <w:p>
            <w:pPr>
              <w:spacing w:after="0"/>
              <w:rPr>
                <w:sz w:val="1"/>
                <w:szCs w:val="1"/>
                <w:color w:val="auto"/>
              </w:rPr>
            </w:pP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6460" w:type="dxa"/>
            <w:vAlign w:val="bottom"/>
          </w:tcPr>
          <w:p>
            <w:pPr>
              <w:ind w:left="160"/>
              <w:spacing w:after="0"/>
              <w:rPr>
                <w:sz w:val="20"/>
                <w:szCs w:val="20"/>
                <w:color w:val="auto"/>
              </w:rPr>
            </w:pPr>
            <w:r>
              <w:rPr>
                <w:rFonts w:ascii="Arial" w:cs="Arial" w:eastAsia="Arial" w:hAnsi="Arial"/>
                <w:sz w:val="18"/>
                <w:szCs w:val="18"/>
                <w:color w:val="auto"/>
                <w:w w:val="92"/>
              </w:rPr>
              <w:t>We currently intend to use the net proceeds from this offering to strategically invest in</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w w:val="91"/>
              </w:rPr>
              <w:t>research and clinical development of current and/or additional pipeline candidates, our</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w w:val="97"/>
              </w:rPr>
              <w:t>technology platforms, working capital, capital expenditures and general corporate</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purposes. See “Use of Proceeds.”</w:t>
            </w:r>
          </w:p>
        </w:tc>
        <w:tc>
          <w:tcPr>
            <w:tcW w:w="0" w:type="dxa"/>
            <w:vAlign w:val="bottom"/>
          </w:tcPr>
          <w:p>
            <w:pPr>
              <w:spacing w:after="0"/>
              <w:rPr>
                <w:sz w:val="1"/>
                <w:szCs w:val="1"/>
                <w:color w:val="auto"/>
              </w:rPr>
            </w:pP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Manner of offering</w:t>
            </w:r>
          </w:p>
        </w:tc>
        <w:tc>
          <w:tcPr>
            <w:tcW w:w="6460" w:type="dxa"/>
            <w:vAlign w:val="bottom"/>
          </w:tcPr>
          <w:p>
            <w:pPr>
              <w:ind w:left="160"/>
              <w:spacing w:after="0"/>
              <w:rPr>
                <w:sz w:val="20"/>
                <w:szCs w:val="20"/>
                <w:color w:val="auto"/>
              </w:rPr>
            </w:pPr>
            <w:r>
              <w:rPr>
                <w:rFonts w:ascii="Arial" w:cs="Arial" w:eastAsia="Arial" w:hAnsi="Arial"/>
                <w:sz w:val="18"/>
                <w:szCs w:val="18"/>
                <w:color w:val="auto"/>
                <w:w w:val="93"/>
              </w:rPr>
              <w:t>“At the market offering” that may be made from time to time through our sales agent,</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Jefferies. See “Plan of Distribution.”</w:t>
            </w:r>
          </w:p>
        </w:tc>
        <w:tc>
          <w:tcPr>
            <w:tcW w:w="0" w:type="dxa"/>
            <w:vAlign w:val="bottom"/>
          </w:tcPr>
          <w:p>
            <w:pPr>
              <w:spacing w:after="0"/>
              <w:rPr>
                <w:sz w:val="1"/>
                <w:szCs w:val="1"/>
                <w:color w:val="auto"/>
              </w:rPr>
            </w:pP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6460" w:type="dxa"/>
            <w:vAlign w:val="bottom"/>
          </w:tcPr>
          <w:p>
            <w:pPr>
              <w:ind w:left="160"/>
              <w:spacing w:after="0"/>
              <w:rPr>
                <w:sz w:val="20"/>
                <w:szCs w:val="20"/>
                <w:color w:val="auto"/>
              </w:rPr>
            </w:pPr>
            <w:r>
              <w:rPr>
                <w:rFonts w:ascii="Arial" w:cs="Arial" w:eastAsia="Arial" w:hAnsi="Arial"/>
                <w:sz w:val="18"/>
                <w:szCs w:val="18"/>
                <w:color w:val="auto"/>
              </w:rPr>
              <w:t>You should read the “Risk Factors” section of this prospectus supplement for a</w:t>
            </w:r>
          </w:p>
        </w:tc>
        <w:tc>
          <w:tcPr>
            <w:tcW w:w="0" w:type="dxa"/>
            <w:vAlign w:val="bottom"/>
          </w:tcPr>
          <w:p>
            <w:pPr>
              <w:spacing w:after="0"/>
              <w:rPr>
                <w:sz w:val="1"/>
                <w:szCs w:val="1"/>
                <w:color w:val="auto"/>
              </w:rPr>
            </w:pPr>
          </w:p>
        </w:tc>
      </w:tr>
      <w:tr>
        <w:trPr>
          <w:trHeight w:val="216"/>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Nasdaq Global Market Symbol</w:t>
            </w:r>
          </w:p>
        </w:tc>
        <w:tc>
          <w:tcPr>
            <w:tcW w:w="6460" w:type="dxa"/>
            <w:vAlign w:val="bottom"/>
          </w:tcPr>
          <w:p>
            <w:pPr>
              <w:ind w:left="160"/>
              <w:spacing w:after="0"/>
              <w:rPr>
                <w:sz w:val="20"/>
                <w:szCs w:val="20"/>
                <w:color w:val="auto"/>
              </w:rPr>
            </w:pPr>
            <w:r>
              <w:rPr>
                <w:rFonts w:ascii="Arial" w:cs="Arial" w:eastAsia="Arial" w:hAnsi="Arial"/>
                <w:sz w:val="18"/>
                <w:szCs w:val="18"/>
                <w:color w:val="auto"/>
                <w:w w:val="93"/>
              </w:rPr>
              <w:t>discussion of factors to consider carefully before deciding to purchase our securities.</w:t>
            </w:r>
          </w:p>
        </w:tc>
        <w:tc>
          <w:tcPr>
            <w:tcW w:w="0" w:type="dxa"/>
            <w:vAlign w:val="bottom"/>
          </w:tcPr>
          <w:p>
            <w:pPr>
              <w:spacing w:after="0"/>
              <w:rPr>
                <w:sz w:val="1"/>
                <w:szCs w:val="1"/>
                <w:color w:val="auto"/>
              </w:rPr>
            </w:pPr>
          </w:p>
        </w:tc>
      </w:tr>
      <w:tr>
        <w:trPr>
          <w:trHeight w:val="230"/>
        </w:trPr>
        <w:tc>
          <w:tcPr>
            <w:tcW w:w="4460" w:type="dxa"/>
            <w:vAlign w:val="bottom"/>
            <w:vMerge w:val="continue"/>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“ACIU”</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right="80" w:firstLine="416"/>
        <w:spacing w:after="0" w:line="272" w:lineRule="auto"/>
        <w:rPr>
          <w:sz w:val="20"/>
          <w:szCs w:val="20"/>
          <w:color w:val="auto"/>
        </w:rPr>
      </w:pPr>
      <w:r>
        <w:rPr>
          <w:rFonts w:ascii="Arial" w:cs="Arial" w:eastAsia="Arial" w:hAnsi="Arial"/>
          <w:sz w:val="17"/>
          <w:szCs w:val="17"/>
          <w:color w:val="auto"/>
        </w:rPr>
        <w:t>As of the date of this prospectus supplement, our issued share capital registered in the commercial register of the Canton of Vaud is CHF 1,537,748.98, consisting of 76,887,449 common shares with a nominal value of CHF 0.02 each. Of these issued totals, we held 4,235,023 as treasury shares totaling CHF 84,700.46 in share capital. The number of our common shares to be outstanding immediately after this offering is based on 72,652,654 common shares outstanding as of March 31, 2021, but excludes 3,030,854 of our common shares issuable upon the exercise of options and non-vested restricted shares units outstanding under our existing equity incentive plans at a weighted-average exercise price of $6.58 per common share. The common shares subject to this offering will be issued out of our existing authorized capital or sold from our treasury shares, and the subscription rights of our existing shareholders will be excluded.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420" w:top="1107" w:right="5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15"/>
        <w:spacing w:after="0" w:line="296" w:lineRule="auto"/>
        <w:rPr>
          <w:sz w:val="20"/>
          <w:szCs w:val="20"/>
          <w:color w:val="auto"/>
        </w:rPr>
      </w:pPr>
      <w:r>
        <w:rPr>
          <w:rFonts w:ascii="Arial" w:cs="Arial" w:eastAsia="Arial" w:hAnsi="Arial"/>
          <w:sz w:val="16"/>
          <w:szCs w:val="16"/>
          <w:i w:val="1"/>
          <w:iCs w:val="1"/>
          <w:color w:val="auto"/>
        </w:rPr>
        <w:t>You should carefully consider the risks and uncertainties described below and the other information in this prospectus supplement before making an investment in our securities. Our business, financial condition or results of operations could be materially and adversely affected if any of these risks occurs, and as a result, the market price of our common shares could decline and you could lose all or part of your investment.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161" w:lineRule="exact"/>
        <w:rPr>
          <w:sz w:val="20"/>
          <w:szCs w:val="20"/>
          <w:color w:val="auto"/>
        </w:rPr>
      </w:pPr>
    </w:p>
    <w:p>
      <w:pPr>
        <w:ind w:right="120" w:firstLine="415"/>
        <w:spacing w:after="0" w:line="259" w:lineRule="auto"/>
        <w:rPr>
          <w:sz w:val="20"/>
          <w:szCs w:val="20"/>
          <w:color w:val="auto"/>
        </w:rPr>
      </w:pPr>
      <w:r>
        <w:rPr>
          <w:rFonts w:ascii="Arial" w:cs="Arial" w:eastAsia="Arial" w:hAnsi="Arial"/>
          <w:sz w:val="18"/>
          <w:szCs w:val="18"/>
          <w:i w:val="1"/>
          <w:iCs w:val="1"/>
          <w:color w:val="auto"/>
        </w:rPr>
        <w:t>For a discussion of additional risks related to our business, our relationship with third parties, our intellectual property, our financial condition and capital requirements, or our regulatory environment, see the section titled “Risk Factors” in our Annual Report on Form 20-F for the fiscal year ended December 31, 2020, and our other filings with the Securities and Exchange Commission that are also incorporated by reference into this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despite our efforts, we may use the net proceeds in a manner that does not increase the value of your investment.</w:t>
      </w:r>
    </w:p>
    <w:p>
      <w:pPr>
        <w:spacing w:after="0" w:line="170" w:lineRule="exact"/>
        <w:rPr>
          <w:sz w:val="20"/>
          <w:szCs w:val="20"/>
          <w:color w:val="auto"/>
        </w:rPr>
      </w:pPr>
    </w:p>
    <w:p>
      <w:pPr>
        <w:ind w:right="160" w:firstLine="415"/>
        <w:spacing w:after="0" w:line="273" w:lineRule="auto"/>
        <w:rPr>
          <w:sz w:val="20"/>
          <w:szCs w:val="20"/>
          <w:color w:val="auto"/>
        </w:rPr>
      </w:pPr>
      <w:r>
        <w:rPr>
          <w:rFonts w:ascii="Arial" w:cs="Arial" w:eastAsia="Arial" w:hAnsi="Arial"/>
          <w:sz w:val="17"/>
          <w:szCs w:val="17"/>
          <w:color w:val="auto"/>
        </w:rPr>
        <w:t>We currently intend to use the net proceeds from any offerings pursuant to this prospectus supplement to strategically invest in research and clinical development of current and/or additional pipeline candidates, our technology platforms, working capital, capital expenditures and general corporate purposes. However, we have not determined the specific allocation of the net proceeds among these potential uses. Our management will have broad discretion over the use and investment of the net proceeds from this offering, and, accordingly, investors in this offering will need to rely upon the judgment of our management with respect to the use of proceeds, with only limited information concerning our specific intentions. These proceeds could be applied in ways that do not improve our operating results or increase the value of your investment.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You may experience immediate and substantial dilution in the net tangible book value per share of the common shares you purchase in the offering.</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In addition, we may issue additional equity or convertible debt securities in the future, which may result in additional dilution to you.</w:t>
      </w:r>
    </w:p>
    <w:p>
      <w:pPr>
        <w:spacing w:after="0" w:line="222" w:lineRule="exact"/>
        <w:rPr>
          <w:sz w:val="20"/>
          <w:szCs w:val="20"/>
          <w:color w:val="auto"/>
        </w:rPr>
      </w:pPr>
    </w:p>
    <w:p>
      <w:pPr>
        <w:ind w:firstLine="415"/>
        <w:spacing w:after="0" w:line="289" w:lineRule="auto"/>
        <w:rPr>
          <w:sz w:val="20"/>
          <w:szCs w:val="20"/>
          <w:color w:val="auto"/>
        </w:rPr>
      </w:pPr>
      <w:r>
        <w:rPr>
          <w:rFonts w:ascii="Arial" w:cs="Arial" w:eastAsia="Arial" w:hAnsi="Arial"/>
          <w:sz w:val="16"/>
          <w:szCs w:val="16"/>
          <w:color w:val="auto"/>
        </w:rPr>
        <w:t>The offering price per share in this offering may exceed the pro forma net tangible book value per share of our common shares outstanding as of March 31, 2021. Assuming that an aggregate of 12,987,013 common shares are sold at an assumed price of $6.16 per share, which was the last reported sale price of our common shares on The Nasdaq Global Market on May 4, 2021, for aggregate gross proceeds of approximately $80,000,000, and after deducting commissions and estimated aggregate offering expenses payable by us, you would experience immediate dilution of $2.69 per share, representing the difference between our pro forma as adjusted net tangible book value per share as of March 31, 2021 after giving effect to this offering and the assumed offering price. The exercise of outstanding stock options could result in further dilution of your investment. See the section titled “Dilution” below for a more detailed illustration of the dilution you may incur if you participate in this offering. In addition, to the extent we need to raise additional capital in the future and we issue additional common shares or securities convertible or exchangeable for our common shares, our then existing stockholders may experience dilution and the new securities may have rights senior to those of our common shares offered in this offering.</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Sales of our common shares in this offering, or the perception that such sales may occur, could cause the market price of our common shares to fall.</w:t>
      </w:r>
    </w:p>
    <w:p>
      <w:pPr>
        <w:spacing w:after="0" w:line="260" w:lineRule="exact"/>
        <w:rPr>
          <w:sz w:val="20"/>
          <w:szCs w:val="20"/>
          <w:color w:val="auto"/>
        </w:rPr>
      </w:pPr>
    </w:p>
    <w:p>
      <w:pPr>
        <w:jc w:val="both"/>
        <w:ind w:right="80" w:firstLine="415"/>
        <w:spacing w:after="0" w:line="257" w:lineRule="auto"/>
        <w:rPr>
          <w:sz w:val="20"/>
          <w:szCs w:val="20"/>
          <w:color w:val="auto"/>
        </w:rPr>
      </w:pPr>
      <w:r>
        <w:rPr>
          <w:rFonts w:ascii="Arial" w:cs="Arial" w:eastAsia="Arial" w:hAnsi="Arial"/>
          <w:sz w:val="18"/>
          <w:szCs w:val="18"/>
          <w:color w:val="auto"/>
        </w:rPr>
        <w:t>We may issue and sell our common shares for aggregate gross proceeds of up to $80,000,000 from time to time in connection with this offering. The actual number of common shares that may be issued and sold in this offering, as well as the timing of any such sales, will depend on a number of factors, including, among others, the prices at which any shares are actually sold this offering (which may be influenced by market conditions, the trading price of our common shares and other factors) and our determinations as to the appropriate timing, sources and amounts of funding we need. The issuance and sale from time to time of these new common shares, or the mere fact</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that we are able to issue and sell these shares in this offering, could cause the market price of our common shares to decline.</w:t>
      </w:r>
    </w:p>
    <w:p>
      <w:pPr>
        <w:spacing w:after="0" w:line="225"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It is not possible to predict the actual number of common shares we will sell under the Sales Agreement, or the gross proceeds resulting from those sales.</w:t>
      </w:r>
    </w:p>
    <w:p>
      <w:pPr>
        <w:spacing w:after="0" w:line="170" w:lineRule="exact"/>
        <w:rPr>
          <w:sz w:val="20"/>
          <w:szCs w:val="20"/>
          <w:color w:val="auto"/>
        </w:rPr>
      </w:pPr>
    </w:p>
    <w:p>
      <w:pPr>
        <w:ind w:firstLine="415"/>
        <w:spacing w:after="0" w:line="296" w:lineRule="auto"/>
        <w:rPr>
          <w:sz w:val="20"/>
          <w:szCs w:val="20"/>
          <w:color w:val="auto"/>
        </w:rPr>
      </w:pPr>
      <w:r>
        <w:rPr>
          <w:rFonts w:ascii="Arial" w:cs="Arial" w:eastAsia="Arial" w:hAnsi="Arial"/>
          <w:sz w:val="16"/>
          <w:szCs w:val="16"/>
          <w:color w:val="auto"/>
        </w:rPr>
        <w:t>Subject to certain limitations in the Sales Agreement and compliance with applicable law, we have the discretion to deliver a placement notice to Jefferies at any time throughout the term of the Sales Agreement. The number of shares that are sold through Jefferies after delivering a placement notice will fluctuate based on a number of factors, including the market price of our shares during the sales period, the limits we set with Jefferies in any applicable placement notice, and the demand for our shares during the sales period. Because the price per share of each share sold will fluctuate during this offering, it is not currently possible to predict the number of shares that will be sold or the gross proceeds to be raised in connection with those sales.</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20" w:firstLine="415"/>
        <w:spacing w:after="0" w:line="263" w:lineRule="auto"/>
        <w:rPr>
          <w:sz w:val="20"/>
          <w:szCs w:val="20"/>
          <w:color w:val="auto"/>
        </w:rPr>
      </w:pPr>
      <w:r>
        <w:rPr>
          <w:rFonts w:ascii="Arial" w:cs="Arial" w:eastAsia="Arial" w:hAnsi="Arial"/>
          <w:sz w:val="18"/>
          <w:szCs w:val="18"/>
          <w:color w:val="auto"/>
        </w:rPr>
        <w:t>We may issue and sell our common shares having aggregate sales proceeds of up to $80,000,000 from time to time. Because there is no minimum offering amount required as a condition to close this offering, the actual total public offering amount, commissions and proceeds to us, if any, are not determinable at this time.</w:t>
      </w:r>
    </w:p>
    <w:p>
      <w:pPr>
        <w:spacing w:after="0" w:line="18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currently intend to use the net proceeds from any offerings pursuant to this prospectus supplement to strategically invest in research and clinical development of current and/or additional pipeline candidates, our technology platforms, working capital, capital expenditures and general corporate purposes.</w:t>
      </w:r>
    </w:p>
    <w:p>
      <w:pPr>
        <w:spacing w:after="0" w:line="184" w:lineRule="exact"/>
        <w:rPr>
          <w:sz w:val="20"/>
          <w:szCs w:val="20"/>
          <w:color w:val="auto"/>
        </w:rPr>
      </w:pPr>
    </w:p>
    <w:p>
      <w:pPr>
        <w:ind w:firstLine="415"/>
        <w:spacing w:after="0" w:line="311" w:lineRule="auto"/>
        <w:rPr>
          <w:sz w:val="20"/>
          <w:szCs w:val="20"/>
          <w:color w:val="auto"/>
        </w:rPr>
      </w:pPr>
      <w:r>
        <w:rPr>
          <w:rFonts w:ascii="Arial" w:cs="Arial" w:eastAsia="Arial" w:hAnsi="Arial"/>
          <w:sz w:val="16"/>
          <w:szCs w:val="16"/>
          <w:color w:val="auto"/>
        </w:rPr>
        <w:t>The timing and amount of our actual expenditures will be based on many factors, including cash flows from operations and the anticipated growth of our business. As of the date of this prospectus supplement, we cannot specify with certainty all of the particular uses for the net proceeds to us from this offering. As a result, our management will have broad discretion regarding the timing and application of the net proceeds from this offering.</w:t>
      </w: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415"/>
        <w:spacing w:after="0" w:line="263"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4" w:lineRule="exact"/>
        <w:rPr>
          <w:sz w:val="20"/>
          <w:szCs w:val="20"/>
          <w:color w:val="auto"/>
        </w:rPr>
      </w:pPr>
    </w:p>
    <w:p>
      <w:pPr>
        <w:ind w:right="40" w:firstLine="416"/>
        <w:spacing w:after="0" w:line="272" w:lineRule="auto"/>
        <w:rPr>
          <w:sz w:val="20"/>
          <w:szCs w:val="20"/>
          <w:color w:val="auto"/>
        </w:rPr>
      </w:pPr>
      <w:r>
        <w:rPr>
          <w:rFonts w:ascii="Arial" w:cs="Arial" w:eastAsia="Arial" w:hAnsi="Arial"/>
          <w:sz w:val="17"/>
          <w:szCs w:val="17"/>
          <w:color w:val="auto"/>
        </w:rPr>
        <w:t>Under Swiss law, any dividend must be approved by our shareholders. In addition, our auditors must confirm that the dividend proposal of our board of directors conforms to Swiss statutory law and our articles of incorporation. A Swiss corporation may pay dividends 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 (“</w:t>
      </w:r>
      <w:r>
        <w:rPr>
          <w:rFonts w:ascii="Arial" w:cs="Arial" w:eastAsia="Arial" w:hAnsi="Arial"/>
          <w:sz w:val="17"/>
          <w:szCs w:val="17"/>
          <w:i w:val="1"/>
          <w:iCs w:val="1"/>
          <w:color w:val="auto"/>
        </w:rPr>
        <w:t>réserves à libre disposition</w:t>
      </w:r>
      <w:r>
        <w:rPr>
          <w:rFonts w:ascii="Arial" w:cs="Arial" w:eastAsia="Arial" w:hAnsi="Arial"/>
          <w:sz w:val="17"/>
          <w:szCs w:val="17"/>
          <w:color w:val="auto"/>
        </w:rPr>
        <w:t>”), each as evidenced by its audited standalone statutory balance sheet prepared pursuant to Swiss law and after allocations to reserves required by Swiss law and its articles of association have been deducted. Distributable reserves are generally booked either as “free reserves” (“</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 nominal value of a corporation’s issued shares, may be made only by way of a share capital reduction.</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15"/>
        <w:spacing w:after="0" w:line="277" w:lineRule="auto"/>
        <w:rPr>
          <w:sz w:val="20"/>
          <w:szCs w:val="20"/>
          <w:color w:val="auto"/>
        </w:rPr>
      </w:pPr>
      <w:r>
        <w:rPr>
          <w:rFonts w:ascii="Arial" w:cs="Arial" w:eastAsia="Arial" w:hAnsi="Arial"/>
          <w:sz w:val="18"/>
          <w:szCs w:val="18"/>
          <w:color w:val="auto"/>
        </w:rPr>
        <w:t>If you invest in our common shares in this offering, your ownership interest will be diluted immediately to the extent of the difference between the price you pay in this offering and the net tangible book value per common share after this offering.</w:t>
      </w:r>
    </w:p>
    <w:p>
      <w:pPr>
        <w:spacing w:after="0" w:line="170" w:lineRule="exact"/>
        <w:rPr>
          <w:sz w:val="20"/>
          <w:szCs w:val="20"/>
          <w:color w:val="auto"/>
        </w:rPr>
      </w:pPr>
    </w:p>
    <w:p>
      <w:pPr>
        <w:jc w:val="both"/>
        <w:ind w:right="160" w:firstLine="416"/>
        <w:spacing w:after="0" w:line="311" w:lineRule="auto"/>
        <w:rPr>
          <w:sz w:val="20"/>
          <w:szCs w:val="20"/>
          <w:color w:val="auto"/>
        </w:rPr>
      </w:pPr>
      <w:r>
        <w:rPr>
          <w:rFonts w:ascii="Arial" w:cs="Arial" w:eastAsia="Arial" w:hAnsi="Arial"/>
          <w:sz w:val="16"/>
          <w:szCs w:val="16"/>
          <w:color w:val="auto"/>
        </w:rPr>
        <w:t>Our net tangible book value as of March 31, 2021 was $220 million (CHF 207 million), or $3.03 per common share (CHF 2.85 per common share), based on 72,652,654 common shares then outstanding. Net tangible book value per share represents the amount of our total assets less our total liabilities, excluding intangible assets, divided by 72,652,654 the total number of our common shares issued and outstanding at March 31, 2021.</w:t>
      </w:r>
    </w:p>
    <w:p>
      <w:pPr>
        <w:spacing w:after="0" w:line="149" w:lineRule="exact"/>
        <w:rPr>
          <w:sz w:val="20"/>
          <w:szCs w:val="20"/>
          <w:color w:val="auto"/>
        </w:rPr>
      </w:pPr>
    </w:p>
    <w:p>
      <w:pPr>
        <w:ind w:right="180" w:firstLine="416"/>
        <w:spacing w:after="0" w:line="257" w:lineRule="auto"/>
        <w:rPr>
          <w:sz w:val="20"/>
          <w:szCs w:val="20"/>
          <w:color w:val="auto"/>
        </w:rPr>
      </w:pPr>
      <w:r>
        <w:rPr>
          <w:rFonts w:ascii="Arial" w:cs="Arial" w:eastAsia="Arial" w:hAnsi="Arial"/>
          <w:sz w:val="18"/>
          <w:szCs w:val="18"/>
          <w:color w:val="auto"/>
        </w:rPr>
        <w:t>After giving effect to the assumed sale by us of our common shares in the aggregate amount of $80 million at an assumed public offering price of $6.16 per share (the last sale price of our common shares on May 4, 2021 as reported on Nasdaq), less the estimated commissions and estimated offering expenses payable by us, our net tangible book value at March 31, 2021 would have been $297 million, or $3.47 per common share. This represents an immediate increase in net tangible book value of $0.44 per share to existing shareholders and an immediate dilution of $2.69 per share to investors in this offering. The following table illustrates this per share dilution: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(in USD)</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(in CHF)</w:t>
            </w:r>
          </w:p>
        </w:tc>
      </w:tr>
      <w:tr>
        <w:trPr>
          <w:trHeight w:val="88"/>
        </w:trPr>
        <w:tc>
          <w:tcPr>
            <w:tcW w:w="9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r>
      <w:tr>
        <w:trPr>
          <w:trHeight w:val="284"/>
        </w:trPr>
        <w:tc>
          <w:tcPr>
            <w:tcW w:w="9220" w:type="dxa"/>
            <w:vAlign w:val="bottom"/>
            <w:shd w:val="clear" w:color="auto" w:fill="D5EAEA"/>
          </w:tcPr>
          <w:p>
            <w:pPr>
              <w:spacing w:after="0"/>
              <w:rPr>
                <w:sz w:val="20"/>
                <w:szCs w:val="20"/>
                <w:color w:val="auto"/>
              </w:rPr>
            </w:pPr>
            <w:r>
              <w:rPr>
                <w:rFonts w:ascii="Arial" w:cs="Arial" w:eastAsia="Arial" w:hAnsi="Arial"/>
                <w:sz w:val="18"/>
                <w:szCs w:val="18"/>
                <w:color w:val="auto"/>
              </w:rPr>
              <w:t>Assumed public offering price per share</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1"/>
              </w:rPr>
              <w:t>6.16</w:t>
            </w:r>
          </w:p>
        </w:tc>
        <w:tc>
          <w:tcPr>
            <w:tcW w:w="440" w:type="dxa"/>
            <w:vAlign w:val="bottom"/>
            <w:shd w:val="clear" w:color="auto" w:fill="D5EAEA"/>
          </w:tcPr>
          <w:p>
            <w:pPr>
              <w:spacing w:after="0"/>
              <w:rPr>
                <w:sz w:val="24"/>
                <w:szCs w:val="24"/>
                <w:color w:val="auto"/>
              </w:rPr>
            </w:pP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1"/>
              </w:rPr>
              <w:t>5.80</w:t>
            </w:r>
          </w:p>
        </w:tc>
        <w:tc>
          <w:tcPr>
            <w:tcW w:w="220" w:type="dxa"/>
            <w:vAlign w:val="bottom"/>
            <w:shd w:val="clear" w:color="auto" w:fill="D5EAEA"/>
          </w:tcPr>
          <w:p>
            <w:pPr>
              <w:spacing w:after="0"/>
              <w:rPr>
                <w:sz w:val="24"/>
                <w:szCs w:val="24"/>
                <w:color w:val="auto"/>
              </w:rPr>
            </w:pPr>
          </w:p>
        </w:tc>
      </w:tr>
      <w:tr>
        <w:trPr>
          <w:trHeight w:val="67"/>
        </w:trPr>
        <w:tc>
          <w:tcPr>
            <w:tcW w:w="9220" w:type="dxa"/>
            <w:vAlign w:val="bottom"/>
            <w:shd w:val="clear" w:color="auto" w:fill="D5EAEA"/>
          </w:tcPr>
          <w:p>
            <w:pPr>
              <w:spacing w:after="0"/>
              <w:rPr>
                <w:sz w:val="5"/>
                <w:szCs w:val="5"/>
                <w:color w:val="auto"/>
              </w:rPr>
            </w:pPr>
          </w:p>
        </w:tc>
        <w:tc>
          <w:tcPr>
            <w:tcW w:w="680" w:type="dxa"/>
            <w:vAlign w:val="bottom"/>
            <w:shd w:val="clear" w:color="auto" w:fill="D5EAEA"/>
          </w:tcPr>
          <w:p>
            <w:pPr>
              <w:spacing w:after="0"/>
              <w:rPr>
                <w:sz w:val="5"/>
                <w:szCs w:val="5"/>
                <w:color w:val="auto"/>
              </w:rPr>
            </w:pPr>
          </w:p>
        </w:tc>
        <w:tc>
          <w:tcPr>
            <w:tcW w:w="440" w:type="dxa"/>
            <w:vAlign w:val="bottom"/>
            <w:shd w:val="clear" w:color="auto" w:fill="D5EAEA"/>
          </w:tcPr>
          <w:p>
            <w:pPr>
              <w:spacing w:after="0"/>
              <w:rPr>
                <w:sz w:val="5"/>
                <w:szCs w:val="5"/>
                <w:color w:val="auto"/>
              </w:rPr>
            </w:pPr>
          </w:p>
        </w:tc>
        <w:tc>
          <w:tcPr>
            <w:tcW w:w="680" w:type="dxa"/>
            <w:vAlign w:val="bottom"/>
            <w:shd w:val="clear" w:color="auto" w:fill="D5EAEA"/>
          </w:tcPr>
          <w:p>
            <w:pPr>
              <w:spacing w:after="0"/>
              <w:rPr>
                <w:sz w:val="5"/>
                <w:szCs w:val="5"/>
                <w:color w:val="auto"/>
              </w:rPr>
            </w:pPr>
          </w:p>
        </w:tc>
        <w:tc>
          <w:tcPr>
            <w:tcW w:w="220" w:type="dxa"/>
            <w:vAlign w:val="bottom"/>
            <w:shd w:val="clear" w:color="auto" w:fill="D5EAEA"/>
          </w:tcPr>
          <w:p>
            <w:pPr>
              <w:spacing w:after="0"/>
              <w:rPr>
                <w:sz w:val="5"/>
                <w:szCs w:val="5"/>
                <w:color w:val="auto"/>
              </w:rPr>
            </w:pPr>
          </w:p>
        </w:tc>
      </w:tr>
      <w:tr>
        <w:trPr>
          <w:trHeight w:val="284"/>
        </w:trPr>
        <w:tc>
          <w:tcPr>
            <w:tcW w:w="9220" w:type="dxa"/>
            <w:vAlign w:val="bottom"/>
          </w:tcPr>
          <w:p>
            <w:pPr>
              <w:spacing w:after="0"/>
              <w:rPr>
                <w:sz w:val="20"/>
                <w:szCs w:val="20"/>
                <w:color w:val="auto"/>
              </w:rPr>
            </w:pPr>
            <w:r>
              <w:rPr>
                <w:rFonts w:ascii="Arial" w:cs="Arial" w:eastAsia="Arial" w:hAnsi="Arial"/>
                <w:sz w:val="18"/>
                <w:szCs w:val="18"/>
                <w:color w:val="auto"/>
              </w:rPr>
              <w:t>Historical net tangible book value per share as of March 31, 2021</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3.03</w:t>
            </w:r>
          </w:p>
        </w:tc>
        <w:tc>
          <w:tcPr>
            <w:tcW w:w="4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2.85</w:t>
            </w:r>
          </w:p>
        </w:tc>
        <w:tc>
          <w:tcPr>
            <w:tcW w:w="220" w:type="dxa"/>
            <w:vAlign w:val="bottom"/>
          </w:tcPr>
          <w:p>
            <w:pPr>
              <w:spacing w:after="0"/>
              <w:rPr>
                <w:sz w:val="24"/>
                <w:szCs w:val="24"/>
                <w:color w:val="auto"/>
              </w:rPr>
            </w:pPr>
          </w:p>
        </w:tc>
      </w:tr>
      <w:tr>
        <w:trPr>
          <w:trHeight w:val="68"/>
        </w:trPr>
        <w:tc>
          <w:tcPr>
            <w:tcW w:w="9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83"/>
        </w:trPr>
        <w:tc>
          <w:tcPr>
            <w:tcW w:w="9220" w:type="dxa"/>
            <w:vAlign w:val="bottom"/>
            <w:shd w:val="clear" w:color="auto" w:fill="D5EAEA"/>
          </w:tcPr>
          <w:p>
            <w:pPr>
              <w:spacing w:after="0"/>
              <w:rPr>
                <w:sz w:val="20"/>
                <w:szCs w:val="20"/>
                <w:color w:val="auto"/>
              </w:rPr>
            </w:pPr>
            <w:r>
              <w:rPr>
                <w:rFonts w:ascii="Arial" w:cs="Arial" w:eastAsia="Arial" w:hAnsi="Arial"/>
                <w:sz w:val="18"/>
                <w:szCs w:val="18"/>
                <w:color w:val="auto"/>
              </w:rPr>
              <w:t>Increase per share attributable to new investors purchasing shares in this offering</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1"/>
              </w:rPr>
              <w:t>0.44</w:t>
            </w:r>
          </w:p>
        </w:tc>
        <w:tc>
          <w:tcPr>
            <w:tcW w:w="440" w:type="dxa"/>
            <w:vAlign w:val="bottom"/>
            <w:shd w:val="clear" w:color="auto" w:fill="D5EAEA"/>
          </w:tcPr>
          <w:p>
            <w:pPr>
              <w:spacing w:after="0"/>
              <w:rPr>
                <w:sz w:val="24"/>
                <w:szCs w:val="24"/>
                <w:color w:val="auto"/>
              </w:rPr>
            </w:pP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1"/>
              </w:rPr>
              <w:t>0.41</w:t>
            </w:r>
          </w:p>
        </w:tc>
        <w:tc>
          <w:tcPr>
            <w:tcW w:w="220" w:type="dxa"/>
            <w:vAlign w:val="bottom"/>
            <w:shd w:val="clear" w:color="auto" w:fill="D5EAEA"/>
          </w:tcPr>
          <w:p>
            <w:pPr>
              <w:spacing w:after="0"/>
              <w:rPr>
                <w:sz w:val="24"/>
                <w:szCs w:val="24"/>
                <w:color w:val="auto"/>
              </w:rPr>
            </w:pPr>
          </w:p>
        </w:tc>
      </w:tr>
      <w:tr>
        <w:trPr>
          <w:trHeight w:val="68"/>
        </w:trPr>
        <w:tc>
          <w:tcPr>
            <w:tcW w:w="9220" w:type="dxa"/>
            <w:vAlign w:val="bottom"/>
            <w:shd w:val="clear" w:color="auto" w:fill="D5EAEA"/>
          </w:tcPr>
          <w:p>
            <w:pPr>
              <w:spacing w:after="0"/>
              <w:rPr>
                <w:sz w:val="5"/>
                <w:szCs w:val="5"/>
                <w:color w:val="auto"/>
              </w:rPr>
            </w:pPr>
          </w:p>
        </w:tc>
        <w:tc>
          <w:tcPr>
            <w:tcW w:w="680" w:type="dxa"/>
            <w:vAlign w:val="bottom"/>
            <w:shd w:val="clear" w:color="auto" w:fill="D5EAEA"/>
          </w:tcPr>
          <w:p>
            <w:pPr>
              <w:spacing w:after="0"/>
              <w:rPr>
                <w:sz w:val="5"/>
                <w:szCs w:val="5"/>
                <w:color w:val="auto"/>
              </w:rPr>
            </w:pPr>
          </w:p>
        </w:tc>
        <w:tc>
          <w:tcPr>
            <w:tcW w:w="440" w:type="dxa"/>
            <w:vAlign w:val="bottom"/>
            <w:shd w:val="clear" w:color="auto" w:fill="D5EAEA"/>
          </w:tcPr>
          <w:p>
            <w:pPr>
              <w:spacing w:after="0"/>
              <w:rPr>
                <w:sz w:val="5"/>
                <w:szCs w:val="5"/>
                <w:color w:val="auto"/>
              </w:rPr>
            </w:pPr>
          </w:p>
        </w:tc>
        <w:tc>
          <w:tcPr>
            <w:tcW w:w="680" w:type="dxa"/>
            <w:vAlign w:val="bottom"/>
            <w:shd w:val="clear" w:color="auto" w:fill="D5EAEA"/>
          </w:tcPr>
          <w:p>
            <w:pPr>
              <w:spacing w:after="0"/>
              <w:rPr>
                <w:sz w:val="5"/>
                <w:szCs w:val="5"/>
                <w:color w:val="auto"/>
              </w:rPr>
            </w:pPr>
          </w:p>
        </w:tc>
        <w:tc>
          <w:tcPr>
            <w:tcW w:w="220" w:type="dxa"/>
            <w:vAlign w:val="bottom"/>
            <w:shd w:val="clear" w:color="auto" w:fill="D5EAEA"/>
          </w:tcPr>
          <w:p>
            <w:pPr>
              <w:spacing w:after="0"/>
              <w:rPr>
                <w:sz w:val="5"/>
                <w:szCs w:val="5"/>
                <w:color w:val="auto"/>
              </w:rPr>
            </w:pPr>
          </w:p>
        </w:tc>
      </w:tr>
      <w:tr>
        <w:trPr>
          <w:trHeight w:val="283"/>
        </w:trPr>
        <w:tc>
          <w:tcPr>
            <w:tcW w:w="922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3.47</w:t>
            </w:r>
          </w:p>
        </w:tc>
        <w:tc>
          <w:tcPr>
            <w:tcW w:w="4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3.26</w:t>
            </w:r>
          </w:p>
        </w:tc>
        <w:tc>
          <w:tcPr>
            <w:tcW w:w="220" w:type="dxa"/>
            <w:vAlign w:val="bottom"/>
          </w:tcPr>
          <w:p>
            <w:pPr>
              <w:spacing w:after="0"/>
              <w:rPr>
                <w:sz w:val="24"/>
                <w:szCs w:val="24"/>
                <w:color w:val="auto"/>
              </w:rPr>
            </w:pPr>
          </w:p>
        </w:tc>
      </w:tr>
      <w:tr>
        <w:trPr>
          <w:trHeight w:val="68"/>
        </w:trPr>
        <w:tc>
          <w:tcPr>
            <w:tcW w:w="9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83"/>
        </w:trPr>
        <w:tc>
          <w:tcPr>
            <w:tcW w:w="9220" w:type="dxa"/>
            <w:vAlign w:val="bottom"/>
            <w:shd w:val="clear" w:color="auto" w:fill="D5EAEA"/>
          </w:tcPr>
          <w:p>
            <w:pPr>
              <w:spacing w:after="0"/>
              <w:rPr>
                <w:sz w:val="20"/>
                <w:szCs w:val="20"/>
                <w:color w:val="auto"/>
              </w:rPr>
            </w:pPr>
            <w:r>
              <w:rPr>
                <w:rFonts w:ascii="Arial" w:cs="Arial" w:eastAsia="Arial" w:hAnsi="Arial"/>
                <w:sz w:val="18"/>
                <w:szCs w:val="18"/>
                <w:color w:val="auto"/>
              </w:rPr>
              <w:t>Dilution per share to new investors</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1"/>
              </w:rPr>
              <w:t>2.69</w:t>
            </w:r>
          </w:p>
        </w:tc>
        <w:tc>
          <w:tcPr>
            <w:tcW w:w="440" w:type="dxa"/>
            <w:vAlign w:val="bottom"/>
            <w:shd w:val="clear" w:color="auto" w:fill="D5EAEA"/>
          </w:tcPr>
          <w:p>
            <w:pPr>
              <w:spacing w:after="0"/>
              <w:rPr>
                <w:sz w:val="24"/>
                <w:szCs w:val="24"/>
                <w:color w:val="auto"/>
              </w:rPr>
            </w:pP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1"/>
              </w:rPr>
              <w:t>2.54</w:t>
            </w:r>
          </w:p>
        </w:tc>
        <w:tc>
          <w:tcPr>
            <w:tcW w:w="220" w:type="dxa"/>
            <w:vAlign w:val="bottom"/>
            <w:shd w:val="clear" w:color="auto" w:fill="D5EAEA"/>
          </w:tcPr>
          <w:p>
            <w:pPr>
              <w:spacing w:after="0"/>
              <w:rPr>
                <w:sz w:val="24"/>
                <w:szCs w:val="24"/>
                <w:color w:val="auto"/>
              </w:rPr>
            </w:pPr>
          </w:p>
        </w:tc>
      </w:tr>
      <w:tr>
        <w:trPr>
          <w:trHeight w:val="68"/>
        </w:trPr>
        <w:tc>
          <w:tcPr>
            <w:tcW w:w="9220" w:type="dxa"/>
            <w:vAlign w:val="bottom"/>
            <w:shd w:val="clear" w:color="auto" w:fill="D5EAEA"/>
          </w:tcPr>
          <w:p>
            <w:pPr>
              <w:spacing w:after="0"/>
              <w:rPr>
                <w:sz w:val="5"/>
                <w:szCs w:val="5"/>
                <w:color w:val="auto"/>
              </w:rPr>
            </w:pPr>
          </w:p>
        </w:tc>
        <w:tc>
          <w:tcPr>
            <w:tcW w:w="680" w:type="dxa"/>
            <w:vAlign w:val="bottom"/>
            <w:shd w:val="clear" w:color="auto" w:fill="D5EAEA"/>
          </w:tcPr>
          <w:p>
            <w:pPr>
              <w:spacing w:after="0"/>
              <w:rPr>
                <w:sz w:val="5"/>
                <w:szCs w:val="5"/>
                <w:color w:val="auto"/>
              </w:rPr>
            </w:pPr>
          </w:p>
        </w:tc>
        <w:tc>
          <w:tcPr>
            <w:tcW w:w="440" w:type="dxa"/>
            <w:vAlign w:val="bottom"/>
            <w:shd w:val="clear" w:color="auto" w:fill="D5EAEA"/>
          </w:tcPr>
          <w:p>
            <w:pPr>
              <w:spacing w:after="0"/>
              <w:rPr>
                <w:sz w:val="5"/>
                <w:szCs w:val="5"/>
                <w:color w:val="auto"/>
              </w:rPr>
            </w:pPr>
          </w:p>
        </w:tc>
        <w:tc>
          <w:tcPr>
            <w:tcW w:w="680" w:type="dxa"/>
            <w:vAlign w:val="bottom"/>
            <w:shd w:val="clear" w:color="auto" w:fill="D5EAEA"/>
          </w:tcPr>
          <w:p>
            <w:pPr>
              <w:spacing w:after="0"/>
              <w:rPr>
                <w:sz w:val="5"/>
                <w:szCs w:val="5"/>
                <w:color w:val="auto"/>
              </w:rPr>
            </w:pPr>
          </w:p>
        </w:tc>
        <w:tc>
          <w:tcPr>
            <w:tcW w:w="220" w:type="dxa"/>
            <w:vAlign w:val="bottom"/>
            <w:shd w:val="clear" w:color="auto" w:fill="D5EAEA"/>
          </w:tcPr>
          <w:p>
            <w:pPr>
              <w:spacing w:after="0"/>
              <w:rPr>
                <w:sz w:val="5"/>
                <w:szCs w:val="5"/>
                <w:color w:val="auto"/>
              </w:rPr>
            </w:pPr>
          </w:p>
        </w:tc>
      </w:tr>
      <w:tr>
        <w:trPr>
          <w:trHeight w:val="284"/>
        </w:trPr>
        <w:tc>
          <w:tcPr>
            <w:tcW w:w="9220" w:type="dxa"/>
            <w:vAlign w:val="bottom"/>
          </w:tcPr>
          <w:p>
            <w:pPr>
              <w:spacing w:after="0"/>
              <w:rPr>
                <w:sz w:val="20"/>
                <w:szCs w:val="20"/>
                <w:color w:val="auto"/>
              </w:rPr>
            </w:pPr>
            <w:r>
              <w:rPr>
                <w:rFonts w:ascii="Arial" w:cs="Arial" w:eastAsia="Arial" w:hAnsi="Arial"/>
                <w:sz w:val="18"/>
                <w:szCs w:val="18"/>
                <w:color w:val="auto"/>
              </w:rPr>
              <w:t>Percentage of dilution in net tangible book value per common share for new investors</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43.7%</w:t>
            </w:r>
          </w:p>
        </w:tc>
        <w:tc>
          <w:tcPr>
            <w:tcW w:w="4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43.7%</w:t>
            </w:r>
          </w:p>
        </w:tc>
        <w:tc>
          <w:tcPr>
            <w:tcW w:w="220" w:type="dxa"/>
            <w:vAlign w:val="bottom"/>
          </w:tcPr>
          <w:p>
            <w:pPr>
              <w:spacing w:after="0"/>
              <w:rPr>
                <w:sz w:val="24"/>
                <w:szCs w:val="24"/>
                <w:color w:val="auto"/>
              </w:rPr>
            </w:pPr>
          </w:p>
        </w:tc>
      </w:tr>
    </w:tbl>
    <w:p>
      <w:pPr>
        <w:spacing w:after="0" w:line="269" w:lineRule="exact"/>
        <w:rPr>
          <w:sz w:val="20"/>
          <w:szCs w:val="20"/>
          <w:color w:val="auto"/>
        </w:rPr>
      </w:pPr>
    </w:p>
    <w:p>
      <w:pPr>
        <w:ind w:right="220" w:firstLine="416"/>
        <w:spacing w:after="0" w:line="311" w:lineRule="auto"/>
        <w:rPr>
          <w:sz w:val="20"/>
          <w:szCs w:val="20"/>
          <w:color w:val="auto"/>
        </w:rPr>
      </w:pPr>
      <w:r>
        <w:rPr>
          <w:rFonts w:ascii="Arial" w:cs="Arial" w:eastAsia="Arial" w:hAnsi="Arial"/>
          <w:sz w:val="16"/>
          <w:szCs w:val="16"/>
          <w:color w:val="auto"/>
        </w:rPr>
        <w:t>Swiss Franc amounts have been translated into US dollars at a rate of CHF 0.9418 to USD 1.00, the official exchange rate quoted as of March 31, 2021 by the US Federal Reserve Bank. Such US dollar amounts are not necessarily indicative of the amounts of US dollars that could actually have been purchased upon exchange of Swiss Francs on March 31, 2021 and have been provided solely for the convenience of the reader.</w:t>
      </w:r>
    </w:p>
    <w:p>
      <w:pPr>
        <w:spacing w:after="0" w:line="149" w:lineRule="exact"/>
        <w:rPr>
          <w:sz w:val="20"/>
          <w:szCs w:val="20"/>
          <w:color w:val="auto"/>
        </w:rPr>
      </w:pPr>
    </w:p>
    <w:p>
      <w:pPr>
        <w:jc w:val="both"/>
        <w:ind w:right="380" w:firstLine="416"/>
        <w:spacing w:after="0" w:line="263" w:lineRule="auto"/>
        <w:rPr>
          <w:sz w:val="20"/>
          <w:szCs w:val="20"/>
          <w:color w:val="auto"/>
        </w:rPr>
      </w:pPr>
      <w:r>
        <w:rPr>
          <w:rFonts w:ascii="Arial" w:cs="Arial" w:eastAsia="Arial" w:hAnsi="Arial"/>
          <w:sz w:val="18"/>
          <w:szCs w:val="18"/>
          <w:color w:val="auto"/>
        </w:rPr>
        <w:t>The calculations above are based on 72,652,654 common shares outstanding as of March 31, 2021, but exclude 3,030,854 of our common shares issuable upon the exercise of options and non-vested restricted share units outstanding under our existing equity incentive plans at a weighted-average exercise price of $6.58 per common share.</w:t>
      </w:r>
    </w:p>
    <w:p>
      <w:pPr>
        <w:spacing w:after="0" w:line="184" w:lineRule="exact"/>
        <w:rPr>
          <w:sz w:val="20"/>
          <w:szCs w:val="20"/>
          <w:color w:val="auto"/>
        </w:rPr>
      </w:pPr>
    </w:p>
    <w:p>
      <w:pPr>
        <w:jc w:val="both"/>
        <w:ind w:right="40" w:firstLine="416"/>
        <w:spacing w:after="0" w:line="263"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229" w:lineRule="exact"/>
        <w:rPr>
          <w:sz w:val="20"/>
          <w:szCs w:val="20"/>
          <w:color w:val="auto"/>
        </w:rPr>
      </w:pPr>
    </w:p>
    <w:p>
      <w:pPr>
        <w:ind w:right="60" w:firstLine="415"/>
        <w:spacing w:after="0" w:line="311" w:lineRule="auto"/>
        <w:rPr>
          <w:sz w:val="20"/>
          <w:szCs w:val="20"/>
          <w:color w:val="auto"/>
        </w:rPr>
      </w:pPr>
      <w:r>
        <w:rPr>
          <w:rFonts w:ascii="Arial" w:cs="Arial" w:eastAsia="Arial" w:hAnsi="Arial"/>
          <w:sz w:val="16"/>
          <w:szCs w:val="16"/>
          <w:i w:val="1"/>
          <w:iCs w:val="1"/>
          <w:color w:val="auto"/>
        </w:rPr>
        <w:t>The following summary contains a description of the principal Swiss tax consequences of the acquisition, ownership and disposition of Offered Shares, but it does not purport to be a comprehensive description of all of the Swiss tax considerations that may be relevant to a decision to purchase, own or dispose of Offered Shares. In particular, the summary does not take into account the specific circumstances of any particular investor.</w:t>
      </w:r>
    </w:p>
    <w:p>
      <w:pPr>
        <w:spacing w:after="0" w:line="149" w:lineRule="exact"/>
        <w:rPr>
          <w:sz w:val="20"/>
          <w:szCs w:val="20"/>
          <w:color w:val="auto"/>
        </w:rPr>
      </w:pPr>
    </w:p>
    <w:p>
      <w:pPr>
        <w:ind w:right="80" w:firstLine="415"/>
        <w:spacing w:after="0" w:line="257" w:lineRule="auto"/>
        <w:rPr>
          <w:sz w:val="20"/>
          <w:szCs w:val="20"/>
          <w:color w:val="auto"/>
        </w:rPr>
      </w:pPr>
      <w:r>
        <w:rPr>
          <w:rFonts w:ascii="Arial" w:cs="Arial" w:eastAsia="Arial" w:hAnsi="Arial"/>
          <w:sz w:val="18"/>
          <w:szCs w:val="18"/>
          <w:i w:val="1"/>
          <w:iCs w:val="1"/>
          <w:color w:val="auto"/>
        </w:rPr>
        <w:t>This summary is based on the tax laws, regulations and regulatory practices of Switzerland as in effect on the date hereof, all of which are subject to change (or subject to changes in interpretation), possibly with retroactive effect. This summary does not address any aspects of Swiss taxation other than aspects of Swiss federal withholding tax, Swiss federal, cantonal and communal income taxes and Swiss federal issuance and securities turnover tax. Investors are urged to consult their own tax advisors regarding the Swiss tax consequences of acquiring, owning and disposing of Offered Shares or the receipt of dividends or distributions, if any, on Offered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respect of Offered Shares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Swiss federal withholding tax on dividends and similar distributions on the Offered Shares</w:t>
      </w:r>
    </w:p>
    <w:p>
      <w:pPr>
        <w:spacing w:after="0" w:line="225" w:lineRule="exact"/>
        <w:rPr>
          <w:sz w:val="20"/>
          <w:szCs w:val="20"/>
          <w:color w:val="auto"/>
        </w:rPr>
      </w:pPr>
    </w:p>
    <w:p>
      <w:pPr>
        <w:ind w:firstLine="415"/>
        <w:spacing w:after="0" w:line="296" w:lineRule="auto"/>
        <w:rPr>
          <w:sz w:val="20"/>
          <w:szCs w:val="20"/>
          <w:color w:val="auto"/>
        </w:rPr>
      </w:pPr>
      <w:r>
        <w:rPr>
          <w:rFonts w:ascii="Arial" w:cs="Arial" w:eastAsia="Arial" w:hAnsi="Arial"/>
          <w:sz w:val="16"/>
          <w:szCs w:val="16"/>
          <w:color w:val="auto"/>
        </w:rPr>
        <w:t>Any dividends and similar cash or in-kind distributions on Offered Shares other than a distribution out of capital contribution reserves (</w:t>
      </w:r>
      <w:r>
        <w:rPr>
          <w:rFonts w:ascii="Arial" w:cs="Arial" w:eastAsia="Arial" w:hAnsi="Arial"/>
          <w:sz w:val="16"/>
          <w:szCs w:val="16"/>
          <w:i w:val="1"/>
          <w:iCs w:val="1"/>
          <w:color w:val="auto"/>
        </w:rPr>
        <w:t>apports de</w:t>
      </w:r>
      <w:r>
        <w:rPr>
          <w:rFonts w:ascii="Arial" w:cs="Arial" w:eastAsia="Arial" w:hAnsi="Arial"/>
          <w:sz w:val="16"/>
          <w:szCs w:val="16"/>
          <w:color w:val="auto"/>
        </w:rPr>
        <w:t xml:space="preserve"> </w:t>
      </w:r>
      <w:r>
        <w:rPr>
          <w:rFonts w:ascii="Arial" w:cs="Arial" w:eastAsia="Arial" w:hAnsi="Arial"/>
          <w:sz w:val="16"/>
          <w:szCs w:val="16"/>
          <w:i w:val="1"/>
          <w:iCs w:val="1"/>
          <w:color w:val="auto"/>
        </w:rPr>
        <w:t>capital</w:t>
      </w:r>
      <w:r>
        <w:rPr>
          <w:rFonts w:ascii="Arial" w:cs="Arial" w:eastAsia="Arial" w:hAnsi="Arial"/>
          <w:sz w:val="16"/>
          <w:szCs w:val="16"/>
          <w:color w:val="auto"/>
        </w:rPr>
        <w:t>) or made or paid by the Company based upon a reduction of nominal share capital, including the distributions of any liquidation proceeds in excess</w:t>
      </w:r>
      <w:r>
        <w:rPr>
          <w:rFonts w:ascii="Arial" w:cs="Arial" w:eastAsia="Arial" w:hAnsi="Arial"/>
          <w:sz w:val="16"/>
          <w:szCs w:val="16"/>
          <w:i w:val="1"/>
          <w:iCs w:val="1"/>
          <w:color w:val="auto"/>
        </w:rPr>
        <w:t xml:space="preserve"> </w:t>
      </w:r>
      <w:r>
        <w:rPr>
          <w:rFonts w:ascii="Arial" w:cs="Arial" w:eastAsia="Arial" w:hAnsi="Arial"/>
          <w:sz w:val="16"/>
          <w:szCs w:val="16"/>
          <w:color w:val="auto"/>
        </w:rPr>
        <w:t>of nominal share capital and capital contribution reserves, will be subject to Swiss federal withholding tax (</w:t>
      </w:r>
      <w:r>
        <w:rPr>
          <w:rFonts w:ascii="Arial" w:cs="Arial" w:eastAsia="Arial" w:hAnsi="Arial"/>
          <w:sz w:val="16"/>
          <w:szCs w:val="16"/>
          <w:i w:val="1"/>
          <w:iCs w:val="1"/>
          <w:color w:val="auto"/>
        </w:rPr>
        <w:t>impôt anticipé</w:t>
      </w:r>
      <w:r>
        <w:rPr>
          <w:rFonts w:ascii="Arial" w:cs="Arial" w:eastAsia="Arial" w:hAnsi="Arial"/>
          <w:sz w:val="16"/>
          <w:szCs w:val="16"/>
          <w:color w:val="auto"/>
        </w:rPr>
        <w:t>) imposed on the gross amount of the taxable distribution at the then prevailing rate (currently 35% of the gross amount of the taxable distribution). The Swiss federal withholding tax must be withheld by the Company on the gross amount of the dividend or distribution and be remitted to the Swiss Federal Tax Administration.</w:t>
      </w:r>
    </w:p>
    <w:p>
      <w:pPr>
        <w:spacing w:after="0" w:line="161" w:lineRule="exact"/>
        <w:rPr>
          <w:sz w:val="20"/>
          <w:szCs w:val="20"/>
          <w:color w:val="auto"/>
        </w:rPr>
      </w:pPr>
    </w:p>
    <w:p>
      <w:pPr>
        <w:jc w:val="both"/>
        <w:ind w:right="60" w:firstLine="415"/>
        <w:spacing w:after="0" w:line="263" w:lineRule="auto"/>
        <w:rPr>
          <w:sz w:val="20"/>
          <w:szCs w:val="20"/>
          <w:color w:val="auto"/>
        </w:rPr>
      </w:pPr>
      <w:r>
        <w:rPr>
          <w:rFonts w:ascii="Arial" w:cs="Arial" w:eastAsia="Arial" w:hAnsi="Arial"/>
          <w:sz w:val="18"/>
          <w:szCs w:val="18"/>
          <w:color w:val="auto"/>
        </w:rPr>
        <w:t>It is generally at the discretion of the Company to decide whether to distribute a dividend or similar distribution or repurchase the Offered Shares out of capital contribution reserves and/or out of profit/retained earnings/reserves other than capital contribution reserves subject to Swiss federal withholding tax.</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Refund to Swiss-resident recipients</w:t>
      </w:r>
    </w:p>
    <w:p>
      <w:pPr>
        <w:spacing w:after="0" w:line="225" w:lineRule="exact"/>
        <w:rPr>
          <w:sz w:val="20"/>
          <w:szCs w:val="20"/>
          <w:color w:val="auto"/>
        </w:rPr>
      </w:pPr>
    </w:p>
    <w:p>
      <w:pPr>
        <w:ind w:right="160" w:firstLine="415"/>
        <w:spacing w:after="0" w:line="257" w:lineRule="auto"/>
        <w:rPr>
          <w:sz w:val="20"/>
          <w:szCs w:val="20"/>
          <w:color w:val="auto"/>
        </w:rPr>
      </w:pPr>
      <w:r>
        <w:rPr>
          <w:rFonts w:ascii="Arial" w:cs="Arial" w:eastAsia="Arial" w:hAnsi="Arial"/>
          <w:sz w:val="18"/>
          <w:szCs w:val="18"/>
          <w:color w:val="auto"/>
        </w:rPr>
        <w:t>The relevant Swiss tax authority will refund or credit the Swiss federal withholding tax deducted by the Company on dividends or distributions on Offered Shares in full to holders of Offered Shares who are resident in Switzerland and to holders who hold the Offered Shares as part of a trade or business in Switzerland, and who, in each case, among other things, are the beneficial owners of the Offered Shares and the dividends or the distributions made or paid on the Offered Shares and who duly report the dividend or distribution in their income tax return or their statutory financial statements, as applicable, for the relevant tax period and if there is no tax avoidance.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Refund to non-resident recipients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 In General</w:t>
      </w:r>
    </w:p>
    <w:p>
      <w:pPr>
        <w:spacing w:after="0" w:line="225" w:lineRule="exact"/>
        <w:rPr>
          <w:sz w:val="20"/>
          <w:szCs w:val="20"/>
          <w:color w:val="auto"/>
        </w:rPr>
      </w:pPr>
    </w:p>
    <w:p>
      <w:pPr>
        <w:ind w:right="100" w:firstLine="415"/>
        <w:spacing w:after="0" w:line="293" w:lineRule="auto"/>
        <w:rPr>
          <w:sz w:val="20"/>
          <w:szCs w:val="20"/>
          <w:color w:val="auto"/>
        </w:rPr>
      </w:pPr>
      <w:r>
        <w:rPr>
          <w:rFonts w:ascii="Arial" w:cs="Arial" w:eastAsia="Arial" w:hAnsi="Arial"/>
          <w:sz w:val="16"/>
          <w:szCs w:val="16"/>
          <w:color w:val="auto"/>
        </w:rPr>
        <w:t>A holder who is not a resident of Switzerland and who does not hold the Offered Shares as part of a trade or business in Switzerland may be entitled to a full or partial refund of the Swiss federal withholding tax deducted if the country in which the recipient resides for tax purposes has entered into a bilateral treaty for the avoidance of double taxation with Switzerland and the other conditions of such treaty are met. A reduction of the Swiss federal withholding tax at source is not provided for by Switzerland for portfolio holdings and, therefore, is not permissible. Holders of Offered Shares should be aware that the procedures for claiming treaty benefits (and the time frame required for obtaining a tax refund) may differ from country to country and should consult their own legal, financial or tax advisors regarding the procedures for claiming a refund of the Swiss federal withholding tax.</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i w:val="1"/>
          <w:iCs w:val="1"/>
          <w:color w:val="auto"/>
        </w:rPr>
        <w:t>(b) Residents of the US</w:t>
      </w:r>
    </w:p>
    <w:p>
      <w:pPr>
        <w:spacing w:after="0" w:line="225" w:lineRule="exact"/>
        <w:rPr>
          <w:sz w:val="20"/>
          <w:szCs w:val="20"/>
          <w:color w:val="auto"/>
        </w:rPr>
      </w:pPr>
    </w:p>
    <w:p>
      <w:pPr>
        <w:ind w:right="20" w:firstLine="415"/>
        <w:spacing w:after="0" w:line="254" w:lineRule="auto"/>
        <w:rPr>
          <w:sz w:val="20"/>
          <w:szCs w:val="20"/>
          <w:color w:val="auto"/>
        </w:rPr>
      </w:pPr>
      <w:r>
        <w:rPr>
          <w:rFonts w:ascii="Arial" w:cs="Arial" w:eastAsia="Arial" w:hAnsi="Arial"/>
          <w:sz w:val="18"/>
          <w:szCs w:val="18"/>
          <w:color w:val="auto"/>
        </w:rPr>
        <w:t>A holder of Offered Shares who is a resident of the US for purposes of the Convention between the United States of America and the Swiss Confederation for the Avoidance of Double Taxation with Respect to Taxes on Income (Treaty), without taxable presence in Switzerland to which the Offered Shares are attributable or who is a qualified US pension fund and who, in each case, is the beneficial owner of the Offered Shares and the dividend or distribution and who meets the other conditions of the Treaty may, if the holder is a qualified US pension fund, apply for a full refund of the Swiss federal withholding tax, if the holder is a corporation owning at least 10% of the voting rights of the Company, apply for a refund of the Swiss federal withholding tax withheld in excess of the 5% reduced treaty rate and in all other cases apply for a refund of the Swiss federal withholding tax withheld in excess of the 15% treaty rate.</w:t>
      </w:r>
    </w:p>
    <w:p>
      <w:pPr>
        <w:spacing w:after="0" w:line="195" w:lineRule="exact"/>
        <w:rPr>
          <w:sz w:val="20"/>
          <w:szCs w:val="20"/>
          <w:color w:val="auto"/>
        </w:rPr>
      </w:pPr>
    </w:p>
    <w:p>
      <w:pPr>
        <w:ind w:firstLine="415"/>
        <w:spacing w:after="0" w:line="254" w:lineRule="auto"/>
        <w:rPr>
          <w:sz w:val="20"/>
          <w:szCs w:val="20"/>
          <w:color w:val="auto"/>
        </w:rPr>
      </w:pPr>
      <w:r>
        <w:rPr>
          <w:rFonts w:ascii="Arial" w:cs="Arial" w:eastAsia="Arial" w:hAnsi="Arial"/>
          <w:sz w:val="18"/>
          <w:szCs w:val="18"/>
          <w:color w:val="auto"/>
        </w:rPr>
        <w:t>The claim for refund must be filed on Swiss Tax Form 82 (82C for corporations, 82I for individuals, 82E for other entities and 82R for regulated investment companies), which forms together with an instruction form may be obtained from any Swiss consulate general in the US, the Swiss Federal Tax Administration at the address below or be down-loaded from the Swiss Federal Tax Administration’s website. Four copies of the form must be duly completed, signed before a notary public of the US, and three of them must be sent to the Swiss Federal Tax Administration, Eigerstrasse 65, CH-3003, Berne, Switzerland. The form must be accompanied by suitable evidence of deduction of the Swiss federal withholding, such as certificates of deduction, bank vouchers or credit slips. The form must be filed no later than December 31 of the third year following the calendar year in which the dividend subject to the tax became payable.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income taxes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Offered Shares held by holders resident outside of Switzerland and with no trade or business in Switzerland</w:t>
      </w:r>
    </w:p>
    <w:p>
      <w:pPr>
        <w:spacing w:after="0" w:line="225" w:lineRule="exact"/>
        <w:rPr>
          <w:sz w:val="20"/>
          <w:szCs w:val="20"/>
          <w:color w:val="auto"/>
        </w:rPr>
      </w:pPr>
    </w:p>
    <w:p>
      <w:pPr>
        <w:ind w:right="120" w:firstLine="415"/>
        <w:spacing w:after="0" w:line="271" w:lineRule="auto"/>
        <w:rPr>
          <w:sz w:val="20"/>
          <w:szCs w:val="20"/>
          <w:color w:val="auto"/>
        </w:rPr>
      </w:pPr>
      <w:r>
        <w:rPr>
          <w:rFonts w:ascii="Arial" w:cs="Arial" w:eastAsia="Arial" w:hAnsi="Arial"/>
          <w:sz w:val="17"/>
          <w:szCs w:val="17"/>
          <w:color w:val="auto"/>
        </w:rPr>
        <w:t>Holders of Offered Shares who are not resident in Switzerland for tax purposes, and who, during the respective taxation year, have not engaged in a trade or business carried on through a permanent establishment or a fixed place of business situated in Switzerland for tax purposes, will not be subject to any Swiss federal, cantonal or communal income taxes as a result of them realizing gain on the sale or other disposition of Offered Shares or receiving dividends or other distributions, if any, on Offered Shares. Refer to “</w:t>
      </w:r>
      <w:r>
        <w:rPr>
          <w:rFonts w:ascii="Arial" w:cs="Arial" w:eastAsia="Arial" w:hAnsi="Arial"/>
          <w:sz w:val="17"/>
          <w:szCs w:val="17"/>
          <w:i w:val="1"/>
          <w:iCs w:val="1"/>
          <w:color w:val="auto"/>
        </w:rPr>
        <w:t>―Swiss federal withholding tax</w:t>
      </w:r>
      <w:r>
        <w:rPr>
          <w:rFonts w:ascii="Arial" w:cs="Arial" w:eastAsia="Arial" w:hAnsi="Arial"/>
          <w:sz w:val="17"/>
          <w:szCs w:val="17"/>
          <w:color w:val="auto"/>
        </w:rPr>
        <w:t>” above for a summary on the Swiss withholding tax treatment of dividends and distributions on Offered Shares. Refer to “</w:t>
      </w:r>
      <w:r>
        <w:rPr>
          <w:rFonts w:ascii="Arial" w:cs="Arial" w:eastAsia="Arial" w:hAnsi="Arial"/>
          <w:sz w:val="17"/>
          <w:szCs w:val="17"/>
          <w:i w:val="1"/>
          <w:iCs w:val="1"/>
          <w:color w:val="auto"/>
        </w:rPr>
        <w:t>―International Automatic Exchange of Information</w:t>
      </w:r>
      <w:r>
        <w:rPr>
          <w:rFonts w:ascii="Arial" w:cs="Arial" w:eastAsia="Arial" w:hAnsi="Arial"/>
          <w:sz w:val="17"/>
          <w:szCs w:val="17"/>
          <w:color w:val="auto"/>
        </w:rPr>
        <w:t>” below for a summary on the international exchange of information in tax matters by Switzerland in respect of Offered Shares held in accounts or deposits with a paying agent in Switzerland. Refer to “</w:t>
      </w:r>
      <w:r>
        <w:rPr>
          <w:rFonts w:ascii="Arial" w:cs="Arial" w:eastAsia="Arial" w:hAnsi="Arial"/>
          <w:sz w:val="17"/>
          <w:szCs w:val="17"/>
          <w:i w:val="1"/>
          <w:iCs w:val="1"/>
          <w:color w:val="auto"/>
        </w:rPr>
        <w:t>―Swiss Facilitation of the Implementation of the US Foreign Account Tax Compliance Act</w:t>
      </w:r>
      <w:r>
        <w:rPr>
          <w:rFonts w:ascii="Arial" w:cs="Arial" w:eastAsia="Arial" w:hAnsi="Arial"/>
          <w:sz w:val="17"/>
          <w:szCs w:val="17"/>
          <w:color w:val="auto"/>
        </w:rPr>
        <w:t>” below for a summary on the implementation of FATCA by Switzerland.</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Offered Shares held by Swiss resident individuals as private investments</w:t>
      </w:r>
    </w:p>
    <w:p>
      <w:pPr>
        <w:spacing w:after="0" w:line="225" w:lineRule="exact"/>
        <w:rPr>
          <w:sz w:val="20"/>
          <w:szCs w:val="20"/>
          <w:color w:val="auto"/>
        </w:rPr>
      </w:pPr>
    </w:p>
    <w:p>
      <w:pPr>
        <w:ind w:right="100" w:firstLine="415"/>
        <w:spacing w:after="0" w:line="275" w:lineRule="auto"/>
        <w:rPr>
          <w:sz w:val="20"/>
          <w:szCs w:val="20"/>
          <w:color w:val="auto"/>
        </w:rPr>
      </w:pPr>
      <w:r>
        <w:rPr>
          <w:rFonts w:ascii="Arial" w:cs="Arial" w:eastAsia="Arial" w:hAnsi="Arial"/>
          <w:sz w:val="17"/>
          <w:szCs w:val="17"/>
          <w:color w:val="auto"/>
        </w:rPr>
        <w:t>Dividends and other distributions (including stock dividends and liquidation proceeds), if any, on Offered Shares, made or paid by the Company out of capital contribution reserves (</w:t>
      </w:r>
      <w:r>
        <w:rPr>
          <w:rFonts w:ascii="Arial" w:cs="Arial" w:eastAsia="Arial" w:hAnsi="Arial"/>
          <w:sz w:val="17"/>
          <w:szCs w:val="17"/>
          <w:i w:val="1"/>
          <w:iCs w:val="1"/>
          <w:color w:val="auto"/>
        </w:rPr>
        <w:t>apports de capital</w:t>
      </w:r>
      <w:r>
        <w:rPr>
          <w:rFonts w:ascii="Arial" w:cs="Arial" w:eastAsia="Arial" w:hAnsi="Arial"/>
          <w:sz w:val="17"/>
          <w:szCs w:val="17"/>
          <w:color w:val="auto"/>
        </w:rPr>
        <w:t>) and distributions made or paid by the Company on Offered Shares based upon a capital reduction (</w:t>
      </w:r>
      <w:r>
        <w:rPr>
          <w:rFonts w:ascii="Arial" w:cs="Arial" w:eastAsia="Arial" w:hAnsi="Arial"/>
          <w:sz w:val="17"/>
          <w:szCs w:val="17"/>
          <w:i w:val="1"/>
          <w:iCs w:val="1"/>
          <w:color w:val="auto"/>
        </w:rPr>
        <w:t>reduction de la valeur nominale</w:t>
      </w:r>
      <w:r>
        <w:rPr>
          <w:rFonts w:ascii="Arial" w:cs="Arial" w:eastAsia="Arial" w:hAnsi="Arial"/>
          <w:sz w:val="17"/>
          <w:szCs w:val="17"/>
          <w:color w:val="auto"/>
        </w:rPr>
        <w:t>), if any, are exempt from Swiss federal, cantonal and communal income taxes for holders of Offered Shares who are individuals resident in Switzerland for tax purposes and who hold the Offered Shares as private capital investments. Other dividends and distributions, if any, on Offered Shares will be subject to Swiss federal, cantonal or communal income taxes for such holders.</w:t>
      </w:r>
    </w:p>
    <w:p>
      <w:pPr>
        <w:spacing w:after="0" w:line="176" w:lineRule="exact"/>
        <w:rPr>
          <w:sz w:val="20"/>
          <w:szCs w:val="20"/>
          <w:color w:val="auto"/>
        </w:rPr>
      </w:pPr>
    </w:p>
    <w:p>
      <w:pPr>
        <w:ind w:right="20" w:firstLine="415"/>
        <w:spacing w:after="0" w:line="263" w:lineRule="auto"/>
        <w:rPr>
          <w:sz w:val="20"/>
          <w:szCs w:val="20"/>
          <w:color w:val="auto"/>
        </w:rPr>
      </w:pPr>
      <w:r>
        <w:rPr>
          <w:rFonts w:ascii="Arial" w:cs="Arial" w:eastAsia="Arial" w:hAnsi="Arial"/>
          <w:sz w:val="18"/>
          <w:szCs w:val="18"/>
          <w:color w:val="auto"/>
        </w:rPr>
        <w:t>A capital gain realized by an individual resident in Switzerland on the sale of Offered Shares held by her or him as private capital investments classifies typically as tax-exempt private capital gain and, conversely, a capital loss as non-tax deductible private capital loss for purposes of Swiss federal, cantonal and communal income taxes.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Refer to “</w:t>
      </w:r>
      <w:r>
        <w:rPr>
          <w:rFonts w:ascii="Arial" w:cs="Arial" w:eastAsia="Arial" w:hAnsi="Arial"/>
          <w:sz w:val="17"/>
          <w:szCs w:val="17"/>
          <w:i w:val="1"/>
          <w:iCs w:val="1"/>
          <w:color w:val="auto"/>
        </w:rPr>
        <w:t>―Swiss federal withholding tax</w:t>
      </w:r>
      <w:r>
        <w:rPr>
          <w:rFonts w:ascii="Arial" w:cs="Arial" w:eastAsia="Arial" w:hAnsi="Arial"/>
          <w:sz w:val="17"/>
          <w:szCs w:val="17"/>
          <w:color w:val="auto"/>
        </w:rPr>
        <w:t>” with respect to the Company's discretion to make distributions out of capital contribution reserves.</w:t>
      </w:r>
    </w:p>
    <w:p>
      <w:pPr>
        <w:spacing w:after="0" w:line="237" w:lineRule="exact"/>
        <w:rPr>
          <w:sz w:val="20"/>
          <w:szCs w:val="20"/>
          <w:color w:val="auto"/>
        </w:rPr>
      </w:pPr>
    </w:p>
    <w:p>
      <w:pPr>
        <w:ind w:right="340" w:firstLine="415"/>
        <w:spacing w:after="0" w:line="277" w:lineRule="auto"/>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—Offered Shares held as assets of a Swiss business</w:t>
      </w:r>
      <w:r>
        <w:rPr>
          <w:rFonts w:ascii="Arial" w:cs="Arial" w:eastAsia="Arial" w:hAnsi="Arial"/>
          <w:sz w:val="18"/>
          <w:szCs w:val="18"/>
          <w:color w:val="auto"/>
        </w:rPr>
        <w:t>” for information on the taxation of individuals classified as “professional securities dealers.”</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3" w:name="page24"/>
    <w:bookmarkEnd w:id="23"/>
    <w:p>
      <w:pPr>
        <w:ind w:left="900"/>
        <w:spacing w:after="0"/>
        <w:rPr>
          <w:sz w:val="20"/>
          <w:szCs w:val="20"/>
          <w:color w:val="auto"/>
        </w:rPr>
      </w:pPr>
      <w:r>
        <w:rPr>
          <w:rFonts w:ascii="Arial" w:cs="Arial" w:eastAsia="Arial" w:hAnsi="Arial"/>
          <w:sz w:val="18"/>
          <w:szCs w:val="18"/>
          <w:i w:val="1"/>
          <w:iCs w:val="1"/>
          <w:color w:val="auto"/>
        </w:rPr>
        <w:t>Offered Shares held as assets of a Swiss business</w:t>
      </w:r>
    </w:p>
    <w:p>
      <w:pPr>
        <w:spacing w:after="0" w:line="225" w:lineRule="exact"/>
        <w:rPr>
          <w:sz w:val="20"/>
          <w:szCs w:val="20"/>
          <w:color w:val="auto"/>
        </w:rPr>
      </w:pPr>
    </w:p>
    <w:p>
      <w:pPr>
        <w:ind w:right="60" w:firstLine="415"/>
        <w:spacing w:after="0" w:line="273" w:lineRule="auto"/>
        <w:rPr>
          <w:sz w:val="20"/>
          <w:szCs w:val="20"/>
          <w:color w:val="auto"/>
        </w:rPr>
      </w:pPr>
      <w:r>
        <w:rPr>
          <w:rFonts w:ascii="Arial" w:cs="Arial" w:eastAsia="Arial" w:hAnsi="Arial"/>
          <w:sz w:val="17"/>
          <w:szCs w:val="17"/>
          <w:color w:val="auto"/>
        </w:rPr>
        <w:t>For a holder who holds Offered Shares as part of a trade or business carried on in Switzerland dividends and distributions, if any, made or paid by the Company on Offered Shares, and capital gain or loss realized on the sale of Offered Shares, are includible in, or deductible from, respectively, taxable income in the relevant taxation period for purposes of Swiss federal, cantonal and communal individual or corporate income taxes. This taxation treatment also applies to Swiss resident private individuals who, for income tax purposes, are classified as “professional securities dealers”. Corporate taxpayers may be eligible for dividend relief (</w:t>
      </w:r>
      <w:r>
        <w:rPr>
          <w:rFonts w:ascii="Arial" w:cs="Arial" w:eastAsia="Arial" w:hAnsi="Arial"/>
          <w:sz w:val="17"/>
          <w:szCs w:val="17"/>
          <w:i w:val="1"/>
          <w:iCs w:val="1"/>
          <w:color w:val="auto"/>
        </w:rPr>
        <w:t>réductions pour participations</w:t>
      </w:r>
      <w:r>
        <w:rPr>
          <w:rFonts w:ascii="Arial" w:cs="Arial" w:eastAsia="Arial" w:hAnsi="Arial"/>
          <w:sz w:val="17"/>
          <w:szCs w:val="17"/>
          <w:color w:val="auto"/>
        </w:rPr>
        <w:t>) in respect of dividends and distributions, if any, on Offered Shares held as part of a Swiss business if the market value of the Offered Shares held by them equals or exceeds CHF 1 million.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federal issuance stamp tax</w:t>
      </w:r>
    </w:p>
    <w:p>
      <w:pPr>
        <w:spacing w:after="0" w:line="225" w:lineRule="exact"/>
        <w:rPr>
          <w:sz w:val="20"/>
          <w:szCs w:val="20"/>
          <w:color w:val="auto"/>
        </w:rPr>
      </w:pPr>
    </w:p>
    <w:p>
      <w:pPr>
        <w:ind w:right="660" w:firstLine="415"/>
        <w:spacing w:after="0" w:line="277" w:lineRule="auto"/>
        <w:rPr>
          <w:sz w:val="20"/>
          <w:szCs w:val="20"/>
          <w:color w:val="auto"/>
        </w:rPr>
      </w:pPr>
      <w:r>
        <w:rPr>
          <w:rFonts w:ascii="Arial" w:cs="Arial" w:eastAsia="Arial" w:hAnsi="Arial"/>
          <w:sz w:val="18"/>
          <w:szCs w:val="18"/>
          <w:color w:val="auto"/>
        </w:rPr>
        <w:t>The Company will be subject to the Swiss issuance stamp tax (</w:t>
      </w:r>
      <w:r>
        <w:rPr>
          <w:rFonts w:ascii="Arial" w:cs="Arial" w:eastAsia="Arial" w:hAnsi="Arial"/>
          <w:sz w:val="18"/>
          <w:szCs w:val="18"/>
          <w:i w:val="1"/>
          <w:iCs w:val="1"/>
          <w:color w:val="auto"/>
        </w:rPr>
        <w:t>droit de timbre d'émission</w:t>
      </w:r>
      <w:r>
        <w:rPr>
          <w:rFonts w:ascii="Arial" w:cs="Arial" w:eastAsia="Arial" w:hAnsi="Arial"/>
          <w:sz w:val="18"/>
          <w:szCs w:val="18"/>
          <w:color w:val="auto"/>
        </w:rPr>
        <w:t>) on the issuance of the Offered Shares of 1% on the consideration received for the issuance of the Offered Shares, net of certain deductions.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federal securities turnover tax</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 respect of purchases of Offered Shares in the Offering</w:t>
      </w:r>
    </w:p>
    <w:p>
      <w:pPr>
        <w:spacing w:after="0" w:line="225" w:lineRule="exact"/>
        <w:rPr>
          <w:sz w:val="20"/>
          <w:szCs w:val="20"/>
          <w:color w:val="auto"/>
        </w:rPr>
      </w:pPr>
    </w:p>
    <w:p>
      <w:pPr>
        <w:ind w:right="140" w:firstLine="415"/>
        <w:spacing w:after="0" w:line="277" w:lineRule="auto"/>
        <w:rPr>
          <w:sz w:val="20"/>
          <w:szCs w:val="20"/>
          <w:color w:val="auto"/>
        </w:rPr>
      </w:pPr>
      <w:r>
        <w:rPr>
          <w:rFonts w:ascii="Arial" w:cs="Arial" w:eastAsia="Arial" w:hAnsi="Arial"/>
          <w:sz w:val="18"/>
          <w:szCs w:val="18"/>
          <w:color w:val="auto"/>
        </w:rPr>
        <w:t>The issuance and delivery of the Offered Shares to the initial shareholders at the settlement date is exempt from Swiss federal securities turnover tax (</w:t>
      </w:r>
      <w:r>
        <w:rPr>
          <w:rFonts w:ascii="Arial" w:cs="Arial" w:eastAsia="Arial" w:hAnsi="Arial"/>
          <w:sz w:val="18"/>
          <w:szCs w:val="18"/>
          <w:i w:val="1"/>
          <w:iCs w:val="1"/>
          <w:color w:val="auto"/>
        </w:rPr>
        <w:t>droit de timbre de négotiation</w:t>
      </w:r>
      <w:r>
        <w:rPr>
          <w:rFonts w:ascii="Arial" w:cs="Arial" w:eastAsia="Arial" w:hAnsi="Arial"/>
          <w:sz w:val="18"/>
          <w:szCs w:val="18"/>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 respect of other transactions in Offered Shares</w:t>
      </w:r>
    </w:p>
    <w:p>
      <w:pPr>
        <w:spacing w:after="0" w:line="225" w:lineRule="exact"/>
        <w:rPr>
          <w:sz w:val="20"/>
          <w:szCs w:val="20"/>
          <w:color w:val="auto"/>
        </w:rPr>
      </w:pPr>
    </w:p>
    <w:p>
      <w:pPr>
        <w:ind w:right="20" w:firstLine="415"/>
        <w:spacing w:after="0" w:line="263" w:lineRule="auto"/>
        <w:rPr>
          <w:sz w:val="20"/>
          <w:szCs w:val="20"/>
          <w:color w:val="auto"/>
        </w:rPr>
      </w:pPr>
      <w:r>
        <w:rPr>
          <w:rFonts w:ascii="Arial" w:cs="Arial" w:eastAsia="Arial" w:hAnsi="Arial"/>
          <w:sz w:val="18"/>
          <w:szCs w:val="18"/>
          <w:color w:val="auto"/>
        </w:rPr>
        <w:t>Any transactions in the Offered Shares after the offering, where a bank or another securities dealer in Switzerland or Liechtenstein, as defined in the Swiss Federal Stamp Tax Act, acts as an intermediary, or is a party, to the transaction, is subject to Swiss federal securities turnover tax at a tax rate of up to 0.15% of the consideration paid for such Offered Shares.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International Automatic Exchange of Information</w:t>
      </w:r>
    </w:p>
    <w:p>
      <w:pPr>
        <w:spacing w:after="0" w:line="225" w:lineRule="exact"/>
        <w:rPr>
          <w:sz w:val="20"/>
          <w:szCs w:val="20"/>
          <w:color w:val="auto"/>
        </w:rPr>
      </w:pPr>
    </w:p>
    <w:p>
      <w:pPr>
        <w:ind w:right="180" w:firstLine="415"/>
        <w:spacing w:after="0" w:line="259" w:lineRule="auto"/>
        <w:rPr>
          <w:sz w:val="20"/>
          <w:szCs w:val="20"/>
          <w:color w:val="auto"/>
        </w:rPr>
      </w:pPr>
      <w:r>
        <w:rPr>
          <w:rFonts w:ascii="Arial" w:cs="Arial" w:eastAsia="Arial" w:hAnsi="Arial"/>
          <w:sz w:val="18"/>
          <w:szCs w:val="18"/>
          <w:color w:val="auto"/>
        </w:rPr>
        <w:t>Switzerland has concluded a multilateral agreement with the EU on the international automatic exchange of information (AEOI) in tax matters. The agreement applies to all 27 EU member states and certain other jurisdictions. Further, Switzerland has entered into the multilateral competent authority agreement on the automatic exchange of financial account information (MCAA), and based on the MCAA, a number of bilateral AEOI agreements with other countries.</w:t>
      </w:r>
    </w:p>
    <w:p>
      <w:pPr>
        <w:spacing w:after="0" w:line="187" w:lineRule="exact"/>
        <w:rPr>
          <w:sz w:val="20"/>
          <w:szCs w:val="20"/>
          <w:color w:val="auto"/>
        </w:rPr>
      </w:pPr>
    </w:p>
    <w:p>
      <w:pPr>
        <w:ind w:firstLine="415"/>
        <w:spacing w:after="0" w:line="272" w:lineRule="auto"/>
        <w:rPr>
          <w:sz w:val="20"/>
          <w:szCs w:val="20"/>
          <w:color w:val="auto"/>
        </w:rPr>
      </w:pPr>
      <w:r>
        <w:rPr>
          <w:rFonts w:ascii="Arial" w:cs="Arial" w:eastAsia="Arial" w:hAnsi="Arial"/>
          <w:sz w:val="17"/>
          <w:szCs w:val="17"/>
          <w:color w:val="auto"/>
        </w:rPr>
        <w:t>Based on such agreements and the implementing laws of Switzerland, Switzerland commenced collecting or will commence collecting data in respect of financial assets held in, and income derived thereon and credited to, accounts or deposits with a paying agent in Switzerland for the benefit of individuals resident in a EU member state or other treaty state from 2017 and began exchanging the data in 2018 or will begin exchanging the data at a later date, depending on the date of effectiveness of the applicable agreement, including, as the case may be, in respect of Offered Shares held in such accounts or deposits. Switzerland has signed and intends to sign further AEOI agreements with further countries. An up-to-date list of the AEOI agreements of Switzerland in effect or signed and becoming effective and the dates of commencement of data collection and the dates of information exchange, can be found on the website of the State Secretariat for International Financial Matters SIF.</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Facilitation of the Implementation of the US Foreign Account Tax Compliance Act</w:t>
      </w:r>
    </w:p>
    <w:p>
      <w:pPr>
        <w:spacing w:after="0" w:line="225" w:lineRule="exact"/>
        <w:rPr>
          <w:sz w:val="20"/>
          <w:szCs w:val="20"/>
          <w:color w:val="auto"/>
        </w:rPr>
      </w:pPr>
    </w:p>
    <w:p>
      <w:pPr>
        <w:ind w:right="120" w:firstLine="415"/>
        <w:spacing w:after="0" w:line="255" w:lineRule="auto"/>
        <w:rPr>
          <w:sz w:val="20"/>
          <w:szCs w:val="20"/>
          <w:color w:val="auto"/>
        </w:rPr>
      </w:pPr>
      <w:r>
        <w:rPr>
          <w:rFonts w:ascii="Arial" w:cs="Arial" w:eastAsia="Arial" w:hAnsi="Arial"/>
          <w:sz w:val="18"/>
          <w:szCs w:val="18"/>
          <w:color w:val="auto"/>
        </w:rPr>
        <w:t>The US Foreign Account Tax Compliance Act (FATCA) is a unilateral US tax law directed at financial institutions around the world in order to fight tax evasion of US citizens. FATCA requires these financial institutions to periodically provide the US Internal Revenue Service (IRS) with information regarding the bank accounts of US citizens whether living inside or outside of the US Along with many other countries, Switzerland has concluded a bilateral agreement (IGA) with the US in order to facilitate the implementation of FATCA, which reduces the implementation costs for Swiss financial institutions. Under the US-Switzerland IGA, financial institution acting out of Switzerland generally are directed to become participating foreign financial institutions (FFIs). The agreement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line="291" w:lineRule="auto"/>
        <w:rPr>
          <w:sz w:val="20"/>
          <w:szCs w:val="20"/>
          <w:color w:val="auto"/>
        </w:rPr>
      </w:pPr>
      <w:r>
        <w:rPr>
          <w:rFonts w:ascii="Arial" w:cs="Arial" w:eastAsia="Arial" w:hAnsi="Arial"/>
          <w:sz w:val="16"/>
          <w:szCs w:val="16"/>
          <w:color w:val="auto"/>
        </w:rPr>
        <w:t>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US and Switzerland (DTA). On 20 September 2019, Switzerland and the US ratified the 2009 protocol (Protocol) amending the DTA. With the subsequent exchange of the ratification instruments, the amended DTA entered into force, and provides for a mechanism for the exchange of information upon request in tax matters between Switzerland and the US, which is in line with international standards, and allows the US to make group requests under FATCA concerning non-consenting US accounts and non-consenting non-participating foreign financial institutions for periods from 30 June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29" w:lineRule="exact"/>
        <w:rPr>
          <w:sz w:val="20"/>
          <w:szCs w:val="20"/>
          <w:color w:val="auto"/>
        </w:rPr>
      </w:pPr>
    </w:p>
    <w:p>
      <w:pPr>
        <w:jc w:val="both"/>
        <w:ind w:right="140" w:firstLine="415"/>
        <w:spacing w:after="0" w:line="263" w:lineRule="auto"/>
        <w:rPr>
          <w:sz w:val="20"/>
          <w:szCs w:val="20"/>
          <w:color w:val="auto"/>
        </w:rPr>
      </w:pPr>
      <w:r>
        <w:rPr>
          <w:rFonts w:ascii="Arial" w:cs="Arial" w:eastAsia="Arial" w:hAnsi="Arial"/>
          <w:sz w:val="18"/>
          <w:szCs w:val="18"/>
          <w:color w:val="auto"/>
        </w:rPr>
        <w:t>In the opinion of Davis Polk &amp; Wardwell LLP, the following are the material US federal income tax consequences to US Holders, as defined below, of owning and disposing of our common shares. It does not describe all tax considerations that may be relevant to a particular person’s decision to acquire common shares.</w:t>
      </w:r>
    </w:p>
    <w:p>
      <w:pPr>
        <w:spacing w:after="0" w:line="184" w:lineRule="exact"/>
        <w:rPr>
          <w:sz w:val="20"/>
          <w:szCs w:val="20"/>
          <w:color w:val="auto"/>
        </w:rPr>
      </w:pPr>
    </w:p>
    <w:p>
      <w:pPr>
        <w:ind w:right="240" w:firstLine="415"/>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187" w:lineRule="exact"/>
        <w:rPr>
          <w:sz w:val="20"/>
          <w:szCs w:val="20"/>
          <w:color w:val="auto"/>
        </w:rPr>
      </w:pPr>
    </w:p>
    <w:p>
      <w:pPr>
        <w:ind w:left="1300" w:hanging="65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25" w:lineRule="exact"/>
        <w:rPr>
          <w:rFonts w:ascii="Arial" w:cs="Arial" w:eastAsia="Arial" w:hAnsi="Arial"/>
          <w:sz w:val="18"/>
          <w:szCs w:val="18"/>
          <w:color w:val="auto"/>
        </w:rPr>
      </w:pPr>
    </w:p>
    <w:p>
      <w:pPr>
        <w:ind w:left="1300" w:hanging="65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225" w:lineRule="exact"/>
        <w:rPr>
          <w:rFonts w:ascii="Arial" w:cs="Arial" w:eastAsia="Arial" w:hAnsi="Arial"/>
          <w:sz w:val="18"/>
          <w:szCs w:val="18"/>
          <w:color w:val="auto"/>
        </w:rPr>
      </w:pPr>
    </w:p>
    <w:p>
      <w:pPr>
        <w:ind w:left="1300" w:right="800" w:hanging="658"/>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170" w:lineRule="exact"/>
        <w:rPr>
          <w:rFonts w:ascii="Arial" w:cs="Arial" w:eastAsia="Arial" w:hAnsi="Arial"/>
          <w:sz w:val="18"/>
          <w:szCs w:val="18"/>
          <w:color w:val="auto"/>
        </w:rPr>
      </w:pPr>
    </w:p>
    <w:p>
      <w:pPr>
        <w:ind w:left="1300" w:hanging="65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Holders whose functional currency for US federal income tax purposes is not the US dollar;</w:t>
      </w:r>
    </w:p>
    <w:p>
      <w:pPr>
        <w:spacing w:after="0" w:line="225" w:lineRule="exact"/>
        <w:rPr>
          <w:rFonts w:ascii="Arial" w:cs="Arial" w:eastAsia="Arial" w:hAnsi="Arial"/>
          <w:sz w:val="18"/>
          <w:szCs w:val="18"/>
          <w:color w:val="auto"/>
        </w:rPr>
      </w:pPr>
    </w:p>
    <w:p>
      <w:pPr>
        <w:ind w:left="1300" w:hanging="65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225" w:lineRule="exact"/>
        <w:rPr>
          <w:rFonts w:ascii="Arial" w:cs="Arial" w:eastAsia="Arial" w:hAnsi="Arial"/>
          <w:sz w:val="18"/>
          <w:szCs w:val="18"/>
          <w:color w:val="auto"/>
        </w:rPr>
      </w:pPr>
    </w:p>
    <w:p>
      <w:pPr>
        <w:ind w:left="1300" w:hanging="65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225" w:lineRule="exact"/>
        <w:rPr>
          <w:rFonts w:ascii="Arial" w:cs="Arial" w:eastAsia="Arial" w:hAnsi="Arial"/>
          <w:sz w:val="18"/>
          <w:szCs w:val="18"/>
          <w:color w:val="auto"/>
        </w:rPr>
      </w:pPr>
    </w:p>
    <w:p>
      <w:pPr>
        <w:ind w:left="1300" w:hanging="65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or</w:t>
      </w:r>
    </w:p>
    <w:p>
      <w:pPr>
        <w:spacing w:after="0" w:line="225" w:lineRule="exact"/>
        <w:rPr>
          <w:rFonts w:ascii="Arial" w:cs="Arial" w:eastAsia="Arial" w:hAnsi="Arial"/>
          <w:sz w:val="18"/>
          <w:szCs w:val="18"/>
          <w:color w:val="auto"/>
        </w:rPr>
      </w:pPr>
    </w:p>
    <w:p>
      <w:pPr>
        <w:ind w:left="1300" w:hanging="65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jc w:val="both"/>
        <w:ind w:right="340" w:firstLine="415"/>
        <w:spacing w:after="0" w:line="311"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9" w:lineRule="exact"/>
        <w:rPr>
          <w:sz w:val="20"/>
          <w:szCs w:val="20"/>
          <w:color w:val="auto"/>
        </w:rPr>
      </w:pPr>
    </w:p>
    <w:p>
      <w:pPr>
        <w:ind w:right="80" w:firstLine="415"/>
        <w:spacing w:after="0" w:line="263"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211" w:lineRule="exact"/>
        <w:rPr>
          <w:sz w:val="20"/>
          <w:szCs w:val="20"/>
          <w:color w:val="auto"/>
        </w:rPr>
      </w:pPr>
    </w:p>
    <w:p>
      <w:pPr>
        <w:ind w:left="1300" w:hanging="658"/>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ind w:left="1300" w:right="120" w:hanging="658"/>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170" w:lineRule="exact"/>
        <w:rPr>
          <w:rFonts w:ascii="Arial" w:cs="Arial" w:eastAsia="Arial" w:hAnsi="Arial"/>
          <w:sz w:val="18"/>
          <w:szCs w:val="18"/>
          <w:color w:val="auto"/>
        </w:rPr>
      </w:pPr>
    </w:p>
    <w:p>
      <w:pPr>
        <w:ind w:left="1300" w:hanging="658"/>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jc w:val="both"/>
        <w:ind w:right="560" w:firstLine="415"/>
        <w:spacing w:after="0" w:line="263"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 including the consequences to them under the passive foreign investment company (“PFIC”) rules discussed below.</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firstLine="415"/>
        <w:spacing w:after="0" w:line="268" w:lineRule="auto"/>
        <w:rPr>
          <w:sz w:val="20"/>
          <w:szCs w:val="20"/>
          <w:color w:val="auto"/>
        </w:rPr>
      </w:pPr>
      <w:r>
        <w:rPr>
          <w:rFonts w:ascii="Arial" w:cs="Arial" w:eastAsia="Arial" w:hAnsi="Arial"/>
          <w:sz w:val="17"/>
          <w:szCs w:val="17"/>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will generally be reported to US Holders as dividends. Subject to the discussion below with respect to our PFIC status and the consequences of being a PFIC,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 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0" w:lineRule="exact"/>
        <w:rPr>
          <w:sz w:val="20"/>
          <w:szCs w:val="20"/>
          <w:color w:val="auto"/>
        </w:rPr>
      </w:pPr>
    </w:p>
    <w:p>
      <w:pPr>
        <w:ind w:firstLine="415"/>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225" w:lineRule="exact"/>
        <w:rPr>
          <w:sz w:val="20"/>
          <w:szCs w:val="20"/>
          <w:color w:val="auto"/>
        </w:rPr>
      </w:pPr>
    </w:p>
    <w:p>
      <w:pPr>
        <w:ind w:right="20" w:firstLine="415"/>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right="80" w:firstLine="415"/>
        <w:spacing w:after="0" w:line="263" w:lineRule="auto"/>
        <w:rPr>
          <w:sz w:val="20"/>
          <w:szCs w:val="20"/>
          <w:color w:val="auto"/>
        </w:rPr>
      </w:pPr>
      <w:r>
        <w:rPr>
          <w:rFonts w:ascii="Arial" w:cs="Arial" w:eastAsia="Arial" w:hAnsi="Arial"/>
          <w:sz w:val="18"/>
          <w:szCs w:val="18"/>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6" w:name="page27"/>
    <w:bookmarkEnd w:id="26"/>
    <w:p>
      <w:pPr>
        <w:spacing w:after="0" w:line="269" w:lineRule="auto"/>
        <w:rPr>
          <w:sz w:val="20"/>
          <w:szCs w:val="20"/>
          <w:color w:val="auto"/>
        </w:rPr>
      </w:pPr>
      <w:r>
        <w:rPr>
          <w:rFonts w:ascii="Arial" w:cs="Arial" w:eastAsia="Arial" w:hAnsi="Arial"/>
          <w:sz w:val="17"/>
          <w:szCs w:val="17"/>
          <w:color w:val="auto"/>
        </w:rPr>
        <w:t>production of, “passive income.” For purposes of the above calculations, we will be treated as if we hold our proportionate share of the assets of, and directly receive our proportionate share of the income of, any other corporation in which we directly or indirectly own at least 25%, by value, of the shares of such corporation. Passive income generally includes interest, dividends, rents, certain non-active royalties and capital gains. Although we have not obtained independent valuations of our assets during 2020 and thus are not in a position to make a definitive determination as to whether we were a PFIC in 2020, based on our income and assets during 2020 and certain estimates and assumptions, including as to both the total value and the relative value of our assets as implied by our market capitalization during 2020, we believe that it is likely that we were a PFIC in 2020. In addition, it is possible that we may also be a PFIC in 2021 or one or more future years because, among other things, (i) we may not generate a substantial amount of non-passive gross income, for US federal income tax purposes, in any year, (ii) we currently own, and expect to continue to own, a substantial amount of passive assets, including cash, and (iii) the estimated valuation, for PFIC purposes, of our assets that generate non-passive income for PFIC purposes, including our intangible assets, is likely to be dependent in large part on our market capitalization and is therefore uncertain and may vary substantially over time. Accordingly, there can be no assurance that we will not be a PFIC in 2021 or any future taxable year.</w:t>
      </w:r>
    </w:p>
    <w:p>
      <w:pPr>
        <w:spacing w:after="0" w:line="182" w:lineRule="exact"/>
        <w:rPr>
          <w:sz w:val="20"/>
          <w:szCs w:val="20"/>
          <w:color w:val="auto"/>
        </w:rPr>
      </w:pPr>
    </w:p>
    <w:p>
      <w:pPr>
        <w:ind w:right="40" w:firstLine="415"/>
        <w:spacing w:after="0" w:line="263" w:lineRule="auto"/>
        <w:rPr>
          <w:sz w:val="20"/>
          <w:szCs w:val="20"/>
          <w:color w:val="auto"/>
        </w:rPr>
      </w:pPr>
      <w:r>
        <w:rPr>
          <w:rFonts w:ascii="Arial" w:cs="Arial" w:eastAsia="Arial" w:hAnsi="Arial"/>
          <w:sz w:val="18"/>
          <w:szCs w:val="18"/>
          <w:color w:val="auto"/>
        </w:rPr>
        <w:t>If we are a PFIC in 2021 or in any future year during which a US investor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84" w:lineRule="exact"/>
        <w:rPr>
          <w:sz w:val="20"/>
          <w:szCs w:val="20"/>
          <w:color w:val="auto"/>
        </w:rPr>
      </w:pPr>
    </w:p>
    <w:p>
      <w:pPr>
        <w:ind w:right="60" w:firstLine="415"/>
        <w:spacing w:after="0" w:line="290" w:lineRule="auto"/>
        <w:rPr>
          <w:sz w:val="20"/>
          <w:szCs w:val="20"/>
          <w:color w:val="auto"/>
        </w:rPr>
      </w:pPr>
      <w:r>
        <w:rPr>
          <w:rFonts w:ascii="Arial" w:cs="Arial" w:eastAsia="Arial" w:hAnsi="Arial"/>
          <w:sz w:val="16"/>
          <w:szCs w:val="16"/>
          <w:color w:val="auto"/>
        </w:rPr>
        <w:t>If we are a PFIC in 2021 or in any future year during which a US investor holds common shares (assuming such US Holder has not made a timely mark-to-market election, as further described below), any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any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3 years or the US Holder’s holding period, whichever is shorter, that distribution would be subject to taxation in the same manner as gain, described immediately above.</w:t>
      </w:r>
    </w:p>
    <w:p>
      <w:pPr>
        <w:spacing w:after="0" w:line="165" w:lineRule="exact"/>
        <w:rPr>
          <w:sz w:val="20"/>
          <w:szCs w:val="20"/>
          <w:color w:val="auto"/>
        </w:rPr>
      </w:pPr>
    </w:p>
    <w:p>
      <w:pPr>
        <w:ind w:right="120" w:firstLine="415"/>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this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1" w:lineRule="exact"/>
        <w:rPr>
          <w:sz w:val="20"/>
          <w:szCs w:val="20"/>
          <w:color w:val="auto"/>
        </w:rPr>
      </w:pPr>
    </w:p>
    <w:p>
      <w:pPr>
        <w:ind w:right="40" w:firstLine="415"/>
        <w:spacing w:after="0" w:line="255" w:lineRule="auto"/>
        <w:rPr>
          <w:sz w:val="20"/>
          <w:szCs w:val="20"/>
          <w:color w:val="auto"/>
        </w:rPr>
      </w:pPr>
      <w:r>
        <w:rPr>
          <w:rFonts w:ascii="Arial" w:cs="Arial" w:eastAsia="Arial" w:hAnsi="Arial"/>
          <w:sz w:val="18"/>
          <w:szCs w:val="18"/>
          <w:color w:val="auto"/>
        </w:rPr>
        <w:t>In addition, in order to avoid the application of the foregoing rules, a US person who owns stock in a PFIC for US federal income tax purposes may make a “qualified electing fund” (QEF) election with respect to such PFIC if the PFIC provides the information necessary for such election to be made. If a US person makes a QEF election with respect to a PFIC, the US person will be currently taxable on their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the information necessary for US Holders to make QEF elections.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ind w:right="40" w:firstLine="415"/>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220" w:firstLine="415"/>
        <w:spacing w:after="0" w:line="263" w:lineRule="auto"/>
        <w:rPr>
          <w:sz w:val="20"/>
          <w:szCs w:val="20"/>
          <w:color w:val="auto"/>
        </w:rPr>
      </w:pPr>
      <w:r>
        <w:rPr>
          <w:rFonts w:ascii="Arial" w:cs="Arial" w:eastAsia="Arial" w:hAnsi="Arial"/>
          <w:sz w:val="18"/>
          <w:szCs w:val="18"/>
          <w:color w:val="auto"/>
        </w:rPr>
        <w:t>If a US Holder owns common shares during any year in which we are a PFIC, the holder generally must file annual reports containing such information as the US Treasury may require on Internal Revenue Service (IRS) Form 8621 (or any successor form) with respect to us, generally with the holder’s federal income tax return for that year.</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US Holders should consult their tax advisors concerning our potential PFIC status and the potential application of the PFIC rules.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415"/>
        <w:spacing w:after="0" w:line="31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generally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49" w:lineRule="exact"/>
        <w:rPr>
          <w:sz w:val="20"/>
          <w:szCs w:val="20"/>
          <w:color w:val="auto"/>
        </w:rPr>
      </w:pPr>
    </w:p>
    <w:p>
      <w:pPr>
        <w:jc w:val="both"/>
        <w:ind w:firstLine="415"/>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225" w:lineRule="exact"/>
        <w:rPr>
          <w:sz w:val="20"/>
          <w:szCs w:val="20"/>
          <w:color w:val="auto"/>
        </w:rPr>
      </w:pPr>
    </w:p>
    <w:p>
      <w:pPr>
        <w:ind w:right="100" w:firstLine="415"/>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80" w:firstLine="415"/>
        <w:spacing w:after="0" w:line="286" w:lineRule="auto"/>
        <w:rPr>
          <w:sz w:val="20"/>
          <w:szCs w:val="20"/>
          <w:color w:val="auto"/>
        </w:rPr>
      </w:pPr>
      <w:r>
        <w:rPr>
          <w:rFonts w:ascii="Arial" w:cs="Arial" w:eastAsia="Arial" w:hAnsi="Arial"/>
          <w:sz w:val="17"/>
          <w:szCs w:val="17"/>
          <w:color w:val="auto"/>
        </w:rPr>
        <w:t>We have entered into a sales agreement with Jefferies, under which we may offer and sell up to $80,000,000 of our common shares from time to time through Jefferies acting as agent. Sales of our common shares, if any, under this prospectus supplement and the accompanying prospectus will be made by any method that is deemed to be an “at the market offering” as defined in Rule 415(a)(4) under the Securities Act.</w:t>
      </w:r>
    </w:p>
    <w:p>
      <w:pPr>
        <w:spacing w:after="0" w:line="165" w:lineRule="exact"/>
        <w:rPr>
          <w:sz w:val="20"/>
          <w:szCs w:val="20"/>
          <w:color w:val="auto"/>
        </w:rPr>
      </w:pPr>
    </w:p>
    <w:p>
      <w:pPr>
        <w:ind w:firstLine="415"/>
        <w:spacing w:after="0" w:line="296" w:lineRule="auto"/>
        <w:rPr>
          <w:sz w:val="20"/>
          <w:szCs w:val="20"/>
          <w:color w:val="auto"/>
        </w:rPr>
      </w:pPr>
      <w:r>
        <w:rPr>
          <w:rFonts w:ascii="Arial" w:cs="Arial" w:eastAsia="Arial" w:hAnsi="Arial"/>
          <w:sz w:val="16"/>
          <w:szCs w:val="16"/>
          <w:color w:val="auto"/>
        </w:rPr>
        <w:t>Each time we wish to issue and sell our common shares under the sales agreement, we will notify Jefferies of the number of shares to be sold,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common shares are subject to a number of conditions that we must meet.</w:t>
      </w:r>
    </w:p>
    <w:p>
      <w:pPr>
        <w:spacing w:after="0" w:line="161" w:lineRule="exact"/>
        <w:rPr>
          <w:sz w:val="20"/>
          <w:szCs w:val="20"/>
          <w:color w:val="auto"/>
        </w:rPr>
      </w:pPr>
    </w:p>
    <w:p>
      <w:pPr>
        <w:ind w:right="100" w:firstLine="415"/>
        <w:spacing w:after="0" w:line="259" w:lineRule="auto"/>
        <w:rPr>
          <w:sz w:val="20"/>
          <w:szCs w:val="20"/>
          <w:color w:val="auto"/>
        </w:rPr>
      </w:pPr>
      <w:r>
        <w:rPr>
          <w:rFonts w:ascii="Arial" w:cs="Arial" w:eastAsia="Arial" w:hAnsi="Arial"/>
          <w:sz w:val="18"/>
          <w:szCs w:val="18"/>
          <w:color w:val="auto"/>
        </w:rPr>
        <w:t>The settlement of sales of shares between us and Jefferies is generally anticipated to occur on the second trading day following the date on which the sale was made. Sales of our common shares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7" w:lineRule="exact"/>
        <w:rPr>
          <w:sz w:val="20"/>
          <w:szCs w:val="20"/>
          <w:color w:val="auto"/>
        </w:rPr>
      </w:pPr>
    </w:p>
    <w:p>
      <w:pPr>
        <w:ind w:right="80" w:firstLine="415"/>
        <w:spacing w:after="0" w:line="254" w:lineRule="auto"/>
        <w:rPr>
          <w:sz w:val="20"/>
          <w:szCs w:val="20"/>
          <w:color w:val="auto"/>
        </w:rPr>
      </w:pPr>
      <w:r>
        <w:rPr>
          <w:rFonts w:ascii="Arial" w:cs="Arial" w:eastAsia="Arial" w:hAnsi="Arial"/>
          <w:sz w:val="18"/>
          <w:szCs w:val="18"/>
          <w:color w:val="auto"/>
        </w:rPr>
        <w:t>We will pay Jefferies a commission equal to 3.0% of the aggregate gross proceeds we receive from each sale of our common shares.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$50,000, in addition to certain ongoing disbursements of its legal counsel. We estimate that the total expenses for the offering, excluding any commissions or expense reimbursement payable to Jefferies under the terms of the sales agreement, will be approximately $1,068,000. The remaining sale proceeds, after deducting any other transaction fees, will equal our net proceeds from the sale of such shares.</w:t>
      </w:r>
    </w:p>
    <w:p>
      <w:pPr>
        <w:spacing w:after="0" w:line="195" w:lineRule="exact"/>
        <w:rPr>
          <w:sz w:val="20"/>
          <w:szCs w:val="20"/>
          <w:color w:val="auto"/>
        </w:rPr>
      </w:pPr>
    </w:p>
    <w:p>
      <w:pPr>
        <w:jc w:val="both"/>
        <w:ind w:right="80" w:firstLine="415"/>
        <w:spacing w:after="0" w:line="263" w:lineRule="auto"/>
        <w:rPr>
          <w:sz w:val="20"/>
          <w:szCs w:val="20"/>
          <w:color w:val="auto"/>
        </w:rPr>
      </w:pPr>
      <w:r>
        <w:rPr>
          <w:rFonts w:ascii="Arial" w:cs="Arial" w:eastAsia="Arial" w:hAnsi="Arial"/>
          <w:sz w:val="18"/>
          <w:szCs w:val="18"/>
          <w:color w:val="auto"/>
        </w:rPr>
        <w:t>Jefferies will provide written confirmation to us before the open on The Nasdaq Global Market on the day following each day on which our common shares are sold under the sales agreement. Each confirmation will include the number of shares sold on that day, the aggregate gross proceeds of such sales and the proceeds to us.</w:t>
      </w:r>
    </w:p>
    <w:p>
      <w:pPr>
        <w:spacing w:after="0" w:line="184" w:lineRule="exact"/>
        <w:rPr>
          <w:sz w:val="20"/>
          <w:szCs w:val="20"/>
          <w:color w:val="auto"/>
        </w:rPr>
      </w:pPr>
    </w:p>
    <w:p>
      <w:pPr>
        <w:jc w:val="both"/>
        <w:ind w:right="40" w:firstLine="415"/>
        <w:spacing w:after="0" w:line="259" w:lineRule="auto"/>
        <w:rPr>
          <w:sz w:val="20"/>
          <w:szCs w:val="20"/>
          <w:color w:val="auto"/>
        </w:rPr>
      </w:pPr>
      <w:r>
        <w:rPr>
          <w:rFonts w:ascii="Arial" w:cs="Arial" w:eastAsia="Arial" w:hAnsi="Arial"/>
          <w:sz w:val="18"/>
          <w:szCs w:val="18"/>
          <w:color w:val="auto"/>
        </w:rPr>
        <w:t>In connection with the sale of our common shares on our behalf, Jefferies may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7" w:lineRule="exact"/>
        <w:rPr>
          <w:sz w:val="20"/>
          <w:szCs w:val="20"/>
          <w:color w:val="auto"/>
        </w:rPr>
      </w:pPr>
    </w:p>
    <w:p>
      <w:pPr>
        <w:jc w:val="both"/>
        <w:ind w:right="140" w:firstLine="415"/>
        <w:spacing w:after="0" w:line="263" w:lineRule="auto"/>
        <w:rPr>
          <w:sz w:val="20"/>
          <w:szCs w:val="20"/>
          <w:color w:val="auto"/>
        </w:rPr>
      </w:pPr>
      <w:r>
        <w:rPr>
          <w:rFonts w:ascii="Arial" w:cs="Arial" w:eastAsia="Arial" w:hAnsi="Arial"/>
          <w:sz w:val="18"/>
          <w:szCs w:val="18"/>
          <w:color w:val="auto"/>
        </w:rPr>
        <w:t>The offering of our common shares pursuant to the sales agreement will terminate upon the earlier of (i) the sale of all common shares subject to the sales agreement and (ii) the termination of the sales agreement as permitted therein. We and Jefferies may each terminate the sales agreement at any time upon ten days’ prior notice.</w:t>
      </w:r>
    </w:p>
    <w:p>
      <w:pPr>
        <w:spacing w:after="0" w:line="184" w:lineRule="exact"/>
        <w:rPr>
          <w:sz w:val="20"/>
          <w:szCs w:val="20"/>
          <w:color w:val="auto"/>
        </w:rPr>
      </w:pPr>
    </w:p>
    <w:p>
      <w:pPr>
        <w:ind w:right="20" w:firstLine="415"/>
        <w:spacing w:after="0" w:line="263" w:lineRule="auto"/>
        <w:rPr>
          <w:sz w:val="20"/>
          <w:szCs w:val="20"/>
          <w:color w:val="auto"/>
        </w:rPr>
      </w:pPr>
      <w:r>
        <w:rPr>
          <w:rFonts w:ascii="Arial" w:cs="Arial" w:eastAsia="Arial" w:hAnsi="Arial"/>
          <w:sz w:val="18"/>
          <w:szCs w:val="18"/>
          <w:color w:val="auto"/>
        </w:rPr>
        <w:t>This summary of the material provisions of the sales agreement does not purport to be a complete statement of its terms and conditions. A copy of the sales agreement is filed as an exhibit to a current report on Form 8-K filed under the Securities Exchange Act of 1934, as amended, or the Exchange Act, and incorporated by reference in this prospectus supplement.</w:t>
      </w:r>
    </w:p>
    <w:p>
      <w:pPr>
        <w:spacing w:after="0" w:line="184" w:lineRule="exact"/>
        <w:rPr>
          <w:sz w:val="20"/>
          <w:szCs w:val="20"/>
          <w:color w:val="auto"/>
        </w:rPr>
      </w:pPr>
    </w:p>
    <w:p>
      <w:pPr>
        <w:ind w:right="140" w:firstLine="415"/>
        <w:spacing w:after="0" w:line="311" w:lineRule="auto"/>
        <w:rPr>
          <w:sz w:val="20"/>
          <w:szCs w:val="20"/>
          <w:color w:val="auto"/>
        </w:rPr>
      </w:pPr>
      <w:r>
        <w:rPr>
          <w:rFonts w:ascii="Arial" w:cs="Arial" w:eastAsia="Arial" w:hAnsi="Arial"/>
          <w:sz w:val="16"/>
          <w:szCs w:val="16"/>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ind w:firstLine="415"/>
        <w:spacing w:after="0" w:line="277"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address of Jefferies is Jefferies LLC, 520 Madison Avenue, 2nd Floor, New York, NY 10022.</w:t>
      </w:r>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320" w:top="584" w:right="6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15"/>
        <w:spacing w:after="0" w:line="263" w:lineRule="auto"/>
        <w:rPr>
          <w:sz w:val="20"/>
          <w:szCs w:val="20"/>
          <w:color w:val="auto"/>
        </w:rPr>
      </w:pPr>
      <w:r>
        <w:rPr>
          <w:rFonts w:ascii="Arial" w:cs="Arial" w:eastAsia="Arial" w:hAnsi="Arial"/>
          <w:sz w:val="18"/>
          <w:szCs w:val="18"/>
          <w:color w:val="auto"/>
        </w:rPr>
        <w:t>The validity of the securities and certain other matters of Swiss law will be passed upon for us by Bär &amp; Karrer Ltd. Certain matters of US federal and New York State law will be passed upon for us by Davis Polk &amp; Wardwell LLP, New York, New York, and for Jefferies by Goodwin Procter LLP, New York, New York.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15"/>
        <w:spacing w:after="0" w:line="259" w:lineRule="auto"/>
        <w:rPr>
          <w:sz w:val="20"/>
          <w:szCs w:val="20"/>
          <w:color w:val="auto"/>
        </w:rPr>
      </w:pPr>
      <w:r>
        <w:rPr>
          <w:rFonts w:ascii="Arial" w:cs="Arial" w:eastAsia="Arial" w:hAnsi="Arial"/>
          <w:sz w:val="18"/>
          <w:szCs w:val="18"/>
          <w:color w:val="auto"/>
        </w:rPr>
        <w:t>The financial statements incorporated in this prospectus supplement by reference to the Annual Report on Form 20-F for the year ended December 31, 2020 have been so incorporated in reliance on the report of PricewaterhouseCoopers SA, an independent registered public accounting firm, given on the authority of said firm as experts in auditing and accounting. PricewaterhouseCoopers SA is a member of EXPERTsuisse — Swiss Expert Association for Audit, Tax and Fiduciary.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0" w:firstLine="415"/>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240" w:firstLine="415"/>
        <w:spacing w:after="0" w:line="259"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incorporated by reference subsequent to the date of this prospectus supplement.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incorporate by reference the following documents or information that we have filed with the SEC:</w:t>
      </w:r>
    </w:p>
    <w:p>
      <w:pPr>
        <w:spacing w:after="0" w:line="225" w:lineRule="exact"/>
        <w:rPr>
          <w:sz w:val="20"/>
          <w:szCs w:val="20"/>
          <w:color w:val="auto"/>
        </w:rPr>
      </w:pPr>
    </w:p>
    <w:p>
      <w:pPr>
        <w:ind w:left="1300" w:hanging="65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2020 Annual Report on Form 20-F for the fiscal year ended December 31, 2020;</w:t>
      </w:r>
    </w:p>
    <w:p>
      <w:pPr>
        <w:spacing w:after="0" w:line="225" w:lineRule="exact"/>
        <w:rPr>
          <w:rFonts w:ascii="Arial" w:cs="Arial" w:eastAsia="Arial" w:hAnsi="Arial"/>
          <w:sz w:val="18"/>
          <w:szCs w:val="18"/>
          <w:color w:val="auto"/>
        </w:rPr>
      </w:pPr>
    </w:p>
    <w:p>
      <w:pPr>
        <w:ind w:left="1300" w:right="340" w:hanging="658"/>
        <w:spacing w:after="0" w:line="263"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reports on Form 6-K furnished to the SEC on March 23, 2021 (only with respect to “Item 1.C—2020 and 2019 Board Compensation” and “Item 2.C—2020 and 2019 Executive Compensation” of Exhibit 99.4), March 31, 2021 and April 28, 2021 (only with respect to Exhibits 99.1 and 99.2); and</w:t>
      </w:r>
    </w:p>
    <w:p>
      <w:pPr>
        <w:spacing w:after="0" w:line="183" w:lineRule="exact"/>
        <w:rPr>
          <w:rFonts w:ascii="Arial" w:cs="Arial" w:eastAsia="Arial" w:hAnsi="Arial"/>
          <w:sz w:val="18"/>
          <w:szCs w:val="18"/>
          <w:color w:val="auto"/>
        </w:rPr>
      </w:pPr>
    </w:p>
    <w:p>
      <w:pPr>
        <w:ind w:left="1300" w:right="240" w:hanging="658"/>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description of our common shares contained in our registration statement on Form 8-A filed with the SEC on September 23, 2016, including any amendments or reports filed for the purpose of updating such description.</w:t>
      </w:r>
    </w:p>
    <w:p>
      <w:pPr>
        <w:spacing w:after="0" w:line="170" w:lineRule="exact"/>
        <w:rPr>
          <w:sz w:val="20"/>
          <w:szCs w:val="20"/>
          <w:color w:val="auto"/>
        </w:rPr>
      </w:pPr>
    </w:p>
    <w:p>
      <w:pPr>
        <w:ind w:right="80" w:firstLine="415"/>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Form 6-K subsequently submitted to the SEC by identifying in such Form 6-K that it is being incorporated by reference into this prospectus supplement.</w:t>
      </w:r>
    </w:p>
    <w:p>
      <w:pPr>
        <w:spacing w:after="0" w:line="187" w:lineRule="exact"/>
        <w:rPr>
          <w:sz w:val="20"/>
          <w:szCs w:val="20"/>
          <w:color w:val="auto"/>
        </w:rPr>
      </w:pPr>
    </w:p>
    <w:p>
      <w:pPr>
        <w:ind w:right="180" w:firstLine="415"/>
        <w:spacing w:after="0" w:line="277" w:lineRule="auto"/>
        <w:rPr>
          <w:sz w:val="20"/>
          <w:szCs w:val="20"/>
          <w:color w:val="auto"/>
        </w:rPr>
      </w:pPr>
      <w:r>
        <w:rPr>
          <w:rFonts w:ascii="Arial" w:cs="Arial" w:eastAsia="Arial" w:hAnsi="Arial"/>
          <w:sz w:val="18"/>
          <w:szCs w:val="18"/>
          <w:color w:val="auto"/>
        </w:rPr>
        <w:t>Documents incorporated by reference in this prospectus are available from us without charge upon written or oral request, excluding any exhibits to those documents that are not specifically incorporated by reference into those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line="342" w:lineRule="auto"/>
        <w:rPr>
          <w:sz w:val="20"/>
          <w:szCs w:val="20"/>
          <w:color w:val="auto"/>
        </w:rPr>
      </w:pPr>
      <w:r>
        <w:rPr>
          <w:rFonts w:ascii="Arial" w:cs="Arial" w:eastAsia="Arial" w:hAnsi="Arial"/>
          <w:sz w:val="16"/>
          <w:szCs w:val="16"/>
          <w:color w:val="auto"/>
        </w:rPr>
        <w:t>documents. Each person, including any beneficial owner, to whom a prospectus is delivered can obtain documents incorporated by reference in this document by requesting them from us in writing at EPFL Innovation Park Building B, 1015 Lausanne, Switzerland or via telephone at +41 21 345 91 21.</w:t>
      </w: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584" w:right="5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filed with the Securities and Exchange Commission on April 28, 2021</w:t>
      </w:r>
    </w:p>
    <w:p>
      <w:pPr>
        <w:spacing w:after="0" w:line="225"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Registration No. 333-</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 F-3</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AC IMMUNE SA</w:t>
      </w:r>
    </w:p>
    <w:p>
      <w:pPr>
        <w:spacing w:after="0" w:line="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7" w:lineRule="exact"/>
        <w:rPr>
          <w:sz w:val="20"/>
          <w:szCs w:val="20"/>
          <w:color w:val="auto"/>
        </w:rPr>
      </w:pPr>
    </w:p>
    <w:tbl>
      <w:tblPr>
        <w:tblLayout w:type="fixed"/>
        <w:tblInd w:w="1600" w:type="dxa"/>
        <w:tblCellMar>
          <w:top w:w="0" w:type="dxa"/>
          <w:left w:w="0" w:type="dxa"/>
          <w:bottom w:w="0" w:type="dxa"/>
          <w:right w:w="0" w:type="dxa"/>
        </w:tblCellMar>
      </w:tblPr>
      <w:tr>
        <w:trPr>
          <w:trHeight w:val="216"/>
        </w:trPr>
        <w:tc>
          <w:tcPr>
            <w:tcW w:w="418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Switzerland</w:t>
            </w:r>
          </w:p>
        </w:tc>
        <w:tc>
          <w:tcPr>
            <w:tcW w:w="3540" w:type="dxa"/>
            <w:vAlign w:val="bottom"/>
          </w:tcPr>
          <w:p>
            <w:pPr>
              <w:jc w:val="center"/>
              <w:ind w:left="167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41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(State or Other Jurisdiction of</w:t>
            </w:r>
          </w:p>
        </w:tc>
        <w:tc>
          <w:tcPr>
            <w:tcW w:w="3540" w:type="dxa"/>
            <w:vAlign w:val="bottom"/>
          </w:tcPr>
          <w:p>
            <w:pPr>
              <w:jc w:val="center"/>
              <w:ind w:left="16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80" w:type="dxa"/>
            <w:vAlign w:val="bottom"/>
          </w:tcPr>
          <w:p>
            <w:pPr>
              <w:jc w:val="center"/>
              <w:ind w:right="1670"/>
              <w:spacing w:after="0"/>
              <w:rPr>
                <w:sz w:val="20"/>
                <w:szCs w:val="20"/>
                <w:color w:val="auto"/>
              </w:rPr>
            </w:pPr>
            <w:r>
              <w:rPr>
                <w:rFonts w:ascii="Arial" w:cs="Arial" w:eastAsia="Arial" w:hAnsi="Arial"/>
                <w:sz w:val="18"/>
                <w:szCs w:val="18"/>
                <w:b w:val="1"/>
                <w:bCs w:val="1"/>
                <w:color w:val="auto"/>
                <w:w w:val="93"/>
              </w:rPr>
              <w:t>Incorporation or Organization)</w:t>
            </w:r>
          </w:p>
        </w:tc>
        <w:tc>
          <w:tcPr>
            <w:tcW w:w="3540" w:type="dxa"/>
            <w:vAlign w:val="bottom"/>
          </w:tcPr>
          <w:p>
            <w:pPr>
              <w:jc w:val="center"/>
              <w:ind w:left="167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(Address and Telephone Number of Registrant’s Principal Executive Offices)</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Cogency Global Inc.</w:t>
      </w:r>
    </w:p>
    <w:p>
      <w:pPr>
        <w:ind w:left="4420"/>
        <w:spacing w:after="0" w:line="205" w:lineRule="auto"/>
        <w:rPr>
          <w:sz w:val="20"/>
          <w:szCs w:val="20"/>
          <w:color w:val="auto"/>
        </w:rPr>
      </w:pPr>
      <w:r>
        <w:rPr>
          <w:rFonts w:ascii="Arial" w:cs="Arial" w:eastAsia="Arial" w:hAnsi="Arial"/>
          <w:sz w:val="18"/>
          <w:szCs w:val="18"/>
          <w:b w:val="1"/>
          <w:bCs w:val="1"/>
          <w:color w:val="auto"/>
        </w:rPr>
        <w:t>122 East 42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Street, 18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New York 10168</w:t>
      </w:r>
    </w:p>
    <w:p>
      <w:pPr>
        <w:spacing w:after="0" w:line="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(800) 221-0102</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(Name, Address, and Telephone Number of Agent For Service)</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Derek J. Dostal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Richard D. Truesdell, Jr.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0"/>
          <w:szCs w:val="20"/>
          <w:color w:val="auto"/>
        </w:rPr>
      </w:pPr>
    </w:p>
    <w:p>
      <w:pPr>
        <w:ind w:left="5500" w:hanging="438"/>
        <w:spacing w:after="0"/>
        <w:tabs>
          <w:tab w:leader="none" w:pos="5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450-4000</w:t>
      </w:r>
    </w:p>
    <w:p>
      <w:pPr>
        <w:spacing w:after="0" w:line="9" w:lineRule="exact"/>
        <w:rPr>
          <w:rFonts w:ascii="Arial" w:cs="Arial" w:eastAsia="Arial" w:hAnsi="Arial"/>
          <w:sz w:val="18"/>
          <w:szCs w:val="18"/>
          <w:b w:val="1"/>
          <w:bCs w:val="1"/>
          <w:color w:val="auto"/>
        </w:rPr>
      </w:pPr>
    </w:p>
    <w:p>
      <w:pPr>
        <w:ind w:left="3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_______________________________________________________</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this Registration Statement becomes effective.</w:t>
      </w:r>
    </w:p>
    <w:p>
      <w:pPr>
        <w:spacing w:after="0" w:line="252" w:lineRule="exact"/>
        <w:rPr>
          <w:sz w:val="20"/>
          <w:szCs w:val="20"/>
          <w:color w:val="auto"/>
        </w:rPr>
      </w:pPr>
    </w:p>
    <w:p>
      <w:pPr>
        <w:ind w:right="100" w:firstLine="324"/>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33" w:name="page34"/>
    <w:bookmarkEnd w:id="33"/>
    <w:p>
      <w:pPr>
        <w:ind w:right="300" w:firstLine="324"/>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0"/>
          <w:szCs w:val="20"/>
          <w:color w:val="auto"/>
        </w:rPr>
      </w:pPr>
    </w:p>
    <w:p>
      <w:pPr>
        <w:ind w:right="2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ind w:right="400" w:firstLine="324"/>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right="1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92" w:lineRule="exact"/>
        <w:rPr>
          <w:sz w:val="20"/>
          <w:szCs w:val="20"/>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(B) of the Securities Act. </w:t>
      </w:r>
      <w:r>
        <w:rPr>
          <w:rFonts w:ascii="MS PGothic" w:cs="MS PGothic" w:eastAsia="MS PGothic" w:hAnsi="MS PGothic"/>
          <w:sz w:val="18"/>
          <w:szCs w:val="18"/>
          <w:color w:val="auto"/>
        </w:rPr>
        <w:t>☐</w:t>
      </w:r>
    </w:p>
    <w:p>
      <w:pPr>
        <w:spacing w:after="0" w:line="216" w:lineRule="exact"/>
        <w:rPr>
          <w:sz w:val="20"/>
          <w:szCs w:val="20"/>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right="120" w:firstLine="332"/>
        <w:spacing w:after="0" w:line="277" w:lineRule="auto"/>
        <w:tabs>
          <w:tab w:leader="none" w:pos="4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5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r>
      <w:tr>
        <w:trPr>
          <w:trHeight w:val="178"/>
        </w:trPr>
        <w:tc>
          <w:tcPr>
            <w:tcW w:w="4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6"/>
              </w:rPr>
              <w:t>Proposed</w:t>
            </w:r>
          </w:p>
        </w:tc>
        <w:tc>
          <w:tcPr>
            <w:tcW w:w="17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6"/>
              </w:rPr>
              <w:t>Proposed</w:t>
            </w:r>
          </w:p>
        </w:tc>
        <w:tc>
          <w:tcPr>
            <w:tcW w:w="162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1"/>
              </w:rPr>
              <w:t>Amount of</w:t>
            </w:r>
          </w:p>
        </w:tc>
      </w:tr>
      <w:tr>
        <w:trPr>
          <w:trHeight w:val="216"/>
        </w:trPr>
        <w:tc>
          <w:tcPr>
            <w:tcW w:w="4500" w:type="dxa"/>
            <w:vAlign w:val="bottom"/>
          </w:tcPr>
          <w:p>
            <w:pPr>
              <w:ind w:left="1440"/>
              <w:spacing w:after="0"/>
              <w:rPr>
                <w:sz w:val="20"/>
                <w:szCs w:val="20"/>
                <w:color w:val="auto"/>
              </w:rPr>
            </w:pPr>
            <w:r>
              <w:rPr>
                <w:rFonts w:ascii="Arial" w:cs="Arial" w:eastAsia="Arial" w:hAnsi="Arial"/>
                <w:sz w:val="18"/>
                <w:szCs w:val="18"/>
                <w:b w:val="1"/>
                <w:bCs w:val="1"/>
                <w:color w:val="auto"/>
              </w:rPr>
              <w:t>Title of Each Class of</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Maximum Aggregate Maximum Aggregate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Registration Fee(3)</w:t>
            </w:r>
          </w:p>
        </w:tc>
      </w:tr>
      <w:tr>
        <w:trPr>
          <w:trHeight w:val="234"/>
        </w:trPr>
        <w:tc>
          <w:tcPr>
            <w:tcW w:w="450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Securities to be Registered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 be Registered(1)</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Price per Unit(2)</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Offering Price(3)</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w:t>
            </w:r>
          </w:p>
        </w:tc>
      </w:tr>
      <w:tr>
        <w:trPr>
          <w:trHeight w:val="203"/>
        </w:trPr>
        <w:tc>
          <w:tcPr>
            <w:tcW w:w="4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216"/>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Shares, par value CHF 0.02 per share</w:t>
            </w:r>
          </w:p>
        </w:tc>
        <w:tc>
          <w:tcPr>
            <w:tcW w:w="17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0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7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0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Warrants</w:t>
            </w:r>
          </w:p>
        </w:tc>
        <w:tc>
          <w:tcPr>
            <w:tcW w:w="17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10"/>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Contracts</w:t>
            </w:r>
          </w:p>
        </w:tc>
        <w:tc>
          <w:tcPr>
            <w:tcW w:w="17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0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Units</w:t>
            </w:r>
          </w:p>
        </w:tc>
        <w:tc>
          <w:tcPr>
            <w:tcW w:w="17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0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Subscription Rights</w:t>
            </w:r>
          </w:p>
        </w:tc>
        <w:tc>
          <w:tcPr>
            <w:tcW w:w="17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10"/>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$350,000,000</w:t>
            </w:r>
          </w:p>
        </w:tc>
        <w:tc>
          <w:tcPr>
            <w:tcW w:w="16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$350,000,000</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$38,185</w:t>
            </w:r>
          </w:p>
        </w:tc>
      </w:tr>
      <w:tr>
        <w:trPr>
          <w:trHeight w:val="211"/>
        </w:trPr>
        <w:tc>
          <w:tcPr>
            <w:tcW w:w="450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1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20" w:type="dxa"/>
            <w:vAlign w:val="bottom"/>
          </w:tcPr>
          <w:p>
            <w:pPr>
              <w:spacing w:after="0"/>
              <w:rPr>
                <w:sz w:val="18"/>
                <w:szCs w:val="18"/>
                <w:color w:val="auto"/>
              </w:rPr>
            </w:pPr>
          </w:p>
        </w:tc>
      </w:tr>
    </w:tbl>
    <w:p>
      <w:pPr>
        <w:ind w:left="380" w:right="60" w:hanging="318"/>
        <w:spacing w:after="0" w:line="25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being registered hereunder such indeterminate number of securities of each identified class being registered as may be sold by the registrant from time to time at indeterminate prices, with any initial aggregate public offering price not to exceed $350,000,000. The $350,000,000 maximum aggregate offering price includes $223,411,644 in aggregate amount registered on Registration Statement on Form F-3 (Registration No 333-224694) which was declared effective on June 8, 2018 (the “Prior Registration Statement”) that remained unsold by the Company pursuant thereto which, pursuant to Rule 415(a)(6) of the Securities Act of 1933, as amended (the “Securities Act”), is being rolled over and included in this registration statement (see footnote 4 below). As such, the proposed maximum aggregate offering price of new securities being registered hereunder is $223,411,644.</w:t>
      </w:r>
    </w:p>
    <w:p>
      <w:pPr>
        <w:spacing w:after="0" w:line="223" w:lineRule="exact"/>
        <w:rPr>
          <w:rFonts w:ascii="Arial" w:cs="Arial" w:eastAsia="Arial" w:hAnsi="Arial"/>
          <w:sz w:val="18"/>
          <w:szCs w:val="18"/>
          <w:color w:val="auto"/>
        </w:rPr>
      </w:pPr>
    </w:p>
    <w:p>
      <w:pPr>
        <w:ind w:left="380" w:right="140" w:hanging="318"/>
        <w:spacing w:after="0" w:line="263"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proposed maximum aggregate offering price of each class of securities will be determined from time to time by the registrant in connection with the offer and sale of the securities registered hereunder and is not specified as to each class of securities pursuant to the General Instruction II.C. of Form F-3 under the Securities Act of 1933.</w:t>
      </w:r>
    </w:p>
    <w:p>
      <w:pPr>
        <w:spacing w:after="0" w:line="210" w:lineRule="exact"/>
        <w:rPr>
          <w:rFonts w:ascii="Arial" w:cs="Arial" w:eastAsia="Arial" w:hAnsi="Arial"/>
          <w:sz w:val="18"/>
          <w:szCs w:val="18"/>
          <w:color w:val="auto"/>
        </w:rPr>
      </w:pPr>
    </w:p>
    <w:p>
      <w:pPr>
        <w:ind w:left="380" w:right="140" w:hanging="318"/>
        <w:spacing w:after="0" w:line="263"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 of 1933 with respect to the securities to be sold by the registrant. In no event will the aggregate offering price of all securities sold from time to time pursuant to this registration statement exceed $350,000,000.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ind w:left="380" w:hanging="318"/>
        <w:spacing w:after="0" w:line="283"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Rule 415(a)(6) under the Securities Act, the securities registered hereunder include unsold securities previously registered by the Company pursuant to the Prior Registration Statement. The Prior Registration Statement registered the offer and sale of an indeterminate number of common shares, principal amount of debt securities, purchase contracts, warrants to purchase common shares, debt securities or other securities, units and subscription rights (collectively, the “Shelf Securities”) having an aggregate initial offering price not to exceed $350,000,000, $223,411,644 of which Shelf Securities remain unsold by the Company as of the date of filing of this registration statement. The registrant has determined to include in this registration statement unsold Shelf Securities under the Prior Registration Statement with an aggregate offering price of $223,411,644 (the “Unsold Securities”). Pursuant to Rule 415(a)(6) under the Securities Act, the filing fee of $24,375 relating to the Unsold Securities under the Prior Registration Statement, which was paid under the Prior Registration Statement, will continue to be applied to the Unsold Securities registered pursuant to this registration statement.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w:t>
      </w:r>
    </w:p>
    <w:p>
      <w:pPr>
        <w:spacing w:after="0" w:line="3" w:lineRule="exact"/>
        <w:rPr>
          <w:sz w:val="20"/>
          <w:szCs w:val="20"/>
          <w:color w:val="auto"/>
        </w:rPr>
      </w:pPr>
    </w:p>
    <w:p>
      <w:pPr>
        <w:ind w:left="380" w:right="400"/>
        <w:spacing w:after="0" w:line="250" w:lineRule="auto"/>
        <w:rPr>
          <w:sz w:val="20"/>
          <w:szCs w:val="20"/>
          <w:color w:val="auto"/>
        </w:rPr>
      </w:pPr>
      <w:r>
        <w:rPr>
          <w:rFonts w:ascii="Arial" w:cs="Arial" w:eastAsia="Arial" w:hAnsi="Arial"/>
          <w:sz w:val="18"/>
          <w:szCs w:val="18"/>
          <w:color w:val="auto"/>
        </w:rPr>
        <w:t>terminated as of the date of effectiveness of this registration statement. The filing fee of $24,375 relating to the Unsold Securities under the Prior Registration Statement, which was paid under the Prior Registration Statement, will continue to be applied to the Unsold Securities registered pursuant to this registration statement.</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6" w:name="page37"/>
    <w:bookmarkEnd w:id="36"/>
    <w:p>
      <w:pPr>
        <w:jc w:val="both"/>
        <w:ind w:right="400"/>
        <w:spacing w:after="0" w:line="263"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April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$350,000,000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191135</wp:posOffset>
            </wp:positionV>
            <wp:extent cx="1877060" cy="488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770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AC IMMUNE SA</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in Switzerland)</w:t>
      </w:r>
    </w:p>
    <w:p>
      <w:pPr>
        <w:spacing w:after="0" w:line="236"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may offer, from time to time, in one or more offerings, common shares, senior debt securities, subordinated debt securities, warrants, purchase contracts, units or subscription rights,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31.</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common shares are listed on the NASDAQ Global Market under the symbol “ACIU.” On April 27, 2021, the last sale price of our common shares as reported by the NASDAQ Global Market was $7.14 per common share. As of April 27, 2021, the aggregate market value of our outstanding common shares held by non-affiliates was approximately $225,144,185 based on approximately 72,652,654 shares of outstanding common shares, of which approximately 31,532,799 shares were held by non-affiliates.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4 of this prospectus.</w:t>
      </w:r>
    </w:p>
    <w:p>
      <w:pPr>
        <w:spacing w:after="0" w:line="225"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4020"/>
              <w:spacing w:after="0"/>
              <w:rPr>
                <w:sz w:val="20"/>
                <w:szCs w:val="20"/>
                <w:color w:val="auto"/>
              </w:rPr>
            </w:pPr>
            <w:r>
              <w:rPr>
                <w:rFonts w:ascii="Arial" w:cs="Arial" w:eastAsia="Arial" w:hAnsi="Arial"/>
                <w:sz w:val="18"/>
                <w:szCs w:val="18"/>
                <w:b w:val="1"/>
                <w:bCs w:val="1"/>
                <w:color w:val="auto"/>
                <w:w w:val="96"/>
              </w:rPr>
              <w:t>The date of this prospectus is</w:t>
            </w:r>
          </w:p>
        </w:tc>
        <w:tc>
          <w:tcPr>
            <w:tcW w:w="4740" w:type="dxa"/>
            <w:vAlign w:val="bottom"/>
          </w:tcPr>
          <w:p>
            <w:pPr>
              <w:jc w:val="right"/>
              <w:ind w:right="3910"/>
              <w:spacing w:after="0"/>
              <w:rPr>
                <w:sz w:val="20"/>
                <w:szCs w:val="20"/>
                <w:color w:val="auto"/>
              </w:rPr>
            </w:pPr>
            <w:r>
              <w:rPr>
                <w:rFonts w:ascii="Arial" w:cs="Arial" w:eastAsia="Arial" w:hAnsi="Arial"/>
                <w:sz w:val="18"/>
                <w:szCs w:val="18"/>
                <w:b w:val="1"/>
                <w:bCs w:val="1"/>
                <w:color w:val="auto"/>
              </w:rPr>
              <w:t>, 2021.</w:t>
            </w:r>
          </w:p>
        </w:tc>
      </w:tr>
      <w:tr>
        <w:trPr>
          <w:trHeight w:val="526"/>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37" w:name="page38"/>
    <w:bookmarkEnd w:id="37"/>
    <w:p>
      <w:pPr>
        <w:ind w:right="100"/>
        <w:spacing w:after="0" w:line="275" w:lineRule="auto"/>
        <w:rPr>
          <w:sz w:val="20"/>
          <w:szCs w:val="20"/>
          <w:color w:val="auto"/>
        </w:rPr>
      </w:pPr>
      <w:r>
        <w:rPr>
          <w:rFonts w:ascii="Arial" w:cs="Arial" w:eastAsia="Arial" w:hAnsi="Arial"/>
          <w:sz w:val="17"/>
          <w:szCs w:val="17"/>
          <w:color w:val="auto"/>
        </w:rPr>
        <w:t>We have not authorized anyone to provide you with information different or additional to the information contained in or incorporated by reference in this prospectus or any related prospectus supplement we provide to you.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100" w:type="dxa"/>
            <w:vAlign w:val="bottom"/>
          </w:tcPr>
          <w:p>
            <w:pPr>
              <w:jc w:val="center"/>
              <w:ind w:left="2049"/>
              <w:spacing w:after="0"/>
              <w:rPr>
                <w:sz w:val="20"/>
                <w:szCs w:val="20"/>
                <w:color w:val="auto"/>
              </w:rPr>
            </w:pPr>
            <w:r>
              <w:rPr>
                <w:rFonts w:ascii="Arial" w:cs="Arial" w:eastAsia="Arial" w:hAnsi="Arial"/>
                <w:sz w:val="22"/>
                <w:szCs w:val="22"/>
                <w:b w:val="1"/>
                <w:bCs w:val="1"/>
                <w:color w:val="auto"/>
                <w:w w:val="97"/>
              </w:rPr>
              <w:t>TABLE OF CONTENTS</w:t>
            </w: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86"/>
        </w:trPr>
        <w:tc>
          <w:tcPr>
            <w:tcW w:w="9100" w:type="dxa"/>
            <w:vAlign w:val="bottom"/>
          </w:tcPr>
          <w:p>
            <w:pPr>
              <w:jc w:val="center"/>
              <w:ind w:left="2069"/>
              <w:spacing w:after="0"/>
              <w:rPr>
                <w:sz w:val="20"/>
                <w:szCs w:val="20"/>
                <w:color w:val="auto"/>
              </w:rPr>
            </w:pPr>
            <w:r>
              <w:rPr>
                <w:rFonts w:ascii="Arial" w:cs="Arial" w:eastAsia="Arial" w:hAnsi="Arial"/>
                <w:sz w:val="22"/>
                <w:szCs w:val="22"/>
                <w:b w:val="1"/>
                <w:bCs w:val="1"/>
                <w:color w:val="auto"/>
                <w:w w:val="88"/>
              </w:rPr>
              <w:t>_______________________________</w:t>
            </w: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08"/>
        </w:trPr>
        <w:tc>
          <w:tcPr>
            <w:tcW w:w="910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38"/>
        </w:trPr>
        <w:tc>
          <w:tcPr>
            <w:tcW w:w="9100" w:type="dxa"/>
            <w:vAlign w:val="bottom"/>
          </w:tcPr>
          <w:p>
            <w:pPr>
              <w:spacing w:after="0"/>
              <w:rPr>
                <w:sz w:val="20"/>
                <w:szCs w:val="20"/>
                <w:color w:val="auto"/>
              </w:rPr>
            </w:pPr>
            <w:r>
              <w:rPr>
                <w:rFonts w:ascii="Arial" w:cs="Arial" w:eastAsia="Arial" w:hAnsi="Arial"/>
                <w:sz w:val="18"/>
                <w:szCs w:val="18"/>
                <w:color w:val="auto"/>
              </w:rPr>
              <w:t>About This Prospectus</w:t>
            </w:r>
          </w:p>
        </w:tc>
        <w:tc>
          <w:tcPr>
            <w:tcW w:w="18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Special Note Regarding Forward-Looking Statements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AC Immune SA</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Risk Factors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Use of Proceeds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Description of Share Capital and Articles of Association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Comparison of Swiss Law and Delaware Law</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Description of Purchase Contracts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Description of Units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Description of Subscription Rights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Plan of Distribution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Expenses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Legal Matters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Experts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Indemnification of Officers and Directors</w:t>
            </w:r>
          </w:p>
        </w:tc>
        <w:tc>
          <w:tcPr>
            <w:tcW w:w="1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II-1</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Exhibits</w:t>
            </w:r>
          </w:p>
        </w:tc>
        <w:tc>
          <w:tcPr>
            <w:tcW w:w="1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II-1</w:t>
            </w: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Undertakings</w:t>
            </w:r>
          </w:p>
        </w:tc>
        <w:tc>
          <w:tcPr>
            <w:tcW w:w="1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II-2</w:t>
            </w:r>
          </w:p>
        </w:tc>
      </w:tr>
      <w:tr>
        <w:trPr>
          <w:trHeight w:val="540"/>
        </w:trPr>
        <w:tc>
          <w:tcPr>
            <w:tcW w:w="9100" w:type="dxa"/>
            <w:vAlign w:val="bottom"/>
            <w:tcBorders>
              <w:bottom w:val="single" w:sz="8" w:color="auto"/>
            </w:tcBorders>
          </w:tcPr>
          <w:p>
            <w:pPr>
              <w:jc w:val="center"/>
              <w:ind w:left="2009"/>
              <w:spacing w:after="0"/>
              <w:rPr>
                <w:sz w:val="20"/>
                <w:szCs w:val="20"/>
                <w:color w:val="auto"/>
              </w:rPr>
            </w:pPr>
            <w:r>
              <w:rPr>
                <w:rFonts w:ascii="Arial" w:cs="Arial" w:eastAsia="Arial" w:hAnsi="Arial"/>
                <w:sz w:val="18"/>
                <w:szCs w:val="18"/>
                <w:color w:val="auto"/>
                <w:w w:val="79"/>
              </w:rPr>
              <w:t>1</w:t>
            </w:r>
          </w:p>
        </w:tc>
        <w:tc>
          <w:tcPr>
            <w:tcW w:w="1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spacing w:after="0" w:line="17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66"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should not assume that the information contained in this prospectus is accurate as of any other date.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188" w:lineRule="exact"/>
        <w:rPr>
          <w:sz w:val="20"/>
          <w:szCs w:val="20"/>
          <w:color w:val="auto"/>
        </w:rPr>
      </w:pPr>
    </w:p>
    <w:p>
      <w:pPr>
        <w:ind w:left="660" w:right="240" w:hanging="328"/>
        <w:spacing w:after="0" w:line="31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success of our and our collaboration partners’ clinical studies, and our and their ability to obtain and maintain regulatory approval and to commercialize ACI-35, semorinemab, Morphomer Tau, ACI-24 for Alzheimer’s disease (AD) and for Down syndrome-related AD (ACI-24 for DS), crenezumab, and PI-2620, our Tau-positron emission tomography (PET) imaging tracer and to a lesser extent our preclinical candidates;</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preclinical and clinical safety, efficacy and utility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protect and maintain our, and not infringe on third parties’, intellectual property rights throughout the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acceptance by the Food and Drug Administration (FDA) and applicable foreign regulatory authorities of data from studies that we and our collaboration partners conduct within and outside the US now and in the future;</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other risk factors discussed in our most recent Annual Report on Form 20-F.</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and diagnostics for prevention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alpha-synuclein and TDP-43. Our corporate strategy is founded upon a three-pillar approach that targets (i) AD, (ii) focused non-Alzheimer’s neurodegenerative diseases including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77"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We are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under the laws of Switzerland. We were formed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with our registered office and domicile in Basel, Switzerland. We converted 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spacing w:after="0" w:line="16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registered and principal executive offices are located in Ecublens,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41" w:name="page42"/>
    <w:bookmarkEnd w:id="41"/>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Unless otherwise indicated in a prospectus supplement, we currently intend to use the net proceeds from future offerings to strategically invest in research and clinical development of current and/or additional pipeline candidates, our technology platforms, working capital, capital expenditures and general corporate purposes. Accordingly,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We are a Swiss stock corporation (</w:t>
      </w:r>
      <w:r>
        <w:rPr>
          <w:rFonts w:ascii="Arial" w:cs="Arial" w:eastAsia="Arial" w:hAnsi="Arial"/>
          <w:sz w:val="18"/>
          <w:szCs w:val="18"/>
          <w:i w:val="1"/>
          <w:iCs w:val="1"/>
          <w:color w:val="auto"/>
        </w:rPr>
        <w:t>société anonyme</w:t>
      </w:r>
      <w:r>
        <w:rPr>
          <w:rFonts w:ascii="Arial" w:cs="Arial" w:eastAsia="Arial" w:hAnsi="Arial"/>
          <w:sz w:val="18"/>
          <w:szCs w:val="18"/>
          <w:color w:val="auto"/>
        </w:rPr>
        <w:t>) organized under the laws of Switzerland. We were formed as a Swiss limited liability company (</w:t>
      </w:r>
      <w:r>
        <w:rPr>
          <w:rFonts w:ascii="Arial" w:cs="Arial" w:eastAsia="Arial" w:hAnsi="Arial"/>
          <w:sz w:val="18"/>
          <w:szCs w:val="18"/>
          <w:i w:val="1"/>
          <w:iCs w:val="1"/>
          <w:color w:val="auto"/>
        </w:rPr>
        <w:t>société à responsabilité limitée</w:t>
      </w:r>
      <w:r>
        <w:rPr>
          <w:rFonts w:ascii="Arial" w:cs="Arial" w:eastAsia="Arial" w:hAnsi="Arial"/>
          <w:sz w:val="18"/>
          <w:szCs w:val="18"/>
          <w:color w:val="auto"/>
        </w:rPr>
        <w:t>) on February 13, 2003 with our registered office and domicile in Basel, Switzerland. We converted to a Swiss stock corporation (</w:t>
      </w:r>
      <w:r>
        <w:rPr>
          <w:rFonts w:ascii="Arial" w:cs="Arial" w:eastAsia="Arial" w:hAnsi="Arial"/>
          <w:sz w:val="18"/>
          <w:szCs w:val="18"/>
          <w:i w:val="1"/>
          <w:iCs w:val="1"/>
          <w:color w:val="auto"/>
        </w:rPr>
        <w:t>société anonyme</w:t>
      </w:r>
      <w:r>
        <w:rPr>
          <w:rFonts w:ascii="Arial" w:cs="Arial" w:eastAsia="Arial" w:hAnsi="Arial"/>
          <w:sz w:val="18"/>
          <w:szCs w:val="18"/>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of March 22, 2021, our issued share capital is CHF 1,537,748.98, consisting of 76,887,449 common shares with a nominal value of CHF 0.02 each. Of these issued totals, we held 4,235,023 as treasury shares totaling CHF 84,700.46 in share capital. We have no dividend rights certificates (</w:t>
      </w:r>
      <w:r>
        <w:rPr>
          <w:rFonts w:ascii="Arial" w:cs="Arial" w:eastAsia="Arial" w:hAnsi="Arial"/>
          <w:sz w:val="18"/>
          <w:szCs w:val="18"/>
          <w:i w:val="1"/>
          <w:iCs w:val="1"/>
          <w:color w:val="auto"/>
        </w:rPr>
        <w:t>bons de</w:t>
      </w:r>
      <w:r>
        <w:rPr>
          <w:rFonts w:ascii="Arial" w:cs="Arial" w:eastAsia="Arial" w:hAnsi="Arial"/>
          <w:sz w:val="18"/>
          <w:szCs w:val="18"/>
          <w:color w:val="auto"/>
        </w:rPr>
        <w:t xml:space="preserve"> </w:t>
      </w:r>
      <w:r>
        <w:rPr>
          <w:rFonts w:ascii="Arial" w:cs="Arial" w:eastAsia="Arial" w:hAnsi="Arial"/>
          <w:sz w:val="18"/>
          <w:szCs w:val="18"/>
          <w:i w:val="1"/>
          <w:iCs w:val="1"/>
          <w:color w:val="auto"/>
        </w:rPr>
        <w:t>jouissance</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On February 23, 2021, we adopted amended articles of association and when we refer to our articles of association, we refer to the articles of association as filed as Exhibit 3.1 to our Annual Report on Form 20-F.</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our subsidiaries and supply guarantees.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of shareholders in order to become effective. Under our articles of association, in the case of an increase of capital against payment of contributions in cash, a resolution passed by a simple majority of the votes cast at the general meeting of shareholders regardless of abstentions and empty or invalid votes is required. In the case of the limitation or withdrawal of subscription rights or in the case of an increase of capital out of equity, against contribution in kind, or for the purpose of acquisition of assets and the granting of special benefits, a resolution passed by at least two-thirds of the shares represented at a general meeting of shareholders and the absolute majority of the nominal amount of the shares represented is required.</w:t>
      </w:r>
    </w:p>
    <w:p>
      <w:pPr>
        <w:spacing w:after="0" w:line="17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at least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65" w:lineRule="exact"/>
        <w:rPr>
          <w:sz w:val="20"/>
          <w:szCs w:val="20"/>
          <w:color w:val="auto"/>
        </w:rPr>
      </w:pPr>
    </w:p>
    <w:p>
      <w:pPr>
        <w:jc w:val="both"/>
        <w:ind w:left="660" w:right="200" w:hanging="328"/>
        <w:spacing w:after="0" w:line="279"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conditional capital (</w:t>
      </w:r>
      <w:r>
        <w:rPr>
          <w:rFonts w:ascii="Arial" w:cs="Arial" w:eastAsia="Arial" w:hAnsi="Arial"/>
          <w:sz w:val="17"/>
          <w:szCs w:val="17"/>
          <w:i w:val="1"/>
          <w:iCs w:val="1"/>
          <w:color w:val="auto"/>
        </w:rPr>
        <w:t>capital conditionnel</w:t>
      </w:r>
      <w:r>
        <w:rPr>
          <w:rFonts w:ascii="Arial" w:cs="Arial" w:eastAsia="Arial" w:hAnsi="Arial"/>
          <w:sz w:val="17"/>
          <w:szCs w:val="17"/>
          <w:color w:val="auto"/>
        </w:rPr>
        <w:t>) for the purpose of issuing shares in connection with, among other things, (i) the exercise of conversion and/or option or warrant rights granted in connection with bonds or similar instruments, issued or to be issued by the Company or by one of our subsidiaries or (ii) the exercise of option rights granted to employees of the Company or a subsidiary, members of our board of directors or any consultant of the Company, or other persons providing services to the Company or a subsidiary; or</w:t>
      </w:r>
    </w:p>
    <w:p>
      <w:pPr>
        <w:spacing w:after="0" w:line="171" w:lineRule="exact"/>
        <w:rPr>
          <w:rFonts w:ascii="Arial" w:cs="Arial" w:eastAsia="Arial" w:hAnsi="Arial"/>
          <w:sz w:val="17"/>
          <w:szCs w:val="17"/>
          <w:color w:val="auto"/>
        </w:rPr>
      </w:pPr>
    </w:p>
    <w:p>
      <w:pPr>
        <w:ind w:left="660" w:right="6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3" w:name="page44"/>
    <w:bookmarkEnd w:id="43"/>
    <w:p>
      <w:pPr>
        <w:ind w:left="18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Pursuant to the CO, shareholders have in principle pre-emptive subscription rights (</w:t>
      </w:r>
      <w:r>
        <w:rPr>
          <w:rFonts w:ascii="Arial" w:cs="Arial" w:eastAsia="Arial" w:hAnsi="Arial"/>
          <w:sz w:val="18"/>
          <w:szCs w:val="18"/>
          <w:i w:val="1"/>
          <w:iCs w:val="1"/>
          <w:color w:val="auto"/>
        </w:rPr>
        <w:t>droit préférentiel de souscription</w:t>
      </w:r>
      <w:r>
        <w:rPr>
          <w:rFonts w:ascii="Arial" w:cs="Arial" w:eastAsia="Arial" w:hAnsi="Arial"/>
          <w:sz w:val="18"/>
          <w:szCs w:val="18"/>
          <w:color w:val="auto"/>
        </w:rPr>
        <w:t>). With respect to conditional capital in connection with the issuance of conversion rights, convertible bonds or similar debt instruments, shareholders have in principle advance subscription rights (</w:t>
      </w:r>
      <w:r>
        <w:rPr>
          <w:rFonts w:ascii="Arial" w:cs="Arial" w:eastAsia="Arial" w:hAnsi="Arial"/>
          <w:sz w:val="18"/>
          <w:szCs w:val="18"/>
          <w:i w:val="1"/>
          <w:iCs w:val="1"/>
          <w:color w:val="auto"/>
        </w:rPr>
        <w:t>droit de souscrire préalablement</w:t>
      </w:r>
      <w:r>
        <w:rPr>
          <w:rFonts w:ascii="Arial" w:cs="Arial" w:eastAsia="Arial" w:hAnsi="Arial"/>
          <w:sz w:val="18"/>
          <w:szCs w:val="18"/>
          <w:color w:val="auto"/>
        </w:rPr>
        <w: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resolution passed at a general meeting of shareholders by at least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4"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If pre-emptive subscription rights are granted, but not exercised, the board of directors may allocate the non-exercised pre-emptive subscription rights as it elects but has to follow the principle of equal treatment of the shareholders.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225"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Under Article 3a of our articles of association, board of directors is authorized to increase the share capital, in one or several steps until 27 June 2022, by a maximum amount of CHF 190,000 by issuing a maximum of 9,500,000 registered shares with a par value of CHF 0.02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board of directors is authorized to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is authorized to withdraw or limit the pre-emptive rights of the shareholders and to allot them to third parties: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acquisition of an enterprise, part of an enterprise or participations, or for the financing or refinancing of any of such acquisition, or in the event of share placement for the financing or refinancing of such placement;</w:t>
      </w:r>
    </w:p>
    <w:p>
      <w:pPr>
        <w:spacing w:after="0" w:line="170"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23" w:lineRule="exact"/>
        <w:rPr>
          <w:rFonts w:ascii="Arial" w:cs="Arial" w:eastAsia="Arial" w:hAnsi="Arial"/>
          <w:sz w:val="16"/>
          <w:szCs w:val="16"/>
          <w:color w:val="auto"/>
        </w:rPr>
      </w:pPr>
    </w:p>
    <w:p>
      <w:pPr>
        <w:ind w:left="660" w:right="3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purposes of granting an over-allotment option (Greenshoe) of up to 20% of the total number of registered shares in a placement or sale of registered shares to the respective initial purchaser(s) or underwriter(s);</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which probably could not be reached without the exclusion of the statutory pre-emptive right of the existing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CO; or</w:t>
      </w:r>
    </w:p>
    <w:p>
      <w:pPr>
        <w:spacing w:after="0" w:line="225" w:lineRule="exact"/>
        <w:rPr>
          <w:rFonts w:ascii="Arial" w:cs="Arial" w:eastAsia="Arial" w:hAnsi="Arial"/>
          <w:sz w:val="18"/>
          <w:szCs w:val="18"/>
          <w:color w:val="auto"/>
        </w:rPr>
      </w:pPr>
    </w:p>
    <w:p>
      <w:pPr>
        <w:ind w:left="660" w:right="80" w:hanging="328"/>
        <w:spacing w:after="0" w:line="27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following a shareholder or a group of shareholders acting in concert having accumulated shareholdings in excess of 33 1/3 %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color w:val="auto"/>
        </w:rPr>
        <w:t>on the basis that the board of directors has not found the takeover bid to be financially fair to the shareholders.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Bonds and Similar Debt Instruments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Under Article 3b of our articles of association, our share capital may be increased by a maximum aggregate amount of CHF 91,560.94 through the issue of a maximum of 4,578,047 common shares, payable in full, each with a nominal value of CHF 0.02, through the exercise of conversion and/or option or warrant rights granted in connection with bonds or similar instruments, issued or to be issued by the Company or by one of our subsidiaries, including convertible debt instruments. Shareholders do not have pre-emptive subscription rights in such circumstances.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Shareholders’ subscription rights are excluded. Shareholders’ advance subscription rights with regards to new bonds or similar instruments may be restricted or excluded by decision of the board of directors in order to finance or re-finance the acquisition of companies or holdings, or new investments planned by the Company, or in order to issue convertible bonds and warrants on the international capital markets or through private placement. If advance subscription rights are excluded, then (i) the instruments are to be placed at market conditions; (ii) the exercise period is not to exceed ten years from the date of issue for warrants and twenty years for conversion rights; and (iii) the conversion or exercise price for the new shares is to be set at least in line with the market conditions prevailing at the date on which the instruments are issued. The respective holders of conversion and/or option or warrant rights are entitled to subscribe the new shares.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Employee Benefit Plans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Under Article 3c of our articles of association, our share capital may, to the exclusion of the pre-emptive subscription rights of shareholders, be increased by a maximum aggregate amount of CHF 65,954.32 through the issue of a maximum of 3,297,716 common shares, payable in full, each with a nominal value of CHF 0.02, in connection with the exercise of option rights granted to employees of the Company or one of our subsidiaries, members of the board of directors or any consultant, or other persons providing services to the Company or one of our subsidiaries. The board of directors specifies the precise conditions of issue including the issue price of the shares.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shares are uncertificated securities (</w:t>
      </w:r>
      <w:r>
        <w:rPr>
          <w:rFonts w:ascii="Arial" w:cs="Arial" w:eastAsia="Arial" w:hAnsi="Arial"/>
          <w:sz w:val="16"/>
          <w:szCs w:val="16"/>
          <w:i w:val="1"/>
          <w:iCs w:val="1"/>
          <w:color w:val="auto"/>
        </w:rPr>
        <w:t>droits-valeurs</w:t>
      </w:r>
      <w:r>
        <w:rPr>
          <w:rFonts w:ascii="Arial" w:cs="Arial" w:eastAsia="Arial" w:hAnsi="Arial"/>
          <w:sz w:val="16"/>
          <w:szCs w:val="16"/>
          <w:color w:val="auto"/>
        </w:rPr>
        <w:t>, within the meaning of Article 973c of the CO) and, when administered by a financial intermediary (</w:t>
      </w:r>
      <w:r>
        <w:rPr>
          <w:rFonts w:ascii="Arial" w:cs="Arial" w:eastAsia="Arial" w:hAnsi="Arial"/>
          <w:sz w:val="16"/>
          <w:szCs w:val="16"/>
          <w:i w:val="1"/>
          <w:iCs w:val="1"/>
          <w:color w:val="auto"/>
        </w:rPr>
        <w:t>dépositaire</w:t>
      </w:r>
      <w:r>
        <w:rPr>
          <w:rFonts w:ascii="Arial" w:cs="Arial" w:eastAsia="Arial" w:hAnsi="Arial"/>
          <w:sz w:val="16"/>
          <w:szCs w:val="16"/>
          <w:color w:val="auto"/>
        </w:rPr>
        <w:t>, within the meaning of the Federal Act on Intermediated Securities, “FISA”), qualify as intermediated securities (</w:t>
      </w:r>
      <w:r>
        <w:rPr>
          <w:rFonts w:ascii="Arial" w:cs="Arial" w:eastAsia="Arial" w:hAnsi="Arial"/>
          <w:sz w:val="16"/>
          <w:szCs w:val="16"/>
          <w:i w:val="1"/>
          <w:iCs w:val="1"/>
          <w:color w:val="auto"/>
        </w:rPr>
        <w:t>titres</w:t>
      </w:r>
      <w:r>
        <w:rPr>
          <w:rFonts w:ascii="Arial" w:cs="Arial" w:eastAsia="Arial" w:hAnsi="Arial"/>
          <w:sz w:val="16"/>
          <w:szCs w:val="16"/>
          <w:color w:val="auto"/>
        </w:rPr>
        <w:t xml:space="preserve"> </w:t>
      </w:r>
      <w:r>
        <w:rPr>
          <w:rFonts w:ascii="Arial" w:cs="Arial" w:eastAsia="Arial" w:hAnsi="Arial"/>
          <w:sz w:val="16"/>
          <w:szCs w:val="16"/>
          <w:i w:val="1"/>
          <w:iCs w:val="1"/>
          <w:color w:val="auto"/>
        </w:rPr>
        <w:t>intermédiés</w:t>
      </w:r>
      <w:r>
        <w:rPr>
          <w:rFonts w:ascii="Arial" w:cs="Arial" w:eastAsia="Arial" w:hAnsi="Arial"/>
          <w:sz w:val="16"/>
          <w:szCs w:val="16"/>
          <w:color w:val="auto"/>
        </w:rPr>
        <w:t>, within the meaning of the FISA). In accordance with Article 973c of the CO, we maintain a non-public register of uncertificated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registre des droits-valeurs</w:t>
      </w:r>
      <w:r>
        <w:rPr>
          <w:rFonts w:ascii="Arial" w:cs="Arial" w:eastAsia="Arial" w:hAnsi="Arial"/>
          <w:sz w:val="16"/>
          <w:szCs w:val="16"/>
          <w:color w:val="auto"/>
        </w:rPr>
        <w:t>). We may at any time convert uncertificated securities into share certificates (including global certificates), one kind of certificate into another, or share certificates (including global certificates) into uncertificated securities. Following entry in our share register, a shareholder may at any time request from us a written confirmation in respect of the shares held by such shareholder, as reflected in the share register.</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Company’s financial year. In our case, this generally means on or before June 30.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225" w:lineRule="exact"/>
        <w:rPr>
          <w:sz w:val="20"/>
          <w:szCs w:val="20"/>
          <w:color w:val="auto"/>
        </w:rPr>
      </w:pPr>
    </w:p>
    <w:p>
      <w:pPr>
        <w:ind w:left="5560" w:right="3020" w:hanging="5228"/>
        <w:spacing w:after="0" w:line="6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ind w:left="660" w:right="7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electing and removal of the members of the board of directors, the chairman of the board of directors, the members of the compensation committee, the auditors and the independent proxy;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approving the management report and the consolidated accounts;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approving the annual accounts and resolutions on the allocation of the disposable profits, and in particular setting the dividend and the shares of profit to board members;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approving the total compensation paid to members of the board of directors and executive management;</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passing resolutions concerning all matters which are reserved to the authority of the general meeting of shareholders by law or by the articles of association.</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An extraordinary general meeting of shareholders may be called by a resolution of the general meeting,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22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statutory law or the articles of association state otherwise.</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resolution of the general meeting of the shareholders passed by at least two-thirds of the shares represented at the meeting, and the absolute majority of the nominal value of the shares represented is required for:</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creating shares with privileged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restricting the transferability of common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increasing the share capital out of equity, against contributions in-kind or for the purpose of acquiring assets and granting of special benefits;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or withdrawing shareholder’s pre-emptive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common shares and the removal of the voting cap of 33 1⁄3% as contained in article 4 of the articles of association;</w:t>
      </w:r>
    </w:p>
    <w:p>
      <w:pPr>
        <w:spacing w:after="0" w:line="170"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 as contained in article 29 of the articles of association;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6" w:name="page47"/>
    <w:bookmarkEnd w:id="46"/>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converting common shares into bearer shares and vice versa;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dissolving or liquidating a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amending or eliminating article 17 (</w:t>
      </w:r>
      <w:r>
        <w:rPr>
          <w:rFonts w:ascii="Arial" w:cs="Arial" w:eastAsia="Arial" w:hAnsi="Arial"/>
          <w:sz w:val="18"/>
          <w:szCs w:val="18"/>
          <w:i w:val="1"/>
          <w:iCs w:val="1"/>
          <w:color w:val="auto"/>
        </w:rPr>
        <w:t>resolutions and elections</w:t>
      </w:r>
      <w:r>
        <w:rPr>
          <w:rFonts w:ascii="Arial" w:cs="Arial" w:eastAsia="Arial" w:hAnsi="Arial"/>
          <w:sz w:val="18"/>
          <w:szCs w:val="18"/>
          <w:color w:val="auto"/>
        </w:rPr>
        <w:t>) of the articles of association.</w:t>
      </w:r>
    </w:p>
    <w:p>
      <w:pPr>
        <w:spacing w:after="0" w:line="225"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The same voting requirements apply, subject to mandatory law, to resolutions regarding transactions among corporations (including a merger, demerger or conversion of a corporation) based on Switzerland’s Federal Act on Mergers, Demergers, Transformations and Transfer of Assets, or the Merger Act, see “—Compulsory Acquisitions; Appraisal Rights.”</w:t>
      </w:r>
    </w:p>
    <w:p>
      <w:pPr>
        <w:spacing w:after="0" w:line="184"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Notice</w:t>
      </w:r>
    </w:p>
    <w:p>
      <w:pPr>
        <w:spacing w:after="0" w:line="225" w:lineRule="exact"/>
        <w:rPr>
          <w:sz w:val="20"/>
          <w:szCs w:val="20"/>
          <w:color w:val="auto"/>
        </w:rPr>
      </w:pPr>
    </w:p>
    <w:p>
      <w:pPr>
        <w:ind w:right="240" w:firstLine="324"/>
        <w:spacing w:after="0" w:line="272" w:lineRule="auto"/>
        <w:rPr>
          <w:sz w:val="20"/>
          <w:szCs w:val="20"/>
          <w:color w:val="auto"/>
        </w:rPr>
      </w:pPr>
      <w:r>
        <w:rPr>
          <w:rFonts w:ascii="Arial" w:cs="Arial" w:eastAsia="Arial" w:hAnsi="Arial"/>
          <w:sz w:val="17"/>
          <w:szCs w:val="17"/>
          <w:color w:val="auto"/>
        </w:rPr>
        <w:t>General meetings of shareholders must be convened by the board of directors or, if necessary, by the auditors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7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Agenda Requests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Pursuant to Swiss law, one or more shareholders, whose combined shareholdings represent the lower of (i) at least one tenth of the share capital or (ii) an aggregate nominal value of at least CHF 1,000,000, may request that an item be included in the agenda for an ordinary general meeting of shareholders. A request for inclusion of an item on the agenda must in principle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The request must contain, for each of the agenda items, the following information:</w:t>
      </w:r>
    </w:p>
    <w:p>
      <w:pPr>
        <w:spacing w:after="0" w:line="161" w:lineRule="exact"/>
        <w:rPr>
          <w:sz w:val="20"/>
          <w:szCs w:val="20"/>
          <w:color w:val="auto"/>
        </w:rPr>
      </w:pPr>
    </w:p>
    <w:p>
      <w:pPr>
        <w:ind w:left="660" w:right="1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and address, as they appear in our share register, of the shareholder proposing such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shares of the Company which are beneficially owned by such shareholder;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dates upon which the shareholder acquired such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documentary support for any claim of beneficial ownership;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material interest of such shareholder in such business; and</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47" w:name="page48"/>
    <w:bookmarkEnd w:id="47"/>
    <w:p>
      <w:pPr>
        <w:ind w:left="660" w:right="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statement in support of the matter and, for proposals sought to be included in the Company’s proxy statement, any other information required by Securities and Exchange Commission Rule 14a-8.</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Our annual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Each of our shares entitles its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6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empty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Under Swiss law, we may pay dividends only from the disposable profit and from reserves formed for this purpose, each as evidenced by our audited stand-alone statutory balance sheet prepared pursuant to Swiss law, and after allocations to reserves required by Swiss law and the articles of association have been deducted. We are not permitted to pay interim dividends out of profit of the current business year.</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2"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8" w:name="page49"/>
    <w:bookmarkEnd w:id="48"/>
    <w:p>
      <w:pPr>
        <w:spacing w:after="0" w:line="293" w:lineRule="auto"/>
        <w:rPr>
          <w:sz w:val="20"/>
          <w:szCs w:val="20"/>
          <w:color w:val="auto"/>
        </w:rPr>
      </w:pPr>
      <w:r>
        <w:rPr>
          <w:rFonts w:ascii="Arial" w:cs="Arial" w:eastAsia="Arial" w:hAnsi="Arial"/>
          <w:sz w:val="16"/>
          <w:szCs w:val="16"/>
          <w:color w:val="auto"/>
        </w:rPr>
        <w:t>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6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intermédiés</w:t>
      </w:r>
      <w:r>
        <w:rPr>
          <w:rFonts w:ascii="Arial" w:cs="Arial" w:eastAsia="Arial" w:hAnsi="Arial"/>
          <w:sz w:val="18"/>
          <w:szCs w:val="18"/>
          <w:color w:val="auto"/>
        </w:rPr>
        <w:t>) may only be transferred when a credit of the relevant intermediated securities to the acquirer’s securities account is made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relevant provisions of the FISA. Article 5 of our articles of association provides that the transfer of intermediated securities and the pledging of these intermediated securities are based on the provisions of the FISA and that transfer of propriety as collateral by means of written assignment are not permitted.</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Voting rights may be exercised only after a shareholder (or usufructuaries) has been entered in our share register (</w:t>
      </w:r>
      <w:r>
        <w:rPr>
          <w:rFonts w:ascii="Arial" w:cs="Arial" w:eastAsia="Arial" w:hAnsi="Arial"/>
          <w:sz w:val="17"/>
          <w:szCs w:val="17"/>
          <w:i w:val="1"/>
          <w:iCs w:val="1"/>
          <w:color w:val="auto"/>
        </w:rPr>
        <w:t>registre des actions</w:t>
      </w:r>
      <w:r>
        <w:rPr>
          <w:rFonts w:ascii="Arial" w:cs="Arial" w:eastAsia="Arial" w:hAnsi="Arial"/>
          <w:sz w:val="17"/>
          <w:szCs w:val="17"/>
          <w:color w:val="auto"/>
        </w:rPr>
        <w:t>) with his or her name, first name and address (in the case of legal entities, the registered office) as a shareholder with voting rights. 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voting caps apply to shareholders acquiring shares for other persons (nominees).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Special Investigation</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the competent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left="18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Business combinations and other similar transactions (i.e. mergers, demergers, transformations and certain asset transfers) that are governed by the Swiss Merger Act are, if approved in accordance with the applicable provisions of the Swiss Merger Act, binding on all shareholders of the involved companies. A statutory merger or demerger requires approval by at least two-thirds of the shares represented at a general meeting of shareholders and the absolute majority of the nominal value of the shares represented. If the merger agreement provides, however, only for a compensation payment, or in the event of an asymmetrical demerger, at least 90 percent of all shareholders of the transferring company who are entitled to vote must approve the merger agreement and the asymmetrical demerger, respectively.</w:t>
      </w:r>
    </w:p>
    <w:p>
      <w:pPr>
        <w:spacing w:after="0" w:line="192"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Swiss corporations may be acquired by an acquirer through the direct acquisition of shares of the Swiss corporation. The Swiss Merger Act provides for the possibility of a so-called “cash-out” or “squeeze-out” merger if the acquirer controls 90% of the outstanding shares. If such a squeeze-out merger under the Swiss Merger Act occurs, a minority shareholder subject to the squeeze-out merger could seek to claim, within two months of the publication of the squeeze-out merger, that the consideration offered is “inadequate” and petition a Swiss competent court to determine what “adequate” consideration is.</w:t>
      </w:r>
    </w:p>
    <w:p>
      <w:pPr>
        <w:spacing w:after="0" w:line="157"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In addition, under Swiss law, the sale of “all or substantially all of our assets” by us may require the approval of at least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6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225"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in a merger, demerger or transformation, equity or shareholder rights are not adequately preserved or the compensation paid is unreasonable, within two months after the publication of the merger, demerger or transformation resolution, each shareholder may demand that the competent court determines what is a reasonable amount of compensation. The decision of the court is legally binding on all shareholders of the company involved, provided that they are in the same legal position as the plaintiff. The costs of proceedings shall be borne by the acquiring company. If the particular circumstances justify it, the court may decide that the plaintiff shall bear all or part of the cost. An action to obtain a review of the protection of equity or shareholder rights does not affect the legal validity of the merger, demerger or transformation resolution.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Powers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overall management of the Company and the issuing of all necessary directives;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determination of the Company’s organization;</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are required for management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 managing and representing the Company;</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overall supervision of the persons entrusted with managing the Company, in particular with regard to compliance with the law, articles of association, operational regulations and directives;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compilation of the annual report, and the preparation for the general meeting of shareholders and implementing its resolutions;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preparation of the compensation report and to request approval by the general meeting of shareholders regarding the compensation of the board of directors and the executive committee;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notification of the court in the event that the Company is over-indebted.</w:t>
      </w:r>
    </w:p>
    <w:p>
      <w:pPr>
        <w:spacing w:after="0" w:line="22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board of directors may assign responsibility for preparing and implementing its resolutions or monitoring transactions to committees or individual members. It must ensure appropriate reporting to its members. Furthermore, the board of directors may, while retaining such non-delegable and inalienable powers and duties, delegate, in part or entirely, the management and the representation of the Company, within the limits of the law, to a one or more individual directors (Delegates) or to third parties pursuant to the organizational regulations issued by the board of directors.</w:t>
      </w:r>
    </w:p>
    <w:p>
      <w:pPr>
        <w:spacing w:after="0" w:line="15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Pursuant to Swiss law and Article 25 of our articles of association, details of the delegation and other procedural rules such as quorum requirements must be set in the organizational rules issued by the board of directors.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assigns the persons with signatory power for the Company and the kind of signatory power.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22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current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members of the executive management.</w:t>
      </w:r>
    </w:p>
    <w:p>
      <w:pPr>
        <w:spacing w:after="0" w:line="14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225"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Swiss law does not have a general provision regarding conflicts of interest. However, the CO contains a provision that requires our directors and the members of the executive management to safeguard the Company’s interests and imposes a duty of loyalty and duty of care on our directors and the members of the executive management. This rule is generally understood to disqualify directors and members of the executive management from participating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6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board of directors has adopted a Code of Business Conduct and Ethics that covers a broad range of matters, including the handling of conflicts of interest.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1" w:name="page52"/>
    <w:bookmarkEnd w:id="51"/>
    <w:p>
      <w:pPr>
        <w:ind w:left="18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Pursuant to Swiss law,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(as defined in section 14 of the Swiss Ordinance against Excessive Compensation in Listed Companies) granted by the Company, directly or indirectly, to current members of the board of directors and executive management as well as to former members of the board of directors and executive management but in the latter case only to the extent if such compensation is related to their former role within the Company or if such compensation is not on customary market terms.</w:t>
      </w:r>
    </w:p>
    <w:p>
      <w:pPr>
        <w:spacing w:after="0" w:line="16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disclosure concerning compensation must in particular include the aggregate amount for the board of directors and the aggregate amount for the executive management, as well as the particular amount of compensation for each member of the board of directors and the highest paid member of the executive management, specifying the name and function of each person.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660" w:right="4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general meeting of shareholders annually votes on the proposals of the board of directors with respect to:</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maximum aggregate amount of non-performance-related compensation of the board of directors for the next term of office;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maximum aggregate amount of a possible additional compensation of the board of directors for the preceding business year;</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maximum aggregate amount of non-performance-related compensation of the executive management for the 12-month period starting on 1 July following the ordinary general meeting of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maximum aggregate amount of variable compensation for the executive management for the current year;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maximum aggregate amount of options or shares in the Company granted to the board of directors and the executive management.</w:t>
      </w:r>
    </w:p>
    <w:p>
      <w:pPr>
        <w:spacing w:after="0" w:line="23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respective total compensation amounts include social security and occupational pension contributions for the benefit of the members of the board of directors, the executive management and the Company.</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2" w:name="page53"/>
    <w:bookmarkEnd w:id="52"/>
    <w:p>
      <w:pPr>
        <w:jc w:val="both"/>
        <w:ind w:firstLine="324"/>
        <w:spacing w:after="0" w:line="263" w:lineRule="auto"/>
        <w:rPr>
          <w:sz w:val="20"/>
          <w:szCs w:val="20"/>
          <w:color w:val="auto"/>
        </w:rPr>
      </w:pPr>
      <w:r>
        <w:rPr>
          <w:rFonts w:ascii="Arial" w:cs="Arial" w:eastAsia="Arial" w:hAnsi="Arial"/>
          <w:sz w:val="18"/>
          <w:szCs w:val="18"/>
          <w:color w:val="auto"/>
        </w:rPr>
        <w:t>If the general meeting of shareholders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of shareholders for approval.</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fixed compensation, members of the executive management may be paid in cash a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determines the relative weight of the performance criteria and the respective target values.</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Compensation may be paid in cash or granted in form of options or shares in the Company. The board of directors or, to the extent delegated to it, the compensation committee determines grant, vesting, exercise and forfeiture conditions.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If we own shares that exceed the threshold of 10 percent of our share capital, the excess must be sold or cancelled by means of a capital reduction within two years.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hold 4,235,023 fully paid up common shares of par value CHF 0.02 each, as treasury shares.</w:t>
      </w:r>
    </w:p>
    <w:p>
      <w:pPr>
        <w:spacing w:after="0" w:line="22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Shares of the Company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24"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Financial Market Infrastructure Act, FinMIA, do not apply to us since our shares are not listed on a Swiss stock exchange.</w:t>
      </w:r>
    </w:p>
    <w:p>
      <w:pPr>
        <w:spacing w:after="0" w:line="170"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shares are listed on the NASDAQ Global Market under the symbol “ACIU.”</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96" w:right="47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in 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440"/>
        <w:spacing w:after="0"/>
        <w:tabs>
          <w:tab w:leader="none" w:pos="738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240"/>
          </w:cols>
          <w:pgMar w:left="320" w:top="580" w:right="339" w:bottom="1440" w:gutter="0" w:footer="0" w:header="0"/>
        </w:sectPr>
      </w:pP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 sur la fusion</w:t>
      </w:r>
      <w:r>
        <w:rPr>
          <w:rFonts w:ascii="Arial" w:cs="Arial" w:eastAsia="Arial" w:hAnsi="Arial"/>
          <w:sz w:val="16"/>
          <w:szCs w:val="16"/>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9" w:lineRule="exact"/>
        <w:rPr>
          <w:sz w:val="20"/>
          <w:szCs w:val="20"/>
          <w:color w:val="auto"/>
        </w:rPr>
      </w:pPr>
    </w:p>
    <w:p>
      <w:pPr>
        <w:sectPr>
          <w:pgSz w:w="11900" w:h="16838" w:orient="portrait"/>
          <w:cols w:equalWidth="0" w:num="2">
            <w:col w:w="5580" w:space="280"/>
            <w:col w:w="5380"/>
          </w:cols>
          <w:pgMar w:left="320" w:top="580" w:right="339" w:bottom="1440" w:gutter="0" w:footer="0" w:header="0"/>
          <w:type w:val="continuous"/>
        </w:sectPr>
      </w:pPr>
    </w:p>
    <w:p>
      <w:pPr>
        <w:jc w:val="center"/>
        <w:ind w:right="60"/>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240"/>
          </w:cols>
          <w:pgMar w:left="320" w:top="580" w:right="339" w:bottom="1440" w:gutter="0" w:footer="0" w:header="0"/>
          <w:type w:val="continuous"/>
        </w:sectPr>
      </w:pPr>
    </w:p>
    <w:p>
      <w:pPr>
        <w:spacing w:after="0" w:line="8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18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p>
      <w:pPr>
        <w:spacing w:after="0" w:line="200" w:lineRule="exact"/>
        <w:rPr>
          <w:sz w:val="20"/>
          <w:szCs w:val="20"/>
          <w:color w:val="auto"/>
        </w:rPr>
      </w:pPr>
    </w:p>
    <w:p>
      <w:pPr>
        <w:sectPr>
          <w:pgSz w:w="11900" w:h="16838" w:orient="portrait"/>
          <w:cols w:equalWidth="0" w:num="2">
            <w:col w:w="5580" w:space="280"/>
            <w:col w:w="5380"/>
          </w:cols>
          <w:pgMar w:left="320" w:top="580" w:right="339" w:bottom="1440" w:gutter="0" w:footer="0" w:header="0"/>
          <w:type w:val="continuous"/>
        </w:sectPr>
      </w:pP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55" w:name="page56"/>
    <w:bookmarkEnd w:id="55"/>
    <w:p>
      <w:pPr>
        <w:ind w:left="1440"/>
        <w:spacing w:after="0"/>
        <w:tabs>
          <w:tab w:leader="none" w:pos="738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220"/>
          </w:cols>
          <w:pgMar w:left="320" w:top="607" w:right="359" w:bottom="1440" w:gutter="0" w:footer="0" w:header="0"/>
        </w:sectPr>
      </w:pP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aggregate amount of compensation of the members of the board of directors, of the executive committee and of the advisory boards.</w:t>
      </w:r>
    </w:p>
    <w:p>
      <w:pPr>
        <w:spacing w:after="0" w:line="2" w:lineRule="exact"/>
        <w:rPr>
          <w:sz w:val="20"/>
          <w:szCs w:val="20"/>
          <w:color w:val="auto"/>
        </w:rPr>
      </w:pPr>
    </w:p>
    <w:p>
      <w:pPr>
        <w:sectPr>
          <w:pgSz w:w="11900" w:h="16838" w:orient="portrait"/>
          <w:cols w:equalWidth="0" w:num="2">
            <w:col w:w="5520" w:space="340"/>
            <w:col w:w="5360"/>
          </w:cols>
          <w:pgMar w:left="320" w:top="607" w:right="35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220"/>
          </w:cols>
          <w:pgMar w:left="320" w:top="607" w:right="359" w:bottom="1440" w:gutter="0" w:footer="0" w:header="0"/>
          <w:type w:val="continuous"/>
        </w:sectPr>
      </w:pP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general meeting of shareholders elects the members of the board of directors, the chairperson of the board of directors and the members of the compensation committee individually and annually for a term of office until the end of the following general meeting of shareholders. Re-election is possible.</w:t>
      </w:r>
    </w:p>
    <w:p>
      <w:pPr>
        <w:spacing w:after="0" w:line="241" w:lineRule="exact"/>
        <w:rPr>
          <w:sz w:val="20"/>
          <w:szCs w:val="20"/>
          <w:color w:val="auto"/>
        </w:rPr>
      </w:pPr>
    </w:p>
    <w:p>
      <w:pPr>
        <w:sectPr>
          <w:pgSz w:w="11900" w:h="16838" w:orient="portrait"/>
          <w:cols w:equalWidth="0" w:num="2">
            <w:col w:w="5460" w:space="400"/>
            <w:col w:w="5360"/>
          </w:cols>
          <w:pgMar w:left="320" w:top="607" w:right="35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220"/>
          </w:cols>
          <w:pgMar w:left="320" w:top="607" w:right="359" w:bottom="1440" w:gutter="0" w:footer="0" w:header="0"/>
          <w:type w:val="continuous"/>
        </w:sectPr>
      </w:pPr>
    </w:p>
    <w:p>
      <w:pPr>
        <w:spacing w:after="0" w:line="8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192" w:lineRule="exact"/>
        <w:rPr>
          <w:sz w:val="20"/>
          <w:szCs w:val="20"/>
          <w:color w:val="auto"/>
        </w:rPr>
      </w:pPr>
    </w:p>
    <w:p>
      <w:pPr>
        <w:ind w:left="160" w:right="860" w:hanging="152"/>
        <w:spacing w:after="0" w:line="277" w:lineRule="auto"/>
        <w:tabs>
          <w:tab w:leader="none" w:pos="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160" w:right="100" w:hanging="152"/>
        <w:spacing w:after="0" w:line="277" w:lineRule="auto"/>
        <w:tabs>
          <w:tab w:leader="none" w:pos="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160" w:right="460" w:hanging="152"/>
        <w:spacing w:after="0" w:line="277" w:lineRule="auto"/>
        <w:tabs>
          <w:tab w:leader="none" w:pos="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170" w:lineRule="exact"/>
        <w:rPr>
          <w:rFonts w:ascii="Arial" w:cs="Arial" w:eastAsia="Arial" w:hAnsi="Arial"/>
          <w:sz w:val="18"/>
          <w:szCs w:val="18"/>
          <w:color w:val="auto"/>
        </w:rPr>
      </w:pPr>
    </w:p>
    <w:p>
      <w:pPr>
        <w:ind w:left="160" w:right="540" w:hanging="152"/>
        <w:spacing w:after="0" w:line="277" w:lineRule="auto"/>
        <w:tabs>
          <w:tab w:leader="none" w:pos="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7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5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828" w:lineRule="exact"/>
        <w:rPr>
          <w:sz w:val="20"/>
          <w:szCs w:val="20"/>
          <w:color w:val="auto"/>
        </w:rPr>
      </w:pPr>
    </w:p>
    <w:p>
      <w:pPr>
        <w:sectPr>
          <w:pgSz w:w="11900" w:h="16838" w:orient="portrait"/>
          <w:cols w:equalWidth="0" w:num="2">
            <w:col w:w="5640" w:space="220"/>
            <w:col w:w="5360"/>
          </w:cols>
          <w:pgMar w:left="320" w:top="607" w:right="359" w:bottom="1440" w:gutter="0" w:footer="0" w:header="0"/>
          <w:type w:val="continuous"/>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56" w:name="page57"/>
    <w:bookmarkEnd w:id="56"/>
    <w:p>
      <w:pPr>
        <w:ind w:left="1500"/>
        <w:spacing w:after="0"/>
        <w:tabs>
          <w:tab w:leader="none" w:pos="744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Directors’ fiduciary duties</w:t>
      </w:r>
    </w:p>
    <w:p>
      <w:pPr>
        <w:sectPr>
          <w:pgSz w:w="11900" w:h="16838" w:orient="portrait"/>
          <w:cols w:equalWidth="0" w:num="1">
            <w:col w:w="11200"/>
          </w:cols>
          <w:pgMar w:left="320" w:top="607" w:right="379" w:bottom="1440" w:gutter="0" w:footer="0" w:header="0"/>
        </w:sectPr>
      </w:pP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170" w:lineRule="exact"/>
        <w:rPr>
          <w:sz w:val="20"/>
          <w:szCs w:val="20"/>
          <w:color w:val="auto"/>
        </w:rPr>
      </w:pPr>
    </w:p>
    <w:p>
      <w:pPr>
        <w:ind w:left="220" w:hanging="8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225" w:lineRule="exact"/>
        <w:rPr>
          <w:rFonts w:ascii="Arial" w:cs="Arial" w:eastAsia="Arial" w:hAnsi="Arial"/>
          <w:sz w:val="18"/>
          <w:szCs w:val="18"/>
          <w:color w:val="auto"/>
        </w:rPr>
      </w:pPr>
    </w:p>
    <w:p>
      <w:pPr>
        <w:ind w:left="220" w:hanging="8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8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20"/>
        <w:spacing w:after="0" w:line="275"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176" w:lineRule="exact"/>
        <w:rPr>
          <w:sz w:val="20"/>
          <w:szCs w:val="20"/>
          <w:color w:val="auto"/>
        </w:rPr>
      </w:pPr>
    </w:p>
    <w:p>
      <w:pPr>
        <w:ind w:left="147" w:right="640" w:hanging="147"/>
        <w:spacing w:after="0" w:line="277" w:lineRule="auto"/>
        <w:tabs>
          <w:tab w:leader="none" w:pos="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pacing w:after="0" w:line="170" w:lineRule="exact"/>
        <w:rPr>
          <w:rFonts w:ascii="Arial" w:cs="Arial" w:eastAsia="Arial" w:hAnsi="Arial"/>
          <w:sz w:val="18"/>
          <w:szCs w:val="18"/>
          <w:color w:val="auto"/>
        </w:rPr>
      </w:pPr>
    </w:p>
    <w:p>
      <w:pPr>
        <w:ind w:left="87" w:hanging="87"/>
        <w:spacing w:after="0"/>
        <w:tabs>
          <w:tab w:leader="none" w:pos="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225" w:lineRule="exact"/>
        <w:rPr>
          <w:rFonts w:ascii="Arial" w:cs="Arial" w:eastAsia="Arial" w:hAnsi="Arial"/>
          <w:sz w:val="18"/>
          <w:szCs w:val="18"/>
          <w:color w:val="auto"/>
        </w:rPr>
      </w:pPr>
    </w:p>
    <w:p>
      <w:pPr>
        <w:jc w:val="right"/>
        <w:ind w:left="147" w:right="500" w:hanging="147"/>
        <w:spacing w:after="0" w:line="342" w:lineRule="auto"/>
        <w:tabs>
          <w:tab w:leader="none" w:pos="8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organization of the accounting, financial control and financial planning systems as required for management of the corporation;</w:t>
      </w:r>
    </w:p>
    <w:p>
      <w:pPr>
        <w:spacing w:after="0" w:line="123" w:lineRule="exact"/>
        <w:rPr>
          <w:rFonts w:ascii="Arial" w:cs="Arial" w:eastAsia="Arial" w:hAnsi="Arial"/>
          <w:sz w:val="16"/>
          <w:szCs w:val="16"/>
          <w:color w:val="auto"/>
        </w:rPr>
      </w:pPr>
    </w:p>
    <w:p>
      <w:pPr>
        <w:ind w:left="147" w:right="160" w:hanging="147"/>
        <w:spacing w:after="0" w:line="277" w:lineRule="auto"/>
        <w:tabs>
          <w:tab w:leader="none" w:pos="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 managing and representing the corporation;</w:t>
      </w:r>
    </w:p>
    <w:p>
      <w:pPr>
        <w:spacing w:after="0" w:line="170" w:lineRule="exact"/>
        <w:rPr>
          <w:rFonts w:ascii="Arial" w:cs="Arial" w:eastAsia="Arial" w:hAnsi="Arial"/>
          <w:sz w:val="18"/>
          <w:szCs w:val="18"/>
          <w:color w:val="auto"/>
        </w:rPr>
      </w:pPr>
    </w:p>
    <w:p>
      <w:pPr>
        <w:ind w:left="147" w:right="500" w:hanging="147"/>
        <w:spacing w:after="0" w:line="311" w:lineRule="auto"/>
        <w:tabs>
          <w:tab w:leader="none" w:pos="81" w:val="left"/>
        </w:tabs>
        <w:numPr>
          <w:ilvl w:val="0"/>
          <w:numId w:val="34"/>
        </w:numPr>
        <w:rPr>
          <w:rFonts w:ascii="Arial" w:cs="Arial" w:eastAsia="Arial" w:hAnsi="Arial"/>
          <w:sz w:val="16"/>
          <w:szCs w:val="16"/>
          <w:color w:val="auto"/>
        </w:rPr>
      </w:pPr>
      <w:r>
        <w:rPr>
          <w:rFonts w:ascii="Arial" w:cs="Arial" w:eastAsia="Arial" w:hAnsi="Arial"/>
          <w:sz w:val="16"/>
          <w:szCs w:val="16"/>
          <w:color w:val="auto"/>
        </w:rPr>
        <w:t>overall supervision of the persons entrusted with managing the corporation, in particular with regard to compliance with the law, articles of association, operational regulations and directives;</w:t>
      </w:r>
    </w:p>
    <w:p>
      <w:pPr>
        <w:spacing w:after="0" w:line="148" w:lineRule="exact"/>
        <w:rPr>
          <w:rFonts w:ascii="Arial" w:cs="Arial" w:eastAsia="Arial" w:hAnsi="Arial"/>
          <w:sz w:val="16"/>
          <w:szCs w:val="16"/>
          <w:color w:val="auto"/>
        </w:rPr>
      </w:pPr>
    </w:p>
    <w:p>
      <w:pPr>
        <w:ind w:left="147" w:hanging="147"/>
        <w:spacing w:after="0" w:line="308" w:lineRule="auto"/>
        <w:tabs>
          <w:tab w:leader="none" w:pos="81"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compilation of the annual report, preparation for the general meeting, the compensation report and implementation of its resolutions; and</w:t>
      </w:r>
    </w:p>
    <w:p>
      <w:pPr>
        <w:spacing w:after="0" w:line="146" w:lineRule="exact"/>
        <w:rPr>
          <w:rFonts w:ascii="Arial" w:cs="Arial" w:eastAsia="Arial" w:hAnsi="Arial"/>
          <w:sz w:val="17"/>
          <w:szCs w:val="17"/>
          <w:color w:val="auto"/>
        </w:rPr>
      </w:pPr>
    </w:p>
    <w:p>
      <w:pPr>
        <w:ind w:left="87" w:hanging="87"/>
        <w:spacing w:after="0"/>
        <w:tabs>
          <w:tab w:leader="none" w:pos="87"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notification of the court in the event that the company is overindebted.</w:t>
      </w:r>
    </w:p>
    <w:p>
      <w:pPr>
        <w:spacing w:after="0" w:line="237"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34" w:lineRule="exact"/>
        <w:rPr>
          <w:sz w:val="20"/>
          <w:szCs w:val="20"/>
          <w:color w:val="auto"/>
        </w:rPr>
      </w:pPr>
    </w:p>
    <w:p>
      <w:pPr>
        <w:ind w:left="7" w:right="260" w:firstLine="324"/>
        <w:spacing w:after="0" w:line="342" w:lineRule="auto"/>
        <w:rPr>
          <w:sz w:val="20"/>
          <w:szCs w:val="20"/>
          <w:color w:val="auto"/>
        </w:rPr>
      </w:pPr>
      <w:r>
        <w:rPr>
          <w:rFonts w:ascii="Arial" w:cs="Arial" w:eastAsia="Arial" w:hAnsi="Arial"/>
          <w:sz w:val="16"/>
          <w:szCs w:val="16"/>
          <w:color w:val="auto"/>
        </w:rPr>
        <w:t>The burden of proof for a violation of these duties is with the corporation or with the shareholder bringing a suit against the director.</w:t>
      </w:r>
    </w:p>
    <w:p>
      <w:pPr>
        <w:spacing w:after="0" w:line="178" w:lineRule="exact"/>
        <w:rPr>
          <w:sz w:val="20"/>
          <w:szCs w:val="20"/>
          <w:color w:val="auto"/>
        </w:rPr>
      </w:pPr>
    </w:p>
    <w:p>
      <w:pPr>
        <w:sectPr>
          <w:pgSz w:w="11900" w:h="16838" w:orient="portrait"/>
          <w:cols w:equalWidth="0" w:num="2">
            <w:col w:w="5640" w:space="213"/>
            <w:col w:w="5347"/>
          </w:cols>
          <w:pgMar w:left="320" w:top="607" w:right="379" w:bottom="1440" w:gutter="0" w:footer="0" w:header="0"/>
          <w:type w:val="continuous"/>
        </w:sectPr>
      </w:pPr>
    </w:p>
    <w:p>
      <w:pPr>
        <w:jc w:val="center"/>
        <w:ind w:right="-59"/>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200"/>
          </w:cols>
          <w:pgMar w:left="320" w:top="607" w:right="379" w:bottom="1440" w:gutter="0" w:footer="0" w:header="0"/>
          <w:type w:val="continuous"/>
        </w:sectPr>
      </w:pPr>
    </w:p>
    <w:p>
      <w:pPr>
        <w:spacing w:after="0" w:line="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80" w:lineRule="exact"/>
        <w:rPr>
          <w:sz w:val="20"/>
          <w:szCs w:val="20"/>
          <w:color w:val="auto"/>
        </w:rPr>
      </w:pPr>
    </w:p>
    <w:p>
      <w:pPr>
        <w:sectPr>
          <w:pgSz w:w="11900" w:h="16838" w:orient="portrait"/>
          <w:cols w:equalWidth="0" w:num="2">
            <w:col w:w="5540" w:space="320"/>
            <w:col w:w="5340"/>
          </w:cols>
          <w:pgMar w:left="320" w:top="607" w:right="37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type w:val="continuous"/>
        </w:sectPr>
      </w:pPr>
    </w:p>
    <w:bookmarkStart w:id="57" w:name="page58"/>
    <w:bookmarkEnd w:id="57"/>
    <w:p>
      <w:pPr>
        <w:ind w:left="1500"/>
        <w:spacing w:after="0"/>
        <w:tabs>
          <w:tab w:leader="none" w:pos="744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Shareholder proposals</w:t>
      </w:r>
    </w:p>
    <w:p>
      <w:pPr>
        <w:sectPr>
          <w:pgSz w:w="11900" w:h="16838" w:orient="portrait"/>
          <w:cols w:equalWidth="0" w:num="1">
            <w:col w:w="11240"/>
          </w:cols>
          <w:pgMar w:left="320" w:top="607" w:right="339" w:bottom="1440" w:gutter="0" w:footer="0" w:header="0"/>
        </w:sectPr>
      </w:pP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spacing w:after="0" w:line="257" w:lineRule="auto"/>
        <w:rPr>
          <w:sz w:val="20"/>
          <w:szCs w:val="20"/>
          <w:color w:val="auto"/>
        </w:rPr>
      </w:pPr>
      <w:r>
        <w:rPr>
          <w:rFonts w:ascii="Arial" w:cs="Arial" w:eastAsia="Arial" w:hAnsi="Arial"/>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188" w:lineRule="exact"/>
        <w:rPr>
          <w:sz w:val="20"/>
          <w:szCs w:val="20"/>
          <w:color w:val="auto"/>
        </w:rPr>
      </w:pPr>
    </w:p>
    <w:p>
      <w:pPr>
        <w:ind w:left="147" w:right="140" w:hanging="147"/>
        <w:spacing w:after="0" w:line="263" w:lineRule="auto"/>
        <w:tabs>
          <w:tab w:leader="none" w:pos="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shareholders together representing at least 10% of the share capital may demand that a general meeting of shareholders be called for specific agenda items and specific proposals; and</w:t>
      </w:r>
    </w:p>
    <w:p>
      <w:pPr>
        <w:spacing w:after="0" w:line="183" w:lineRule="exact"/>
        <w:rPr>
          <w:rFonts w:ascii="Arial" w:cs="Arial" w:eastAsia="Arial" w:hAnsi="Arial"/>
          <w:sz w:val="18"/>
          <w:szCs w:val="18"/>
          <w:color w:val="auto"/>
        </w:rPr>
      </w:pPr>
    </w:p>
    <w:p>
      <w:pPr>
        <w:ind w:left="147" w:right="20" w:hanging="147"/>
        <w:spacing w:after="0" w:line="301" w:lineRule="auto"/>
        <w:tabs>
          <w:tab w:leader="none" w:pos="81"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shareholders together representing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57" w:lineRule="exact"/>
        <w:rPr>
          <w:sz w:val="20"/>
          <w:szCs w:val="20"/>
          <w:color w:val="auto"/>
        </w:rPr>
      </w:pPr>
    </w:p>
    <w:p>
      <w:pPr>
        <w:jc w:val="both"/>
        <w:ind w:left="7" w:right="420" w:firstLine="324"/>
        <w:spacing w:after="0" w:line="263" w:lineRule="auto"/>
        <w:rPr>
          <w:sz w:val="20"/>
          <w:szCs w:val="20"/>
          <w:color w:val="auto"/>
        </w:rPr>
      </w:pPr>
      <w:r>
        <w:rPr>
          <w:rFonts w:ascii="Arial" w:cs="Arial" w:eastAsia="Arial" w:hAnsi="Arial"/>
          <w:sz w:val="18"/>
          <w:szCs w:val="18"/>
          <w:color w:val="auto"/>
        </w:rPr>
        <w:t>Any shareholder can propose candidates for election as directors provided that the election of board members has been included as an agenda item.</w:t>
      </w:r>
    </w:p>
    <w:p>
      <w:pPr>
        <w:spacing w:after="0" w:line="184" w:lineRule="exact"/>
        <w:rPr>
          <w:sz w:val="20"/>
          <w:szCs w:val="20"/>
          <w:color w:val="auto"/>
        </w:rPr>
      </w:pPr>
    </w:p>
    <w:p>
      <w:pPr>
        <w:ind w:left="7" w:right="140"/>
        <w:spacing w:after="0" w:line="270" w:lineRule="auto"/>
        <w:rPr>
          <w:sz w:val="20"/>
          <w:szCs w:val="20"/>
          <w:color w:val="auto"/>
        </w:rPr>
      </w:pPr>
      <w:r>
        <w:rPr>
          <w:rFonts w:ascii="Arial" w:cs="Arial" w:eastAsia="Arial" w:hAnsi="Arial"/>
          <w:sz w:val="17"/>
          <w:szCs w:val="17"/>
          <w:color w:val="auto"/>
        </w:rPr>
        <w:t>In addition, any shareholder is entitled, at a general meeting of shareholders and without advance notice, to (i) request information from the board of directors on the affairs of the company (note, however, that the right to obtain such information is limited), (ii) request information from the auditors on the methods and results of their audit, (iii) request that the general meeting of shareholders resolve to convene an extraordinary general meeting, or (iv) request that the general meeting of shareholders resolve to appoint an examiner to carry out a special examination.</w:t>
      </w:r>
    </w:p>
    <w:p>
      <w:pPr>
        <w:spacing w:after="0" w:line="19" w:lineRule="exact"/>
        <w:rPr>
          <w:sz w:val="20"/>
          <w:szCs w:val="20"/>
          <w:color w:val="auto"/>
        </w:rPr>
      </w:pPr>
    </w:p>
    <w:p>
      <w:pPr>
        <w:sectPr>
          <w:pgSz w:w="11900" w:h="16838" w:orient="portrait"/>
          <w:cols w:equalWidth="0" w:num="2">
            <w:col w:w="5640" w:space="213"/>
            <w:col w:w="5387"/>
          </w:cols>
          <w:pgMar w:left="320" w:top="607"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240"/>
          </w:cols>
          <w:pgMar w:left="320" w:top="607" w:right="339" w:bottom="1440" w:gutter="0" w:footer="0" w:header="0"/>
          <w:type w:val="continuous"/>
        </w:sectPr>
      </w:pPr>
    </w:p>
    <w:p>
      <w:pPr>
        <w:spacing w:after="0" w:line="8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aggregate amount of compensation for the members of the board of directors and the executive committee as well as for the members of the advisory board, if applicable, is mandatory for listed companies. Re-election is permitted.</w:t>
      </w:r>
    </w:p>
    <w:p>
      <w:pPr>
        <w:spacing w:after="0" w:line="91" w:lineRule="exact"/>
        <w:rPr>
          <w:sz w:val="20"/>
          <w:szCs w:val="20"/>
          <w:color w:val="auto"/>
        </w:rPr>
      </w:pPr>
    </w:p>
    <w:p>
      <w:pPr>
        <w:sectPr>
          <w:pgSz w:w="11900" w:h="16838" w:orient="portrait"/>
          <w:cols w:equalWidth="0" w:num="2">
            <w:col w:w="5400" w:space="460"/>
            <w:col w:w="5380"/>
          </w:cols>
          <w:pgMar w:left="320" w:top="607"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58" w:name="page59"/>
    <w:bookmarkEnd w:id="58"/>
    <w:p>
      <w:pPr>
        <w:ind w:left="1500"/>
        <w:spacing w:after="0"/>
        <w:tabs>
          <w:tab w:leader="none" w:pos="744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Removal of directors</w:t>
      </w:r>
    </w:p>
    <w:p>
      <w:pPr>
        <w:sectPr>
          <w:pgSz w:w="11900" w:h="16838" w:orient="portrait"/>
          <w:cols w:equalWidth="0" w:num="1">
            <w:col w:w="11180"/>
          </w:cols>
          <w:pgMar w:left="320" w:top="607" w:right="399" w:bottom="1440" w:gutter="0" w:footer="0" w:header="0"/>
        </w:sectPr>
      </w:pPr>
    </w:p>
    <w:p>
      <w:pPr>
        <w:spacing w:after="0" w:line="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Swiss corporation may remove, with or without cause, any director at any time with a resolution passed by a simple majority of the votes cast at a general meeting of shareholders concerned. The articles of association may require the approval by a qualified majority of the shares represented at a meeting for the removal of a director.</w:t>
      </w:r>
    </w:p>
    <w:p>
      <w:pPr>
        <w:spacing w:after="0" w:line="14" w:lineRule="exact"/>
        <w:rPr>
          <w:sz w:val="20"/>
          <w:szCs w:val="20"/>
          <w:color w:val="auto"/>
        </w:rPr>
      </w:pPr>
    </w:p>
    <w:p>
      <w:pPr>
        <w:sectPr>
          <w:pgSz w:w="11900" w:h="16838" w:orient="portrait"/>
          <w:cols w:equalWidth="0" w:num="2">
            <w:col w:w="5300" w:space="560"/>
            <w:col w:w="5320"/>
          </w:cols>
          <w:pgMar w:left="320" w:top="607"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i w:val="1"/>
          <w:iCs w:val="1"/>
          <w:color w:val="auto"/>
        </w:rPr>
        <w:t>Transactions with interested shareholders</w:t>
      </w:r>
    </w:p>
    <w:p>
      <w:pPr>
        <w:sectPr>
          <w:pgSz w:w="11900" w:h="16838" w:orient="portrait"/>
          <w:cols w:equalWidth="0" w:num="1">
            <w:col w:w="11180"/>
          </w:cols>
          <w:pgMar w:left="320" w:top="607" w:right="399" w:bottom="1440" w:gutter="0" w:footer="0" w:header="0"/>
          <w:type w:val="continuous"/>
        </w:sectPr>
      </w:pPr>
    </w:p>
    <w:p>
      <w:pPr>
        <w:spacing w:after="0" w:line="8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No such rule applies to a Swiss corporation.</w:t>
      </w:r>
    </w:p>
    <w:p>
      <w:pPr>
        <w:spacing w:after="0" w:line="1165" w:lineRule="exact"/>
        <w:rPr>
          <w:sz w:val="20"/>
          <w:szCs w:val="20"/>
          <w:color w:val="auto"/>
        </w:rPr>
      </w:pPr>
    </w:p>
    <w:p>
      <w:pPr>
        <w:sectPr>
          <w:pgSz w:w="11900" w:h="16838" w:orient="portrait"/>
          <w:cols w:equalWidth="0" w:num="2">
            <w:col w:w="5420" w:space="440"/>
            <w:col w:w="5320"/>
          </w:cols>
          <w:pgMar w:left="320" w:top="607"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i w:val="1"/>
          <w:iCs w:val="1"/>
          <w:color w:val="auto"/>
        </w:rPr>
        <w:t>Dissolution; Winding up</w:t>
      </w:r>
    </w:p>
    <w:p>
      <w:pPr>
        <w:sectPr>
          <w:pgSz w:w="11900" w:h="16838" w:orient="portrait"/>
          <w:cols w:equalWidth="0" w:num="1">
            <w:col w:w="11180"/>
          </w:cols>
          <w:pgMar w:left="320" w:top="607" w:right="399" w:bottom="1440" w:gutter="0" w:footer="0" w:header="0"/>
          <w:type w:val="continuous"/>
        </w:sectPr>
      </w:pPr>
    </w:p>
    <w:p>
      <w:pPr>
        <w:spacing w:after="0" w:line="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415" w:lineRule="exact"/>
        <w:rPr>
          <w:sz w:val="20"/>
          <w:szCs w:val="20"/>
          <w:color w:val="auto"/>
        </w:rPr>
      </w:pPr>
    </w:p>
    <w:p>
      <w:pPr>
        <w:sectPr>
          <w:pgSz w:w="11900" w:h="16838" w:orient="portrait"/>
          <w:cols w:equalWidth="0" w:num="2">
            <w:col w:w="5600" w:space="260"/>
            <w:col w:w="5320"/>
          </w:cols>
          <w:pgMar w:left="320" w:top="607" w:right="399" w:bottom="1440" w:gutter="0" w:footer="0" w:header="0"/>
          <w:type w:val="continuous"/>
        </w:sectPr>
      </w:pPr>
    </w:p>
    <w:p>
      <w:pPr>
        <w:jc w:val="center"/>
        <w:ind w:right="-7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180"/>
          </w:cols>
          <w:pgMar w:left="320" w:top="607" w:right="399" w:bottom="1440" w:gutter="0" w:footer="0" w:header="0"/>
          <w:type w:val="continuous"/>
        </w:sectPr>
      </w:pPr>
    </w:p>
    <w:p>
      <w:pPr>
        <w:spacing w:after="0" w:line="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general shareholder meeting of a Swiss corporation may resolve that preference shares be issued or that existing shares be converted into preference shares with a resolution passed by a simple majority of the votes cast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200" w:lineRule="exact"/>
        <w:rPr>
          <w:sz w:val="20"/>
          <w:szCs w:val="20"/>
          <w:color w:val="auto"/>
        </w:rPr>
      </w:pPr>
    </w:p>
    <w:p>
      <w:pPr>
        <w:sectPr>
          <w:pgSz w:w="11900" w:h="16838" w:orient="portrait"/>
          <w:cols w:equalWidth="0" w:num="2">
            <w:col w:w="5220" w:space="640"/>
            <w:col w:w="5320"/>
          </w:cols>
          <w:pgMar w:left="320" w:top="607" w:right="399" w:bottom="1440" w:gutter="0" w:footer="0" w:header="0"/>
          <w:type w:val="continuous"/>
        </w:sect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type w:val="continuous"/>
        </w:sectPr>
      </w:pPr>
    </w:p>
    <w:bookmarkStart w:id="59" w:name="page60"/>
    <w:bookmarkEnd w:id="59"/>
    <w:p>
      <w:pPr>
        <w:ind w:left="1440"/>
        <w:spacing w:after="0"/>
        <w:tabs>
          <w:tab w:leader="none" w:pos="738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Amendment of governing documents</w:t>
      </w:r>
    </w:p>
    <w:p>
      <w:pPr>
        <w:sectPr>
          <w:pgSz w:w="11900" w:h="16838" w:orient="portrait"/>
          <w:cols w:equalWidth="0" w:num="1">
            <w:col w:w="11240"/>
          </w:cols>
          <w:pgMar w:left="320" w:top="607" w:right="339" w:bottom="1440" w:gutter="0" w:footer="0" w:header="0"/>
        </w:sectPr>
      </w:pP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articles of association of a Swiss corporation may be amended with a resolution passed by a simple majority of the votes cast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p>
      <w:pPr>
        <w:spacing w:after="0" w:line="4" w:lineRule="exact"/>
        <w:rPr>
          <w:sz w:val="20"/>
          <w:szCs w:val="20"/>
          <w:color w:val="auto"/>
        </w:rPr>
      </w:pPr>
    </w:p>
    <w:p>
      <w:pPr>
        <w:sectPr>
          <w:pgSz w:w="11900" w:h="16838" w:orient="portrait"/>
          <w:cols w:equalWidth="0" w:num="2">
            <w:col w:w="5380" w:space="480"/>
            <w:col w:w="5380"/>
          </w:cols>
          <w:pgMar w:left="320" w:top="607"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Inspection of Books and Records</w:t>
      </w:r>
    </w:p>
    <w:p>
      <w:pPr>
        <w:sectPr>
          <w:pgSz w:w="11900" w:h="16838" w:orient="portrait"/>
          <w:cols w:equalWidth="0" w:num="1">
            <w:col w:w="11240"/>
          </w:cols>
          <w:pgMar w:left="320" w:top="607" w:right="339" w:bottom="1440" w:gutter="0" w:footer="0" w:header="0"/>
          <w:type w:val="continuous"/>
        </w:sectPr>
      </w:pPr>
    </w:p>
    <w:p>
      <w:pPr>
        <w:spacing w:after="0" w:line="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34" w:lineRule="exact"/>
        <w:rPr>
          <w:sz w:val="20"/>
          <w:szCs w:val="20"/>
          <w:color w:val="auto"/>
        </w:rPr>
      </w:pPr>
    </w:p>
    <w:p>
      <w:pPr>
        <w:sectPr>
          <w:pgSz w:w="11900" w:h="16838" w:orient="portrait"/>
          <w:cols w:equalWidth="0" w:num="2">
            <w:col w:w="5560" w:space="300"/>
            <w:col w:w="5380"/>
          </w:cols>
          <w:pgMar w:left="320" w:top="607"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240"/>
          </w:cols>
          <w:pgMar w:left="320" w:top="607" w:right="339" w:bottom="1440" w:gutter="0" w:footer="0" w:header="0"/>
          <w:type w:val="continuous"/>
        </w:sectPr>
      </w:pP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87" w:lineRule="exact"/>
        <w:rPr>
          <w:sz w:val="20"/>
          <w:szCs w:val="20"/>
          <w:color w:val="auto"/>
        </w:rPr>
      </w:pPr>
    </w:p>
    <w:p>
      <w:pPr>
        <w:ind w:left="100" w:hanging="92"/>
        <w:spacing w:after="0"/>
        <w:tabs>
          <w:tab w:leader="none" w:pos="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160" w:right="260" w:hanging="152"/>
        <w:spacing w:after="0" w:line="342" w:lineRule="auto"/>
        <w:tabs>
          <w:tab w:leader="none" w:pos="94"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2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4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200" w:lineRule="exact"/>
        <w:rPr>
          <w:sz w:val="20"/>
          <w:szCs w:val="20"/>
          <w:color w:val="auto"/>
        </w:rPr>
      </w:pPr>
    </w:p>
    <w:p>
      <w:pPr>
        <w:sectPr>
          <w:pgSz w:w="11900" w:h="16838" w:orient="portrait"/>
          <w:cols w:equalWidth="0" w:num="2">
            <w:col w:w="5580" w:space="280"/>
            <w:col w:w="5380"/>
          </w:cols>
          <w:pgMar w:left="320" w:top="607" w:right="339" w:bottom="1440" w:gutter="0" w:footer="0" w:header="0"/>
          <w:type w:val="continuous"/>
        </w:sectPr>
      </w:pP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60" w:name="page61"/>
    <w:bookmarkEnd w:id="60"/>
    <w:p>
      <w:pPr>
        <w:ind w:left="1440"/>
        <w:spacing w:after="0"/>
        <w:tabs>
          <w:tab w:leader="none" w:pos="738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Creation and issuance of new shares</w:t>
      </w:r>
    </w:p>
    <w:p>
      <w:pPr>
        <w:sectPr>
          <w:pgSz w:w="11900" w:h="16838" w:orient="portrait"/>
          <w:cols w:equalWidth="0" w:num="1">
            <w:col w:w="11160"/>
          </w:cols>
          <w:pgMar w:left="320" w:top="607" w:right="419" w:bottom="1440" w:gutter="0" w:footer="0" w:header="0"/>
        </w:sectPr>
      </w:pP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creation of shares require a shareholders’ resolution. An authorized or contingent capital increase requires at least two-thirds of the voting rights represented at the general meeting of shareholders and an absolute majority of the nominal value of shares represented. Authorized shares can be, once created by shareholder resolution, issued by the board of directors (subject to fulfillment of the authorization). Conditional shares are created and issued through the exercise of options and conversion rights related to debt instruments issued by the board of directors or such rights issued to employees.</w:t>
      </w:r>
    </w:p>
    <w:p>
      <w:pPr>
        <w:spacing w:after="0" w:line="100" w:lineRule="exact"/>
        <w:rPr>
          <w:sz w:val="20"/>
          <w:szCs w:val="20"/>
          <w:color w:val="auto"/>
        </w:rPr>
      </w:pPr>
    </w:p>
    <w:p>
      <w:pPr>
        <w:sectPr>
          <w:pgSz w:w="11900" w:h="16838" w:orient="portrait"/>
          <w:cols w:equalWidth="0" w:num="2">
            <w:col w:w="5620" w:space="240"/>
            <w:col w:w="5300"/>
          </w:cols>
          <w:pgMar w:left="320" w:top="607" w:right="41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07" w:right="419" w:bottom="1440" w:gutter="0" w:footer="0" w:header="0"/>
          <w:type w:val="continuous"/>
        </w:sectPr>
      </w:pPr>
    </w:p>
    <w:bookmarkStart w:id="61" w:name="page62"/>
    <w:bookmarkEnd w:id="61"/>
    <w:p>
      <w:pPr>
        <w:jc w:val="center"/>
        <w:ind w:right="-7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debt securities will be either senior debt securities or subordinated debt securities and may be secured or unsecured and may be exchangeable for and/or convertible into other securities, including our common shares.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62" w:name="page63"/>
    <w:bookmarkEnd w:id="62"/>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may issue warrants to purchase debt securities, common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The terms of any warrants to be issued and a description of the material provisions of the applicable warrant agreement will be set forth in the applicable prospectus supplement.</w:t>
      </w: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63" w:name="page64"/>
    <w:bookmarkEnd w:id="63"/>
    <w:p>
      <w:pPr>
        <w:ind w:left="3740"/>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issue purchase contracts for the purchase or sale of equity securities issued by us.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Each purchase contract will entitle the holder thereof to purchase or sell, and obligate us to sell or purchase, on specified dates, such equity securities issued by us at a specified purchase price, which may be based on a formula,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Any purchase contracts we issue will be physically settled by delivery of the securities.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64" w:name="page65"/>
    <w:bookmarkEnd w:id="64"/>
    <w:p>
      <w:pPr>
        <w:jc w:val="center"/>
        <w:ind w:right="-2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common shares, debt securities, warrants or any combination of such securities.</w:t>
      </w: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580" w:right="57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following is a general description of the terms of the subscription rights we may issue from time to time. Particular terms of any subscription rights we offer will be described in the prospectus supplement or free writing prospectus relating to such subscription rights, and may differ from the terms described herein.</w:t>
      </w:r>
    </w:p>
    <w:p>
      <w:pPr>
        <w:spacing w:after="0" w:line="18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may issue subscription rights to purchase our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applicable prospectus supplement will describe the specific terms of any offering of subscription rights for which this prospectus is being delivered, including the following:</w:t>
      </w:r>
    </w:p>
    <w:p>
      <w:pPr>
        <w:spacing w:after="0" w:line="17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common shares or warrants for those securities will be offered under the shareholder subscription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exercise price payable for each security upon the exercise of the subscription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subscription rights issued to each shareholder;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and terms of the securities which may be purchased per each subscription right;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25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date on which the right to exercise the subscription rights shall commence, and the date on which the subscription rights shall expire;</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6" w:name="page67"/>
    <w:bookmarkEnd w:id="66"/>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appropriate, a discussion of material U.S. federal income tax considerations; and</w:t>
      </w:r>
    </w:p>
    <w:p>
      <w:pPr>
        <w:spacing w:after="0" w:line="252"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entered into by us in connection with the offering of subscription rights.</w:t>
      </w:r>
    </w:p>
    <w:p>
      <w:pPr>
        <w:spacing w:after="0" w:line="19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Standby Arrangements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sell the securities in one or more of the following ways (or in any combination) from time to time:</w:t>
      </w:r>
    </w:p>
    <w:p>
      <w:pPr>
        <w:spacing w:after="0" w:line="225"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225" w:lineRule="exact"/>
        <w:rPr>
          <w:rFonts w:ascii="Arial" w:cs="Arial" w:eastAsia="Arial" w:hAnsi="Arial"/>
          <w:sz w:val="18"/>
          <w:szCs w:val="18"/>
          <w:color w:val="auto"/>
        </w:rPr>
      </w:pPr>
    </w:p>
    <w:p>
      <w:pPr>
        <w:ind w:left="340" w:right="2340" w:firstLine="316"/>
        <w:spacing w:after="0" w:line="500" w:lineRule="auto"/>
        <w:tabs>
          <w:tab w:leader="none" w:pos="9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described in the applicable prospectus supplement. The prospectus supplement will state the terms of the offering of the securities, including:</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23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If underwriters are used in in the sale, the securities will be acquired by the underwriters for their own account and may be resold from time to time in one or more transactions, including:</w:t>
      </w:r>
    </w:p>
    <w:p>
      <w:pPr>
        <w:spacing w:after="0" w:line="170"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70"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ind w:right="460" w:firstLine="324"/>
        <w:spacing w:after="0" w:line="342" w:lineRule="auto"/>
        <w:rPr>
          <w:sz w:val="20"/>
          <w:szCs w:val="20"/>
          <w:color w:val="auto"/>
        </w:rPr>
      </w:pPr>
      <w:r>
        <w:rPr>
          <w:rFonts w:ascii="Arial" w:cs="Arial" w:eastAsia="Arial" w:hAnsi="Arial"/>
          <w:sz w:val="16"/>
          <w:szCs w:val="16"/>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2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and our affiliates in the ordinary course of business.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Each series of securities will be a new issue of securities and will have no established trading market, other than our common shares, which are listed on the NASDAQ Global Market. Any underwriters to whom securities are sold for public offering and sale may make a market in the securities, but such underwriters will not be obligated to do so and may discontinue any market making at any time without notice. The securities, other than our common shares, may or may not be listed on a national securities exchange.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incorporate by reference herein:</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2020 Annual Report on Form 20-F for the fiscal year ended December 31, 2020; and</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reports on Form 6-K furnished to the SEC on March 23, 2021 (only with respect to “Item 1.C—2020 and 2019 Board Compensation” and “Item 2.C—2020 and 2019 Executive Compensation” of Exhibit 99.4), March 31, 2021 and April 28, 2021 (only with respect to Exhibits 99.1 and 99.2).</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34"/>
        </w:trPr>
        <w:tc>
          <w:tcPr>
            <w:tcW w:w="9680" w:type="dxa"/>
            <w:vAlign w:val="bottom"/>
            <w:tcBorders>
              <w:bottom w:val="single" w:sz="8" w:color="D5EAEA"/>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 Be Paid</w:t>
            </w:r>
          </w:p>
        </w:tc>
        <w:tc>
          <w:tcPr>
            <w:tcW w:w="0" w:type="dxa"/>
            <w:vAlign w:val="bottom"/>
          </w:tcPr>
          <w:p>
            <w:pPr>
              <w:spacing w:after="0"/>
              <w:rPr>
                <w:sz w:val="1"/>
                <w:szCs w:val="1"/>
                <w:color w:val="auto"/>
              </w:rPr>
            </w:pPr>
          </w:p>
        </w:tc>
      </w:tr>
      <w:tr>
        <w:trPr>
          <w:trHeight w:val="210"/>
        </w:trPr>
        <w:tc>
          <w:tcPr>
            <w:tcW w:w="9680" w:type="dxa"/>
            <w:vAlign w:val="bottom"/>
            <w:shd w:val="clear" w:color="auto" w:fill="D5EAEA"/>
          </w:tcPr>
          <w:p>
            <w:pPr>
              <w:spacing w:after="0"/>
              <w:rPr>
                <w:sz w:val="20"/>
                <w:szCs w:val="20"/>
                <w:color w:val="auto"/>
              </w:rPr>
            </w:pPr>
            <w:r>
              <w:rPr>
                <w:rFonts w:ascii="Arial" w:cs="Arial" w:eastAsia="Arial" w:hAnsi="Arial"/>
                <w:sz w:val="18"/>
                <w:szCs w:val="18"/>
                <w:color w:val="auto"/>
              </w:rPr>
              <w:t>SEC registration fee**</w:t>
            </w:r>
          </w:p>
        </w:tc>
        <w:tc>
          <w:tcPr>
            <w:tcW w:w="220" w:type="dxa"/>
            <w:vAlign w:val="bottom"/>
            <w:shd w:val="clear" w:color="auto" w:fill="D5EAEA"/>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38,185</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FINRA filing fee</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16"/>
        </w:trPr>
        <w:tc>
          <w:tcPr>
            <w:tcW w:w="9680" w:type="dxa"/>
            <w:vAlign w:val="bottom"/>
            <w:shd w:val="clear" w:color="auto" w:fill="D5EAEA"/>
          </w:tcPr>
          <w:p>
            <w:pPr>
              <w:spacing w:after="0"/>
              <w:rPr>
                <w:sz w:val="20"/>
                <w:szCs w:val="20"/>
                <w:color w:val="auto"/>
              </w:rPr>
            </w:pPr>
            <w:r>
              <w:rPr>
                <w:rFonts w:ascii="Arial" w:cs="Arial" w:eastAsia="Arial" w:hAnsi="Arial"/>
                <w:sz w:val="18"/>
                <w:szCs w:val="18"/>
                <w:color w:val="auto"/>
              </w:rPr>
              <w:t>Transfer agent’s fees</w:t>
            </w:r>
          </w:p>
        </w:tc>
        <w:tc>
          <w:tcPr>
            <w:tcW w:w="2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shd w:val="clear" w:color="auto" w:fill="D5EAEA"/>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shd w:val="clear" w:color="auto" w:fill="D5EAEA"/>
          </w:tcPr>
          <w:p>
            <w:pPr>
              <w:spacing w:after="0"/>
              <w:rPr>
                <w:sz w:val="20"/>
                <w:szCs w:val="20"/>
                <w:color w:val="auto"/>
              </w:rPr>
            </w:pPr>
            <w:r>
              <w:rPr>
                <w:rFonts w:ascii="Arial" w:cs="Arial" w:eastAsia="Arial" w:hAnsi="Arial"/>
                <w:sz w:val="18"/>
                <w:szCs w:val="18"/>
                <w:color w:val="auto"/>
              </w:rPr>
              <w:t>Miscellaneous</w:t>
            </w:r>
          </w:p>
        </w:tc>
        <w:tc>
          <w:tcPr>
            <w:tcW w:w="220" w:type="dxa"/>
            <w:vAlign w:val="bottom"/>
            <w:tcBorders>
              <w:bottom w:val="single" w:sz="8" w:color="auto"/>
            </w:tcBorders>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880" w:firstLine="2"/>
        <w:spacing w:after="0" w:line="527" w:lineRule="auto"/>
        <w:tabs>
          <w:tab w:leader="none" w:pos="3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 ** Includes the $24,375 previously paid in connection with unsold securities pursuant to Rule 415(a)(6).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validity of our common shares and certain other matters of Swiss law will be passed upon for us by Bär &amp; Karrer Ltd., Zurich, Switzerland.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Certain matters of U.S. federal and New York State law will be passed upon for us by Davis Polk &amp; Wardwell LLP, New York, New York.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20-F for the year ended December 31, 2020 have been so incorporated in reliance on the report of PricewaterhouseCoopers SA, an independent registered public accounting firm, given on the authority of said firm as experts in auditing and accounting. PricewaterhouseCoopers SA is a member of EXPERTsuisse — Swiss Expert Association for Audit, Tax and Fiduciary.</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534670</wp:posOffset>
            </wp:positionV>
            <wp:extent cx="2125980" cy="6686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2125980" cy="6686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Up to $80,000,000</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Shares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PROSPECTUS SUPPLEMENT</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Jefferies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2"/>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212"/>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4"/>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2021-05-05T16:04:50Z</dcterms:created>
  <dcterms:modified xsi:type="dcterms:W3CDTF">2021-05-05T16:04:50Z</dcterms:modified>
</cp:coreProperties>
</file>