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238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23824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Twyman Roy Ervin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8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AC Immune SA</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ACIU</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EPFL INNOVATION PARK,</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BUILDING B</w:t>
      </w:r>
    </w:p>
    <w:p>
      <w:pPr>
        <w:spacing w:after="0" w:line="37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200" w:val="left"/>
        </w:tabs>
        <w:rPr>
          <w:sz w:val="20"/>
          <w:szCs w:val="20"/>
          <w:color w:val="auto"/>
        </w:rPr>
      </w:pPr>
      <w:r>
        <w:rPr>
          <w:rFonts w:ascii="Times New Roman" w:cs="Times New Roman" w:eastAsia="Times New Roman" w:hAnsi="Times New Roman"/>
          <w:sz w:val="20"/>
          <w:szCs w:val="20"/>
          <w:color w:val="0000FF"/>
        </w:rPr>
        <w:t>LAUSANNE</w:t>
      </w:r>
      <w:r>
        <w:rPr>
          <w:sz w:val="20"/>
          <w:szCs w:val="20"/>
          <w:color w:val="auto"/>
        </w:rPr>
        <w:tab/>
      </w:r>
      <w:r>
        <w:rPr>
          <w:rFonts w:ascii="Times New Roman" w:cs="Times New Roman" w:eastAsia="Times New Roman" w:hAnsi="Times New Roman"/>
          <w:sz w:val="20"/>
          <w:szCs w:val="20"/>
          <w:color w:val="0000FF"/>
        </w:rPr>
        <w:t>1015</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20"/>
                <w:szCs w:val="20"/>
                <w:color w:val="0000FF"/>
                <w:w w:val="91"/>
              </w:rPr>
              <w:t>75,988</w:t>
            </w:r>
            <w:r>
              <w:rPr>
                <w:rFonts w:ascii="Times New Roman" w:cs="Times New Roman" w:eastAsia="Times New Roman" w:hAnsi="Times New Roman"/>
                <w:sz w:val="25"/>
                <w:szCs w:val="25"/>
                <w:color w:val="008000"/>
                <w:w w:val="91"/>
                <w:vertAlign w:val="superscript"/>
              </w:rPr>
              <w:t>(1)</w:t>
            </w: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9"/>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3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70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3"/>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940" w:type="dxa"/>
            <w:vAlign w:val="bottom"/>
            <w:gridSpan w:val="3"/>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2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3"/>
          </w:tcPr>
          <w:p>
            <w:pPr>
              <w:ind w:left="30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06/27/2029</w:t>
            </w:r>
          </w:p>
        </w:tc>
        <w:tc>
          <w:tcPr>
            <w:tcW w:w="1620" w:type="dxa"/>
            <w:vAlign w:val="bottom"/>
          </w:tcPr>
          <w:p>
            <w:pPr>
              <w:jc w:val="center"/>
              <w:ind w:left="150"/>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0000FF"/>
              </w:rPr>
              <w:t>36,932</w:t>
            </w:r>
          </w:p>
        </w:tc>
        <w:tc>
          <w:tcPr>
            <w:tcW w:w="4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0000FF"/>
              </w:rPr>
              <w:t>5.39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06/25/2030</w:t>
            </w:r>
          </w:p>
        </w:tc>
        <w:tc>
          <w:tcPr>
            <w:tcW w:w="1620" w:type="dxa"/>
            <w:vAlign w:val="bottom"/>
          </w:tcPr>
          <w:p>
            <w:pPr>
              <w:jc w:val="center"/>
              <w:ind w:left="150"/>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0000FF"/>
              </w:rPr>
              <w:t>15,714</w:t>
            </w:r>
          </w:p>
        </w:tc>
        <w:tc>
          <w:tcPr>
            <w:tcW w:w="4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0000FF"/>
              </w:rPr>
              <w:t>6.95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06/24/2031</w:t>
            </w:r>
          </w:p>
        </w:tc>
        <w:tc>
          <w:tcPr>
            <w:tcW w:w="1620" w:type="dxa"/>
            <w:vAlign w:val="bottom"/>
          </w:tcPr>
          <w:p>
            <w:pPr>
              <w:jc w:val="center"/>
              <w:ind w:left="150"/>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0000FF"/>
              </w:rPr>
              <w:t>12,865</w:t>
            </w:r>
          </w:p>
        </w:tc>
        <w:tc>
          <w:tcPr>
            <w:tcW w:w="4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0000FF"/>
              </w:rPr>
              <w:t>7.23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06/23/2032</w:t>
            </w:r>
          </w:p>
        </w:tc>
        <w:tc>
          <w:tcPr>
            <w:tcW w:w="1620" w:type="dxa"/>
            <w:vAlign w:val="bottom"/>
          </w:tcPr>
          <w:p>
            <w:pPr>
              <w:jc w:val="center"/>
              <w:ind w:left="150"/>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0000FF"/>
              </w:rPr>
              <w:t>23,204</w:t>
            </w:r>
          </w:p>
        </w:tc>
        <w:tc>
          <w:tcPr>
            <w:tcW w:w="4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0000FF"/>
              </w:rPr>
              <w:t>3.15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06/23/2033</w:t>
            </w:r>
          </w:p>
        </w:tc>
        <w:tc>
          <w:tcPr>
            <w:tcW w:w="1620" w:type="dxa"/>
            <w:vAlign w:val="bottom"/>
          </w:tcPr>
          <w:p>
            <w:pPr>
              <w:jc w:val="center"/>
              <w:ind w:left="150"/>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0000FF"/>
              </w:rPr>
              <w:t>37,168</w:t>
            </w:r>
          </w:p>
        </w:tc>
        <w:tc>
          <w:tcPr>
            <w:tcW w:w="4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0000FF"/>
              </w:rPr>
              <w:t>2.15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06/30/2034</w:t>
            </w:r>
          </w:p>
        </w:tc>
        <w:tc>
          <w:tcPr>
            <w:tcW w:w="1620" w:type="dxa"/>
            <w:vAlign w:val="bottom"/>
          </w:tcPr>
          <w:p>
            <w:pPr>
              <w:jc w:val="center"/>
              <w:ind w:left="150"/>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0000FF"/>
              </w:rPr>
              <w:t>14,094</w:t>
            </w:r>
          </w:p>
        </w:tc>
        <w:tc>
          <w:tcPr>
            <w:tcW w:w="4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0000FF"/>
              </w:rPr>
              <w:t>4.23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06/17/2035</w:t>
            </w:r>
          </w:p>
        </w:tc>
        <w:tc>
          <w:tcPr>
            <w:tcW w:w="1620" w:type="dxa"/>
            <w:vAlign w:val="bottom"/>
          </w:tcPr>
          <w:p>
            <w:pPr>
              <w:jc w:val="center"/>
              <w:ind w:left="150"/>
              <w:spacing w:after="0"/>
              <w:rPr>
                <w:sz w:val="20"/>
                <w:szCs w:val="20"/>
                <w:color w:val="auto"/>
              </w:rPr>
            </w:pPr>
            <w:r>
              <w:rPr>
                <w:rFonts w:ascii="Times New Roman" w:cs="Times New Roman" w:eastAsia="Times New Roman" w:hAnsi="Times New Roman"/>
                <w:sz w:val="20"/>
                <w:szCs w:val="20"/>
                <w:color w:val="0000FF"/>
                <w:w w:val="97"/>
              </w:rPr>
              <w:t>Common Shares</w:t>
            </w: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0000FF"/>
              </w:rPr>
              <w:t>43,299</w:t>
            </w:r>
          </w:p>
        </w:tc>
        <w:tc>
          <w:tcPr>
            <w:tcW w:w="4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0000FF"/>
              </w:rPr>
              <w:t>1.84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008000"/>
              </w:rPr>
              <w:t>1. Includes 49,988 common shares underlying outstanding restricted share units.</w:t>
            </w: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2. The share option is fully vested.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008000"/>
              </w:rPr>
              <w:t>3. The share option will fully vest on June 17, 2026.</w:t>
            </w: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5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5"/>
              </w:rPr>
              <w:t>/s/ Matthias Maurer,</w:t>
            </w:r>
          </w:p>
        </w:tc>
        <w:tc>
          <w:tcPr>
            <w:tcW w:w="36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94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 Roy</w:t>
            </w:r>
          </w:p>
        </w:tc>
        <w:tc>
          <w:tcPr>
            <w:tcW w:w="2400" w:type="dxa"/>
            <w:vAlign w:val="bottom"/>
            <w:gridSpan w:val="4"/>
          </w:tcPr>
          <w:p>
            <w:pPr>
              <w:ind w:left="240"/>
              <w:spacing w:after="0" w:line="220" w:lineRule="exact"/>
              <w:rPr>
                <w:sz w:val="20"/>
                <w:szCs w:val="20"/>
                <w:color w:val="auto"/>
              </w:rPr>
            </w:pPr>
            <w:r>
              <w:rPr>
                <w:rFonts w:ascii="Times New Roman" w:cs="Times New Roman" w:eastAsia="Times New Roman" w:hAnsi="Times New Roman"/>
                <w:sz w:val="20"/>
                <w:szCs w:val="20"/>
                <w:color w:val="0000FF"/>
              </w:rPr>
              <w:t>03/18/2026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2"/>
              </w:rPr>
              <w:t>Twyman</w:t>
            </w:r>
          </w:p>
        </w:tc>
        <w:tc>
          <w:tcPr>
            <w:tcW w:w="320" w:type="dxa"/>
            <w:vAlign w:val="bottom"/>
            <w:tcBorders>
              <w:top w:val="single" w:sz="8" w:color="auto"/>
            </w:tcBorders>
            <w:gridSpan w:val="2"/>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9980"/>
        <w:spacing w:after="0"/>
        <w:rPr>
          <w:sz w:val="20"/>
          <w:szCs w:val="20"/>
          <w:color w:val="auto"/>
        </w:rPr>
      </w:pPr>
      <w:r>
        <w:rPr>
          <w:rFonts w:ascii="Times New Roman" w:cs="Times New Roman" w:eastAsia="Times New Roman" w:hAnsi="Times New Roman"/>
          <w:sz w:val="20"/>
          <w:szCs w:val="20"/>
          <w:b w:val="1"/>
          <w:bCs w:val="1"/>
          <w:color w:val="262626"/>
        </w:rPr>
        <w:t>Exhibit 24</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62626"/>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 xml:space="preserve">Know all by these presents, that the undersigned hereby constitutes and appoints each of </w:t>
      </w:r>
      <w:r>
        <w:rPr>
          <w:rFonts w:ascii="Times New Roman" w:cs="Times New Roman" w:eastAsia="Times New Roman" w:hAnsi="Times New Roman"/>
          <w:sz w:val="20"/>
          <w:szCs w:val="20"/>
          <w:b w:val="1"/>
          <w:bCs w:val="1"/>
          <w:color w:val="262626"/>
        </w:rPr>
        <w:t>Christopher Roberts, Tim Kay 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 xml:space="preserve">Matthias Maurer </w:t>
      </w:r>
      <w:r>
        <w:rPr>
          <w:rFonts w:ascii="Times New Roman" w:cs="Times New Roman" w:eastAsia="Times New Roman" w:hAnsi="Times New Roman"/>
          <w:sz w:val="20"/>
          <w:szCs w:val="20"/>
          <w:color w:val="262626"/>
        </w:rPr>
        <w:t>as the undersigned's true and lawful attorneys-in-fact to:</w:t>
      </w:r>
    </w:p>
    <w:p>
      <w:pPr>
        <w:spacing w:after="0" w:line="230" w:lineRule="exact"/>
        <w:rPr>
          <w:sz w:val="20"/>
          <w:szCs w:val="20"/>
          <w:color w:val="auto"/>
        </w:rPr>
      </w:pPr>
    </w:p>
    <w:p>
      <w:pPr>
        <w:jc w:val="both"/>
        <w:ind w:left="720" w:right="80" w:hanging="360"/>
        <w:spacing w:after="0" w:line="258" w:lineRule="auto"/>
        <w:tabs>
          <w:tab w:leader="none" w:pos="720" w:val="left"/>
        </w:tabs>
        <w:numPr>
          <w:ilvl w:val="0"/>
          <w:numId w:val="4"/>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 w:cs="Times New Roman" w:eastAsia="Times New Roman" w:hAnsi="Times New Roman"/>
          <w:sz w:val="20"/>
          <w:szCs w:val="20"/>
          <w:b w:val="1"/>
          <w:bCs w:val="1"/>
          <w:color w:val="262626"/>
        </w:rPr>
        <w:t>("EDGAR")</w:t>
      </w:r>
      <w:r>
        <w:rPr>
          <w:rFonts w:ascii="Times New Roman" w:cs="Times New Roman" w:eastAsia="Times New Roman" w:hAnsi="Times New Roman"/>
          <w:sz w:val="20"/>
          <w:szCs w:val="20"/>
          <w:color w:val="262626"/>
        </w:rPr>
        <w:t xml:space="preserve"> system or successor EDGAR Next, including identification codes, verification codes, passwords and password management codes, and any related annual ce1tifications or confirmations, and to act as the undersigned's agent for such purposes;</w:t>
      </w:r>
    </w:p>
    <w:p>
      <w:pPr>
        <w:spacing w:after="0" w:line="204" w:lineRule="exact"/>
        <w:rPr>
          <w:rFonts w:ascii="Times New Roman" w:cs="Times New Roman" w:eastAsia="Times New Roman" w:hAnsi="Times New Roman"/>
          <w:sz w:val="20"/>
          <w:szCs w:val="20"/>
          <w:color w:val="262626"/>
        </w:rPr>
      </w:pPr>
    </w:p>
    <w:p>
      <w:pPr>
        <w:ind w:left="720" w:right="120" w:hanging="360"/>
        <w:spacing w:after="0" w:line="266" w:lineRule="auto"/>
        <w:tabs>
          <w:tab w:leader="none" w:pos="720" w:val="left"/>
        </w:tabs>
        <w:numPr>
          <w:ilvl w:val="0"/>
          <w:numId w:val="4"/>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execute for and on behalf of the undersigned, in the undersigned's capacity as a reporting person pursuant to Section 16 of the Securities Exchange Act of 1934, as amended (the </w:t>
      </w:r>
      <w:r>
        <w:rPr>
          <w:rFonts w:ascii="Times New Roman" w:cs="Times New Roman" w:eastAsia="Times New Roman" w:hAnsi="Times New Roman"/>
          <w:sz w:val="20"/>
          <w:szCs w:val="20"/>
          <w:b w:val="1"/>
          <w:bCs w:val="1"/>
          <w:color w:val="262626"/>
        </w:rPr>
        <w:t>"Exchange Act"),</w:t>
      </w:r>
      <w:r>
        <w:rPr>
          <w:rFonts w:ascii="Times New Roman" w:cs="Times New Roman" w:eastAsia="Times New Roman" w:hAnsi="Times New Roman"/>
          <w:sz w:val="20"/>
          <w:szCs w:val="20"/>
          <w:color w:val="262626"/>
        </w:rPr>
        <w:t xml:space="preserve"> and the rules thereunder of AC Immune SA (the </w:t>
      </w:r>
      <w:r>
        <w:rPr>
          <w:rFonts w:ascii="Times New Roman" w:cs="Times New Roman" w:eastAsia="Times New Roman" w:hAnsi="Times New Roman"/>
          <w:sz w:val="20"/>
          <w:szCs w:val="20"/>
          <w:b w:val="1"/>
          <w:bCs w:val="1"/>
          <w:color w:val="262626"/>
        </w:rPr>
        <w:t xml:space="preserve">"Company"), </w:t>
      </w:r>
      <w:r>
        <w:rPr>
          <w:rFonts w:ascii="Times New Roman" w:cs="Times New Roman" w:eastAsia="Times New Roman" w:hAnsi="Times New Roman"/>
          <w:sz w:val="20"/>
          <w:szCs w:val="20"/>
          <w:color w:val="262626"/>
        </w:rPr>
        <w:t>Forms 3, 4 and 5, including any amendments thereto, in accordance with Section 16(a) of the Exchange Act;</w:t>
      </w:r>
    </w:p>
    <w:p>
      <w:pPr>
        <w:spacing w:after="0" w:line="195" w:lineRule="exact"/>
        <w:rPr>
          <w:rFonts w:ascii="Times New Roman" w:cs="Times New Roman" w:eastAsia="Times New Roman" w:hAnsi="Times New Roman"/>
          <w:sz w:val="20"/>
          <w:szCs w:val="20"/>
          <w:color w:val="262626"/>
        </w:rPr>
      </w:pPr>
    </w:p>
    <w:p>
      <w:pPr>
        <w:ind w:left="720" w:right="40" w:hanging="360"/>
        <w:spacing w:after="0" w:line="261" w:lineRule="auto"/>
        <w:tabs>
          <w:tab w:leader="none" w:pos="720" w:val="left"/>
        </w:tabs>
        <w:numPr>
          <w:ilvl w:val="0"/>
          <w:numId w:val="4"/>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 w:cs="Times New Roman" w:eastAsia="Times New Roman" w:hAnsi="Times New Roman"/>
          <w:sz w:val="20"/>
          <w:szCs w:val="20"/>
          <w:b w:val="1"/>
          <w:bCs w:val="1"/>
          <w:color w:val="262626"/>
        </w:rPr>
        <w:t>"SEC")</w:t>
      </w:r>
      <w:r>
        <w:rPr>
          <w:rFonts w:ascii="Times New Roman" w:cs="Times New Roman" w:eastAsia="Times New Roman" w:hAnsi="Times New Roman"/>
          <w:sz w:val="20"/>
          <w:szCs w:val="20"/>
          <w:color w:val="262626"/>
        </w:rPr>
        <w:t xml:space="preserve"> and any applicable stock exchange or similar authority;</w:t>
      </w:r>
    </w:p>
    <w:p>
      <w:pPr>
        <w:spacing w:after="0" w:line="200" w:lineRule="exact"/>
        <w:rPr>
          <w:rFonts w:ascii="Times New Roman" w:cs="Times New Roman" w:eastAsia="Times New Roman" w:hAnsi="Times New Roman"/>
          <w:sz w:val="20"/>
          <w:szCs w:val="20"/>
          <w:color w:val="262626"/>
        </w:rPr>
      </w:pPr>
    </w:p>
    <w:p>
      <w:pPr>
        <w:ind w:left="720" w:right="60" w:hanging="360"/>
        <w:spacing w:after="0" w:line="261" w:lineRule="auto"/>
        <w:tabs>
          <w:tab w:leader="none" w:pos="720" w:val="left"/>
        </w:tabs>
        <w:numPr>
          <w:ilvl w:val="0"/>
          <w:numId w:val="4"/>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prepare, execute and file, or cause to be prepared, executed and filed, on behalf of the undersigned one or more Forms 144, or any amendments thereto, relating to any sales orders (including in connection with the exercise of options to purchase the Company's common stock </w:t>
      </w:r>
      <w:r>
        <w:rPr>
          <w:rFonts w:ascii="Times New Roman" w:cs="Times New Roman" w:eastAsia="Times New Roman" w:hAnsi="Times New Roman"/>
          <w:sz w:val="20"/>
          <w:szCs w:val="20"/>
          <w:b w:val="1"/>
          <w:bCs w:val="1"/>
          <w:color w:val="262626"/>
        </w:rPr>
        <w:t>("common stock"),</w:t>
      </w:r>
      <w:r>
        <w:rPr>
          <w:rFonts w:ascii="Times New Roman" w:cs="Times New Roman" w:eastAsia="Times New Roman" w:hAnsi="Times New Roman"/>
          <w:sz w:val="20"/>
          <w:szCs w:val="20"/>
          <w:color w:val="262626"/>
        </w:rPr>
        <w:t xml:space="preserve"> orally or electronically, to sell shares of common stock to the public from time to time in accordance with Rule 144 under the Securities Act of 1933, as amended; and</w:t>
      </w:r>
    </w:p>
    <w:p>
      <w:pPr>
        <w:spacing w:after="0" w:line="200" w:lineRule="exact"/>
        <w:rPr>
          <w:rFonts w:ascii="Times New Roman" w:cs="Times New Roman" w:eastAsia="Times New Roman" w:hAnsi="Times New Roman"/>
          <w:sz w:val="20"/>
          <w:szCs w:val="20"/>
          <w:color w:val="262626"/>
        </w:rPr>
      </w:pPr>
    </w:p>
    <w:p>
      <w:pPr>
        <w:ind w:left="720" w:right="80" w:hanging="360"/>
        <w:spacing w:after="0" w:line="258" w:lineRule="auto"/>
        <w:tabs>
          <w:tab w:leader="none" w:pos="720" w:val="left"/>
        </w:tabs>
        <w:numPr>
          <w:ilvl w:val="0"/>
          <w:numId w:val="4"/>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62626"/>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IN WITNESS WHEREOF, the undersigned has caused this Power of Attorney to be executed as of this 12</w:t>
      </w:r>
      <w:r>
        <w:rPr>
          <w:rFonts w:ascii="Times New Roman" w:cs="Times New Roman" w:eastAsia="Times New Roman" w:hAnsi="Times New Roman"/>
          <w:sz w:val="33"/>
          <w:szCs w:val="33"/>
          <w:color w:val="262626"/>
          <w:vertAlign w:val="superscript"/>
        </w:rPr>
        <w:t>th</w:t>
      </w:r>
      <w:r>
        <w:rPr>
          <w:rFonts w:ascii="Times New Roman" w:cs="Times New Roman" w:eastAsia="Times New Roman" w:hAnsi="Times New Roman"/>
          <w:sz w:val="20"/>
          <w:szCs w:val="20"/>
          <w:color w:val="262626"/>
        </w:rPr>
        <w:t xml:space="preserve"> day of February,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Signature:/s/ Roy E. Twyman</w:t>
      </w:r>
    </w:p>
    <w:p>
      <w:pPr>
        <w:spacing w:after="0" w:line="20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262626"/>
        </w:rPr>
        <w:t>Name:</w:t>
        <w:tab/>
        <w:t>Roy E. Twyman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-132715</wp:posOffset>
            </wp:positionV>
            <wp:extent cx="642302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42302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724535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00"/>
      </w:cols>
      <w:pgMar w:left="480" w:top="38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17542" TargetMode="External"/><Relationship Id="rId11" Type="http://schemas.openxmlformats.org/officeDocument/2006/relationships/hyperlink" Target="http://www.sec.gov/cgi-bin/browse-edgar?action=getcompany&amp;CIK=00016516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2026-03-18T11:35:42Z</dcterms:created>
  <dcterms:modified xsi:type="dcterms:W3CDTF">2026-03-18T11:35:42Z</dcterms:modified>
</cp:coreProperties>
</file>