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5"/>
          <w:szCs w:val="25"/>
          <w:color w:val="auto"/>
        </w:rPr>
        <w:drawing>
          <wp:anchor simplePos="0" relativeHeight="251657728" behindDoc="1" locked="0" layoutInCell="0" allowOverlap="1">
            <wp:simplePos x="0" y="0"/>
            <wp:positionH relativeFrom="page">
              <wp:posOffset>208280</wp:posOffset>
            </wp:positionH>
            <wp:positionV relativeFrom="page">
              <wp:posOffset>320040</wp:posOffset>
            </wp:positionV>
            <wp:extent cx="71323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372110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0" w:lineRule="exact"/>
        <w:rPr>
          <w:sz w:val="24"/>
          <w:szCs w:val="24"/>
          <w:color w:val="auto"/>
        </w:rPr>
      </w:pPr>
    </w:p>
    <w:p>
      <w:pPr>
        <w:jc w:val="center"/>
        <w:spacing w:after="0"/>
        <w:rPr>
          <w:sz w:val="20"/>
          <w:szCs w:val="20"/>
          <w:color w:val="auto"/>
        </w:rPr>
      </w:pPr>
      <w:r>
        <w:rPr>
          <w:rFonts w:ascii="Arial" w:cs="Arial" w:eastAsia="Arial" w:hAnsi="Arial"/>
          <w:sz w:val="25"/>
          <w:szCs w:val="25"/>
          <w:color w:val="auto"/>
        </w:rPr>
        <w:t>SECURITIES AND EXCHANGE COMMISSION</w:t>
      </w:r>
    </w:p>
    <w:p>
      <w:pPr>
        <w:jc w:val="center"/>
        <w:spacing w:after="0"/>
        <w:rPr>
          <w:sz w:val="20"/>
          <w:szCs w:val="20"/>
          <w:color w:val="auto"/>
        </w:rPr>
      </w:pPr>
      <w:r>
        <w:rPr>
          <w:rFonts w:ascii="Arial" w:cs="Arial" w:eastAsia="Arial" w:hAnsi="Arial"/>
          <w:sz w:val="23"/>
          <w:szCs w:val="23"/>
          <w:color w:val="auto"/>
        </w:rPr>
        <w:t>Washington, D.C. 20549</w:t>
      </w:r>
    </w:p>
    <w:p>
      <w:pPr>
        <w:spacing w:after="0" w:line="259"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FORM 6-K</w:t>
      </w:r>
    </w:p>
    <w:p>
      <w:pPr>
        <w:spacing w:after="0" w:line="307" w:lineRule="exact"/>
        <w:rPr>
          <w:sz w:val="24"/>
          <w:szCs w:val="24"/>
          <w:color w:val="auto"/>
        </w:rPr>
      </w:pPr>
    </w:p>
    <w:p>
      <w:pPr>
        <w:jc w:val="center"/>
        <w:spacing w:after="0" w:line="282" w:lineRule="auto"/>
        <w:rPr>
          <w:sz w:val="20"/>
          <w:szCs w:val="20"/>
          <w:color w:val="auto"/>
        </w:rPr>
      </w:pPr>
      <w:r>
        <w:rPr>
          <w:rFonts w:ascii="Arial" w:cs="Arial" w:eastAsia="Arial" w:hAnsi="Arial"/>
          <w:sz w:val="25"/>
          <w:szCs w:val="25"/>
          <w:b w:val="1"/>
          <w:bCs w:val="1"/>
          <w:color w:val="auto"/>
        </w:rPr>
        <w:t>REPORT OF FOREIGN PRIVATE ISSUER PURSUANT TO RULE 13a-16 OR 15d-16 UNDER THE SECURITIES EXCHANGE ACT OF 1934</w:t>
      </w:r>
    </w:p>
    <w:p>
      <w:pPr>
        <w:spacing w:after="0" w:line="22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 the month of November, 2021</w:t>
      </w:r>
    </w:p>
    <w:p>
      <w:pPr>
        <w:spacing w:after="0" w:line="2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001-37891</w:t>
      </w:r>
    </w:p>
    <w:p>
      <w:pPr>
        <w:spacing w:after="0" w:line="220"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AC IMMUNE SA</w:t>
      </w:r>
    </w:p>
    <w:p>
      <w:pPr>
        <w:spacing w:after="0" w:line="3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0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EPFL Innovation Park</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Building B</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1015 Lausanne, Switzerland</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(Address of Principal Executive Offices)</w:t>
      </w:r>
    </w:p>
    <w:p>
      <w:pPr>
        <w:spacing w:after="0" w:line="21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Indicate by check mark whether the registrant files or will file annual reports under cover of Form 20-F or Form 40-F.</w:t>
      </w:r>
    </w:p>
    <w:p>
      <w:pPr>
        <w:spacing w:after="0" w:line="192" w:lineRule="exact"/>
        <w:rPr>
          <w:sz w:val="24"/>
          <w:szCs w:val="24"/>
          <w:color w:val="auto"/>
        </w:rPr>
      </w:pPr>
    </w:p>
    <w:p>
      <w:pPr>
        <w:ind w:left="3600"/>
        <w:spacing w:after="0" w:line="207" w:lineRule="exact"/>
        <w:tabs>
          <w:tab w:leader="none" w:pos="6400" w:val="left"/>
        </w:tabs>
        <w:rPr>
          <w:sz w:val="20"/>
          <w:szCs w:val="20"/>
          <w:color w:val="auto"/>
        </w:rPr>
      </w:pPr>
      <w:r>
        <w:rPr>
          <w:rFonts w:ascii="Arial" w:cs="Arial" w:eastAsia="Arial" w:hAnsi="Arial"/>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Form 40-F </w:t>
      </w:r>
      <w:r>
        <w:rPr>
          <w:rFonts w:ascii="MS PGothic" w:cs="MS PGothic" w:eastAsia="MS PGothic" w:hAnsi="MS PGothic"/>
          <w:sz w:val="16"/>
          <w:szCs w:val="16"/>
          <w:color w:val="auto"/>
        </w:rPr>
        <w:t>☐</w:t>
      </w:r>
    </w:p>
    <w:p>
      <w:pPr>
        <w:spacing w:after="0" w:line="258"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Indicate by check mark if the registrant is submitting the Form 6-K in paper as permitted by Regulation S-T Rule 101(b)(1):</w:t>
      </w:r>
    </w:p>
    <w:p>
      <w:pPr>
        <w:spacing w:after="0" w:line="192" w:lineRule="exact"/>
        <w:rPr>
          <w:sz w:val="24"/>
          <w:szCs w:val="24"/>
          <w:color w:val="auto"/>
        </w:rPr>
      </w:pPr>
    </w:p>
    <w:p>
      <w:pPr>
        <w:ind w:left="3860"/>
        <w:spacing w:after="0" w:line="207" w:lineRule="exact"/>
        <w:tabs>
          <w:tab w:leader="none" w:pos="6680" w:val="left"/>
        </w:tabs>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258"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Indicate by check mark if the registrant is submitting the Form 6-K in paper as permitted by Regulation S-T Rule 101(b)(7):</w:t>
      </w:r>
    </w:p>
    <w:p>
      <w:pPr>
        <w:spacing w:after="0" w:line="192" w:lineRule="exact"/>
        <w:rPr>
          <w:sz w:val="24"/>
          <w:szCs w:val="24"/>
          <w:color w:val="auto"/>
        </w:rPr>
      </w:pPr>
    </w:p>
    <w:p>
      <w:pPr>
        <w:ind w:left="3860"/>
        <w:spacing w:after="0" w:line="207" w:lineRule="exact"/>
        <w:tabs>
          <w:tab w:leader="none" w:pos="6680" w:val="left"/>
        </w:tabs>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-70485</wp:posOffset>
            </wp:positionH>
            <wp:positionV relativeFrom="paragraph">
              <wp:posOffset>181610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-70485</wp:posOffset>
            </wp:positionH>
            <wp:positionV relativeFrom="paragraph">
              <wp:posOffset>198755</wp:posOffset>
            </wp:positionV>
            <wp:extent cx="7132320" cy="431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-70485</wp:posOffset>
            </wp:positionH>
            <wp:positionV relativeFrom="paragraph">
              <wp:posOffset>438785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000"/>
          </w:cols>
          <w:pgMar w:left="440" w:top="906" w:right="459" w:bottom="1440" w:gutter="0" w:footer="0" w:header="0"/>
        </w:sectPr>
      </w:pPr>
    </w:p>
    <w:bookmarkStart w:id="1" w:name="page2"/>
    <w:bookmarkEnd w:id="1"/>
    <w:p>
      <w:pPr>
        <w:ind w:firstLine="324"/>
        <w:spacing w:after="0" w:line="277" w:lineRule="auto"/>
        <w:rPr>
          <w:sz w:val="20"/>
          <w:szCs w:val="20"/>
          <w:color w:val="auto"/>
        </w:rPr>
      </w:pPr>
      <w:r>
        <w:rPr>
          <w:rFonts w:ascii="Arial" w:cs="Arial" w:eastAsia="Arial" w:hAnsi="Arial"/>
          <w:sz w:val="18"/>
          <w:szCs w:val="18"/>
          <w:color w:val="auto"/>
        </w:rPr>
        <w:t>This Report on Form 6-K (excluding Exhibit 99.3 herewith) is incorporated by reference into the Registrant's registration statements on Form F-3 (File Nos. 333-227016, 333-249655 and 333-255576) and Form S-8 (File No. 333-233019).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314325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584" w:right="379" w:bottom="1440" w:gutter="0" w:footer="0" w:header="0"/>
        </w:sectPr>
      </w:pPr>
    </w:p>
    <w:bookmarkStart w:id="2" w:name="page3"/>
    <w:bookmarkEnd w:id="2"/>
    <w:p>
      <w:pPr>
        <w:jc w:val="center"/>
        <w:ind w:right="-63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66"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AC IMMUNE SA</w:t>
      </w:r>
    </w:p>
    <w:p>
      <w:pPr>
        <w:spacing w:after="0" w:line="200" w:lineRule="exact"/>
        <w:rPr>
          <w:sz w:val="20"/>
          <w:szCs w:val="20"/>
          <w:color w:val="auto"/>
        </w:rPr>
      </w:pPr>
    </w:p>
    <w:p>
      <w:pPr>
        <w:spacing w:after="0" w:line="245" w:lineRule="exact"/>
        <w:rPr>
          <w:sz w:val="20"/>
          <w:szCs w:val="20"/>
          <w:color w:val="auto"/>
        </w:rPr>
      </w:pPr>
    </w:p>
    <w:p>
      <w:pPr>
        <w:ind w:left="5640"/>
        <w:spacing w:after="0"/>
        <w:tabs>
          <w:tab w:leader="none" w:pos="6060" w:val="left"/>
        </w:tabs>
        <w:rPr>
          <w:sz w:val="20"/>
          <w:szCs w:val="20"/>
          <w:color w:val="auto"/>
        </w:rPr>
      </w:pPr>
      <w:r>
        <w:rPr>
          <w:rFonts w:ascii="Arial" w:cs="Arial" w:eastAsia="Arial" w:hAnsi="Arial"/>
          <w:sz w:val="18"/>
          <w:szCs w:val="18"/>
          <w:color w:val="auto"/>
        </w:rPr>
        <w:t>By:</w:t>
        <w:tab/>
        <w:t>/s/ Andrea Pfeifer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14605</wp:posOffset>
            </wp:positionV>
            <wp:extent cx="327469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Name: Andrea Pfeifer</w:t>
      </w:r>
    </w:p>
    <w:p>
      <w:pPr>
        <w:spacing w:after="0" w:line="23" w:lineRule="exact"/>
        <w:rPr>
          <w:sz w:val="20"/>
          <w:szCs w:val="20"/>
          <w:color w:val="auto"/>
        </w:rPr>
      </w:pPr>
    </w:p>
    <w:p>
      <w:pPr>
        <w:ind w:left="6080"/>
        <w:spacing w:after="0"/>
        <w:tabs>
          <w:tab w:leader="none" w:pos="662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Chief Executive Officer</w:t>
      </w:r>
    </w:p>
    <w:p>
      <w:pPr>
        <w:spacing w:after="0" w:line="200" w:lineRule="exact"/>
        <w:rPr>
          <w:sz w:val="20"/>
          <w:szCs w:val="20"/>
          <w:color w:val="auto"/>
        </w:rPr>
      </w:pPr>
    </w:p>
    <w:p>
      <w:pPr>
        <w:spacing w:after="0" w:line="281" w:lineRule="exact"/>
        <w:rPr>
          <w:sz w:val="20"/>
          <w:szCs w:val="20"/>
          <w:color w:val="auto"/>
        </w:rPr>
      </w:pPr>
    </w:p>
    <w:p>
      <w:pPr>
        <w:ind w:left="5640"/>
        <w:spacing w:after="0"/>
        <w:tabs>
          <w:tab w:leader="none" w:pos="6060" w:val="left"/>
        </w:tabs>
        <w:rPr>
          <w:sz w:val="20"/>
          <w:szCs w:val="20"/>
          <w:color w:val="auto"/>
        </w:rPr>
      </w:pPr>
      <w:r>
        <w:rPr>
          <w:rFonts w:ascii="Arial" w:cs="Arial" w:eastAsia="Arial" w:hAnsi="Arial"/>
          <w:sz w:val="18"/>
          <w:szCs w:val="18"/>
          <w:color w:val="auto"/>
        </w:rPr>
        <w:t>By:</w:t>
        <w:tab/>
        <w:t>/s/ Joerg Hornstein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14605</wp:posOffset>
            </wp:positionV>
            <wp:extent cx="327469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Name: Joerg Hornstein</w:t>
      </w:r>
    </w:p>
    <w:p>
      <w:pPr>
        <w:spacing w:after="0" w:line="23" w:lineRule="exact"/>
        <w:rPr>
          <w:sz w:val="20"/>
          <w:szCs w:val="20"/>
          <w:color w:val="auto"/>
        </w:rPr>
      </w:pPr>
    </w:p>
    <w:p>
      <w:pPr>
        <w:ind w:left="6080"/>
        <w:spacing w:after="0"/>
        <w:tabs>
          <w:tab w:leader="none" w:pos="662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7"/>
          <w:szCs w:val="17"/>
          <w:color w:val="auto"/>
        </w:rPr>
        <w:t>Chief Financial Officer</w:t>
      </w:r>
    </w:p>
    <w:p>
      <w:pPr>
        <w:spacing w:after="0" w:line="21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Date: November 8,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349250</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600"/>
          </w:cols>
          <w:pgMar w:left="320" w:top="580" w:right="97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4"/>
        </w:trPr>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0" w:type="dxa"/>
            <w:vAlign w:val="bottom"/>
          </w:tcPr>
          <w:p>
            <w:pPr>
              <w:ind w:left="3780"/>
              <w:spacing w:after="0"/>
              <w:rPr>
                <w:sz w:val="20"/>
                <w:szCs w:val="20"/>
                <w:color w:val="auto"/>
              </w:rPr>
            </w:pPr>
            <w:r>
              <w:rPr>
                <w:rFonts w:ascii="Arial" w:cs="Arial" w:eastAsia="Arial" w:hAnsi="Arial"/>
                <w:sz w:val="18"/>
                <w:szCs w:val="18"/>
                <w:b w:val="1"/>
                <w:bCs w:val="1"/>
                <w:color w:val="auto"/>
              </w:rPr>
              <w:t>EXHIBIT INDEX</w:t>
            </w:r>
          </w:p>
        </w:tc>
        <w:tc>
          <w:tcPr>
            <w:tcW w:w="100" w:type="dxa"/>
            <w:vAlign w:val="bottom"/>
          </w:tcPr>
          <w:p>
            <w:pPr>
              <w:spacing w:after="0"/>
              <w:rPr>
                <w:sz w:val="20"/>
                <w:szCs w:val="20"/>
                <w:color w:val="auto"/>
              </w:rPr>
            </w:pPr>
          </w:p>
        </w:tc>
      </w:tr>
      <w:tr>
        <w:trPr>
          <w:trHeight w:val="414"/>
        </w:trPr>
        <w:tc>
          <w:tcPr>
            <w:tcW w:w="1040" w:type="dxa"/>
            <w:vAlign w:val="bottom"/>
          </w:tcPr>
          <w:p>
            <w:pPr>
              <w:jc w:val="right"/>
              <w:ind w:right="150"/>
              <w:spacing w:after="0"/>
              <w:rPr>
                <w:sz w:val="20"/>
                <w:szCs w:val="20"/>
                <w:color w:val="auto"/>
              </w:rPr>
            </w:pPr>
            <w:r>
              <w:rPr>
                <w:rFonts w:ascii="Arial" w:cs="Arial" w:eastAsia="Arial" w:hAnsi="Arial"/>
                <w:sz w:val="18"/>
                <w:szCs w:val="18"/>
                <w:b w:val="1"/>
                <w:bCs w:val="1"/>
                <w:color w:val="auto"/>
              </w:rPr>
              <w:t>Exhibit</w:t>
            </w:r>
          </w:p>
        </w:tc>
        <w:tc>
          <w:tcPr>
            <w:tcW w:w="100" w:type="dxa"/>
            <w:vAlign w:val="bottom"/>
          </w:tcPr>
          <w:p>
            <w:pPr>
              <w:spacing w:after="0"/>
              <w:rPr>
                <w:sz w:val="24"/>
                <w:szCs w:val="24"/>
                <w:color w:val="auto"/>
              </w:rPr>
            </w:pPr>
          </w:p>
        </w:tc>
        <w:tc>
          <w:tcPr>
            <w:tcW w:w="100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4"/>
        </w:trPr>
        <w:tc>
          <w:tcPr>
            <w:tcW w:w="104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Number</w:t>
            </w:r>
          </w:p>
        </w:tc>
        <w:tc>
          <w:tcPr>
            <w:tcW w:w="100" w:type="dxa"/>
            <w:vAlign w:val="bottom"/>
          </w:tcPr>
          <w:p>
            <w:pPr>
              <w:spacing w:after="0"/>
              <w:rPr>
                <w:sz w:val="20"/>
                <w:szCs w:val="20"/>
                <w:color w:val="auto"/>
              </w:rPr>
            </w:pPr>
          </w:p>
        </w:tc>
        <w:tc>
          <w:tcPr>
            <w:tcW w:w="10000" w:type="dxa"/>
            <w:vAlign w:val="bottom"/>
            <w:tcBorders>
              <w:bottom w:val="single" w:sz="8" w:color="auto"/>
            </w:tcBorders>
          </w:tcPr>
          <w:p>
            <w:pPr>
              <w:ind w:left="4560"/>
              <w:spacing w:after="0"/>
              <w:rPr>
                <w:sz w:val="20"/>
                <w:szCs w:val="20"/>
                <w:color w:val="auto"/>
              </w:rPr>
            </w:pPr>
            <w:r>
              <w:rPr>
                <w:rFonts w:ascii="Arial" w:cs="Arial" w:eastAsia="Arial" w:hAnsi="Arial"/>
                <w:sz w:val="18"/>
                <w:szCs w:val="18"/>
                <w:b w:val="1"/>
                <w:bCs w:val="1"/>
                <w:color w:val="auto"/>
              </w:rPr>
              <w:t>Description</w:t>
            </w:r>
          </w:p>
        </w:tc>
        <w:tc>
          <w:tcPr>
            <w:tcW w:w="100" w:type="dxa"/>
            <w:vAlign w:val="bottom"/>
          </w:tcPr>
          <w:p>
            <w:pPr>
              <w:spacing w:after="0"/>
              <w:rPr>
                <w:sz w:val="20"/>
                <w:szCs w:val="20"/>
                <w:color w:val="auto"/>
              </w:rPr>
            </w:pPr>
          </w:p>
        </w:tc>
      </w:tr>
      <w:tr>
        <w:trPr>
          <w:trHeight w:val="195"/>
        </w:trPr>
        <w:tc>
          <w:tcPr>
            <w:tcW w:w="1040" w:type="dxa"/>
            <w:vAlign w:val="bottom"/>
          </w:tcPr>
          <w:p>
            <w:pPr>
              <w:jc w:val="right"/>
              <w:ind w:right="630"/>
              <w:spacing w:after="0" w:line="195" w:lineRule="exact"/>
              <w:rPr>
                <w:sz w:val="20"/>
                <w:szCs w:val="20"/>
                <w:color w:val="auto"/>
              </w:rPr>
            </w:pPr>
            <w:r>
              <w:rPr>
                <w:rFonts w:ascii="Arial" w:cs="Arial" w:eastAsia="Arial" w:hAnsi="Arial"/>
                <w:sz w:val="18"/>
                <w:szCs w:val="18"/>
                <w:color w:val="auto"/>
                <w:w w:val="85"/>
              </w:rPr>
              <w:t>99.1</w:t>
            </w:r>
          </w:p>
        </w:tc>
        <w:tc>
          <w:tcPr>
            <w:tcW w:w="100" w:type="dxa"/>
            <w:vAlign w:val="bottom"/>
          </w:tcPr>
          <w:p>
            <w:pPr>
              <w:spacing w:after="0"/>
              <w:rPr>
                <w:sz w:val="16"/>
                <w:szCs w:val="16"/>
                <w:color w:val="auto"/>
              </w:rPr>
            </w:pPr>
          </w:p>
        </w:tc>
        <w:tc>
          <w:tcPr>
            <w:tcW w:w="10000" w:type="dxa"/>
            <w:vAlign w:val="bottom"/>
          </w:tcPr>
          <w:p>
            <w:pPr>
              <w:spacing w:after="0" w:line="195" w:lineRule="exact"/>
              <w:rPr>
                <w:sz w:val="20"/>
                <w:szCs w:val="20"/>
                <w:color w:val="auto"/>
              </w:rPr>
            </w:pPr>
            <w:r>
              <w:rPr>
                <w:rFonts w:ascii="Arial" w:cs="Arial" w:eastAsia="Arial" w:hAnsi="Arial"/>
                <w:sz w:val="18"/>
                <w:szCs w:val="18"/>
                <w:color w:val="auto"/>
                <w:w w:val="91"/>
              </w:rPr>
              <w:t>Interim Condensed Consolidated Financial Statements (Unaudited) (IFRS) as of and for the three and nine months ended September 30,</w:t>
            </w:r>
          </w:p>
        </w:tc>
        <w:tc>
          <w:tcPr>
            <w:tcW w:w="100" w:type="dxa"/>
            <w:vAlign w:val="bottom"/>
          </w:tcPr>
          <w:p>
            <w:pPr>
              <w:spacing w:after="0"/>
              <w:rPr>
                <w:sz w:val="16"/>
                <w:szCs w:val="16"/>
                <w:color w:val="auto"/>
              </w:rPr>
            </w:pPr>
          </w:p>
        </w:tc>
      </w:tr>
      <w:tr>
        <w:trPr>
          <w:trHeight w:val="230"/>
        </w:trPr>
        <w:tc>
          <w:tcPr>
            <w:tcW w:w="1040" w:type="dxa"/>
            <w:vAlign w:val="bottom"/>
          </w:tcPr>
          <w:p>
            <w:pPr>
              <w:spacing w:after="0"/>
              <w:rPr>
                <w:sz w:val="20"/>
                <w:szCs w:val="20"/>
                <w:color w:val="auto"/>
              </w:rPr>
            </w:pPr>
          </w:p>
        </w:tc>
        <w:tc>
          <w:tcPr>
            <w:tcW w:w="10100" w:type="dxa"/>
            <w:vAlign w:val="bottom"/>
            <w:gridSpan w:val="2"/>
          </w:tcPr>
          <w:p>
            <w:pPr>
              <w:ind w:left="100"/>
              <w:spacing w:after="0"/>
              <w:rPr>
                <w:sz w:val="20"/>
                <w:szCs w:val="20"/>
                <w:color w:val="auto"/>
              </w:rPr>
            </w:pPr>
            <w:r>
              <w:rPr>
                <w:rFonts w:ascii="Arial" w:cs="Arial" w:eastAsia="Arial" w:hAnsi="Arial"/>
                <w:sz w:val="18"/>
                <w:szCs w:val="18"/>
                <w:color w:val="auto"/>
              </w:rPr>
              <w:t>2021</w:t>
            </w:r>
          </w:p>
        </w:tc>
        <w:tc>
          <w:tcPr>
            <w:tcW w:w="100" w:type="dxa"/>
            <w:vAlign w:val="bottom"/>
          </w:tcPr>
          <w:p>
            <w:pPr>
              <w:spacing w:after="0"/>
              <w:rPr>
                <w:sz w:val="20"/>
                <w:szCs w:val="20"/>
                <w:color w:val="auto"/>
              </w:rPr>
            </w:pPr>
          </w:p>
        </w:tc>
      </w:tr>
      <w:tr>
        <w:trPr>
          <w:trHeight w:val="432"/>
        </w:trPr>
        <w:tc>
          <w:tcPr>
            <w:tcW w:w="1040" w:type="dxa"/>
            <w:vAlign w:val="bottom"/>
          </w:tcPr>
          <w:p>
            <w:pPr>
              <w:jc w:val="right"/>
              <w:ind w:right="630"/>
              <w:spacing w:after="0"/>
              <w:rPr>
                <w:sz w:val="20"/>
                <w:szCs w:val="20"/>
                <w:color w:val="auto"/>
              </w:rPr>
            </w:pPr>
            <w:r>
              <w:rPr>
                <w:rFonts w:ascii="Arial" w:cs="Arial" w:eastAsia="Arial" w:hAnsi="Arial"/>
                <w:sz w:val="18"/>
                <w:szCs w:val="18"/>
                <w:color w:val="auto"/>
                <w:w w:val="85"/>
              </w:rPr>
              <w:t>99.2</w:t>
            </w:r>
          </w:p>
        </w:tc>
        <w:tc>
          <w:tcPr>
            <w:tcW w:w="100" w:type="dxa"/>
            <w:vAlign w:val="bottom"/>
          </w:tcPr>
          <w:p>
            <w:pPr>
              <w:spacing w:after="0"/>
              <w:rPr>
                <w:sz w:val="24"/>
                <w:szCs w:val="24"/>
                <w:color w:val="auto"/>
              </w:rPr>
            </w:pPr>
          </w:p>
        </w:tc>
        <w:tc>
          <w:tcPr>
            <w:tcW w:w="10000" w:type="dxa"/>
            <w:vAlign w:val="bottom"/>
          </w:tcPr>
          <w:p>
            <w:pPr>
              <w:spacing w:after="0"/>
              <w:rPr>
                <w:sz w:val="20"/>
                <w:szCs w:val="20"/>
                <w:color w:val="auto"/>
              </w:rPr>
            </w:pPr>
            <w:r>
              <w:rPr>
                <w:rFonts w:ascii="Arial" w:cs="Arial" w:eastAsia="Arial" w:hAnsi="Arial"/>
                <w:sz w:val="18"/>
                <w:szCs w:val="18"/>
                <w:color w:val="auto"/>
              </w:rPr>
              <w:t>Management’s Discussion and Analysis of Financial Condition and Results of Operations</w:t>
            </w:r>
          </w:p>
        </w:tc>
        <w:tc>
          <w:tcPr>
            <w:tcW w:w="100" w:type="dxa"/>
            <w:vAlign w:val="bottom"/>
          </w:tcPr>
          <w:p>
            <w:pPr>
              <w:spacing w:after="0"/>
              <w:rPr>
                <w:sz w:val="24"/>
                <w:szCs w:val="24"/>
                <w:color w:val="auto"/>
              </w:rPr>
            </w:pPr>
          </w:p>
        </w:tc>
      </w:tr>
      <w:tr>
        <w:trPr>
          <w:trHeight w:val="432"/>
        </w:trPr>
        <w:tc>
          <w:tcPr>
            <w:tcW w:w="1040" w:type="dxa"/>
            <w:vAlign w:val="bottom"/>
          </w:tcPr>
          <w:p>
            <w:pPr>
              <w:jc w:val="right"/>
              <w:ind w:right="630"/>
              <w:spacing w:after="0"/>
              <w:rPr>
                <w:sz w:val="20"/>
                <w:szCs w:val="20"/>
                <w:color w:val="auto"/>
              </w:rPr>
            </w:pPr>
            <w:r>
              <w:rPr>
                <w:rFonts w:ascii="Arial" w:cs="Arial" w:eastAsia="Arial" w:hAnsi="Arial"/>
                <w:sz w:val="18"/>
                <w:szCs w:val="18"/>
                <w:color w:val="auto"/>
                <w:w w:val="85"/>
              </w:rPr>
              <w:t>99.3</w:t>
            </w:r>
          </w:p>
        </w:tc>
        <w:tc>
          <w:tcPr>
            <w:tcW w:w="100" w:type="dxa"/>
            <w:vAlign w:val="bottom"/>
          </w:tcPr>
          <w:p>
            <w:pPr>
              <w:spacing w:after="0"/>
              <w:rPr>
                <w:sz w:val="24"/>
                <w:szCs w:val="24"/>
                <w:color w:val="auto"/>
              </w:rPr>
            </w:pPr>
          </w:p>
        </w:tc>
        <w:tc>
          <w:tcPr>
            <w:tcW w:w="10000" w:type="dxa"/>
            <w:vAlign w:val="bottom"/>
          </w:tcPr>
          <w:p>
            <w:pPr>
              <w:spacing w:after="0"/>
              <w:rPr>
                <w:sz w:val="20"/>
                <w:szCs w:val="20"/>
                <w:color w:val="auto"/>
              </w:rPr>
            </w:pPr>
            <w:r>
              <w:rPr>
                <w:rFonts w:ascii="Arial" w:cs="Arial" w:eastAsia="Arial" w:hAnsi="Arial"/>
                <w:sz w:val="18"/>
                <w:szCs w:val="18"/>
                <w:color w:val="auto"/>
              </w:rPr>
              <w:t>Press Release dated November 8, 2021</w:t>
            </w:r>
          </w:p>
        </w:tc>
        <w:tc>
          <w:tcPr>
            <w:tcW w:w="100" w:type="dxa"/>
            <w:vAlign w:val="bottom"/>
          </w:tcPr>
          <w:p>
            <w:pPr>
              <w:spacing w:after="0"/>
              <w:rPr>
                <w:sz w:val="24"/>
                <w:szCs w:val="24"/>
                <w:color w:val="auto"/>
              </w:rPr>
            </w:pPr>
          </w:p>
        </w:tc>
      </w:tr>
      <w:tr>
        <w:trPr>
          <w:trHeight w:val="432"/>
        </w:trPr>
        <w:tc>
          <w:tcPr>
            <w:tcW w:w="1040" w:type="dxa"/>
            <w:vAlign w:val="bottom"/>
          </w:tcPr>
          <w:p>
            <w:pPr>
              <w:jc w:val="right"/>
              <w:ind w:right="630"/>
              <w:spacing w:after="0"/>
              <w:rPr>
                <w:sz w:val="20"/>
                <w:szCs w:val="20"/>
                <w:color w:val="auto"/>
              </w:rPr>
            </w:pPr>
            <w:r>
              <w:rPr>
                <w:rFonts w:ascii="Arial" w:cs="Arial" w:eastAsia="Arial" w:hAnsi="Arial"/>
                <w:sz w:val="18"/>
                <w:szCs w:val="18"/>
                <w:color w:val="auto"/>
                <w:w w:val="85"/>
              </w:rPr>
              <w:t>99.4</w:t>
            </w:r>
          </w:p>
        </w:tc>
        <w:tc>
          <w:tcPr>
            <w:tcW w:w="100" w:type="dxa"/>
            <w:vAlign w:val="bottom"/>
          </w:tcPr>
          <w:p>
            <w:pPr>
              <w:spacing w:after="0"/>
              <w:rPr>
                <w:sz w:val="24"/>
                <w:szCs w:val="24"/>
                <w:color w:val="auto"/>
              </w:rPr>
            </w:pPr>
          </w:p>
        </w:tc>
        <w:tc>
          <w:tcPr>
            <w:tcW w:w="10000" w:type="dxa"/>
            <w:vAlign w:val="bottom"/>
          </w:tcPr>
          <w:p>
            <w:pPr>
              <w:spacing w:after="0"/>
              <w:rPr>
                <w:sz w:val="20"/>
                <w:szCs w:val="20"/>
                <w:color w:val="auto"/>
              </w:rPr>
            </w:pPr>
            <w:r>
              <w:rPr>
                <w:rFonts w:ascii="Arial" w:cs="Arial" w:eastAsia="Arial" w:hAnsi="Arial"/>
                <w:sz w:val="18"/>
                <w:szCs w:val="18"/>
                <w:color w:val="auto"/>
              </w:rPr>
              <w:t>Articles of Association as of October 21, 2021</w:t>
            </w:r>
          </w:p>
        </w:tc>
        <w:tc>
          <w:tcPr>
            <w:tcW w:w="100" w:type="dxa"/>
            <w:vAlign w:val="bottom"/>
          </w:tcPr>
          <w:p>
            <w:pPr>
              <w:spacing w:after="0"/>
              <w:rPr>
                <w:sz w:val="24"/>
                <w:szCs w:val="24"/>
                <w:color w:val="auto"/>
              </w:rPr>
            </w:pPr>
          </w:p>
        </w:tc>
      </w:tr>
      <w:tr>
        <w:trPr>
          <w:trHeight w:val="310"/>
        </w:trPr>
        <w:tc>
          <w:tcPr>
            <w:tcW w:w="10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580" w:right="339" w:bottom="1440" w:gutter="0" w:footer="0" w:header="0"/>
        </w:sectPr>
      </w:pPr>
    </w:p>
    <w:bookmarkStart w:id="4" w:name="page5"/>
    <w:bookmarkEnd w:id="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80"/>
        </w:trPr>
        <w:tc>
          <w:tcPr>
            <w:tcW w:w="67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gridSpan w:val="2"/>
          </w:tcPr>
          <w:p>
            <w:pPr>
              <w:jc w:val="right"/>
              <w:ind w:right="20"/>
              <w:spacing w:after="0"/>
              <w:rPr>
                <w:sz w:val="20"/>
                <w:szCs w:val="20"/>
                <w:color w:val="auto"/>
              </w:rPr>
            </w:pPr>
            <w:r>
              <w:rPr>
                <w:rFonts w:ascii="Arial" w:cs="Arial" w:eastAsia="Arial" w:hAnsi="Arial"/>
                <w:sz w:val="22"/>
                <w:szCs w:val="22"/>
                <w:b w:val="1"/>
                <w:bCs w:val="1"/>
                <w:color w:val="auto"/>
              </w:rPr>
              <w:t>Exhibit 99.1</w:t>
            </w:r>
          </w:p>
        </w:tc>
      </w:tr>
      <w:tr>
        <w:trPr>
          <w:trHeight w:val="404"/>
        </w:trPr>
        <w:tc>
          <w:tcPr>
            <w:tcW w:w="6760" w:type="dxa"/>
            <w:vAlign w:val="bottom"/>
          </w:tcPr>
          <w:p>
            <w:pPr>
              <w:spacing w:after="0"/>
              <w:rPr>
                <w:sz w:val="20"/>
                <w:szCs w:val="20"/>
                <w:color w:val="auto"/>
              </w:rPr>
            </w:pPr>
            <w:r>
              <w:rPr>
                <w:rFonts w:ascii="Arial" w:cs="Arial" w:eastAsia="Arial" w:hAnsi="Arial"/>
                <w:sz w:val="18"/>
                <w:szCs w:val="18"/>
                <w:b w:val="1"/>
                <w:bCs w:val="1"/>
                <w:color w:val="auto"/>
              </w:rPr>
              <w:t>Condensed Consolidated Balance Sheets (Unaudited)</w:t>
            </w: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34"/>
        </w:trPr>
        <w:tc>
          <w:tcPr>
            <w:tcW w:w="67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(in CHF thousands)</w:t>
            </w:r>
          </w:p>
        </w:tc>
        <w:tc>
          <w:tcPr>
            <w:tcW w:w="13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r>
      <w:tr>
        <w:trPr>
          <w:trHeight w:val="191"/>
        </w:trPr>
        <w:tc>
          <w:tcPr>
            <w:tcW w:w="676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0" w:type="dxa"/>
            <w:vAlign w:val="bottom"/>
            <w:gridSpan w:val="2"/>
          </w:tcPr>
          <w:p>
            <w:pPr>
              <w:jc w:val="center"/>
              <w:ind w:right="120"/>
              <w:spacing w:after="0" w:line="191" w:lineRule="exact"/>
              <w:rPr>
                <w:sz w:val="20"/>
                <w:szCs w:val="20"/>
                <w:color w:val="auto"/>
              </w:rPr>
            </w:pPr>
            <w:r>
              <w:rPr>
                <w:rFonts w:ascii="Arial" w:cs="Arial" w:eastAsia="Arial" w:hAnsi="Arial"/>
                <w:sz w:val="18"/>
                <w:szCs w:val="18"/>
                <w:b w:val="1"/>
                <w:bCs w:val="1"/>
                <w:color w:val="auto"/>
                <w:w w:val="88"/>
              </w:rPr>
              <w:t>As of</w:t>
            </w:r>
          </w:p>
        </w:tc>
        <w:tc>
          <w:tcPr>
            <w:tcW w:w="1460" w:type="dxa"/>
            <w:vAlign w:val="bottom"/>
          </w:tcPr>
          <w:p>
            <w:pPr>
              <w:jc w:val="right"/>
              <w:ind w:right="449"/>
              <w:spacing w:after="0" w:line="191" w:lineRule="exact"/>
              <w:rPr>
                <w:sz w:val="20"/>
                <w:szCs w:val="20"/>
                <w:color w:val="auto"/>
              </w:rPr>
            </w:pPr>
            <w:r>
              <w:rPr>
                <w:rFonts w:ascii="Arial" w:cs="Arial" w:eastAsia="Arial" w:hAnsi="Arial"/>
                <w:sz w:val="18"/>
                <w:szCs w:val="18"/>
                <w:b w:val="1"/>
                <w:bCs w:val="1"/>
                <w:color w:val="auto"/>
              </w:rPr>
              <w:t>As of</w:t>
            </w:r>
          </w:p>
        </w:tc>
        <w:tc>
          <w:tcPr>
            <w:tcW w:w="20" w:type="dxa"/>
            <w:vAlign w:val="bottom"/>
          </w:tcPr>
          <w:p>
            <w:pPr>
              <w:spacing w:after="0"/>
              <w:rPr>
                <w:sz w:val="16"/>
                <w:szCs w:val="16"/>
                <w:color w:val="auto"/>
              </w:rPr>
            </w:pPr>
          </w:p>
        </w:tc>
      </w:tr>
      <w:tr>
        <w:trPr>
          <w:trHeight w:val="234"/>
        </w:trPr>
        <w:tc>
          <w:tcPr>
            <w:tcW w:w="6760" w:type="dxa"/>
            <w:vAlign w:val="bottom"/>
          </w:tcPr>
          <w:p>
            <w:pPr>
              <w:spacing w:after="0"/>
              <w:rPr>
                <w:sz w:val="20"/>
                <w:szCs w:val="20"/>
                <w:color w:val="auto"/>
              </w:rPr>
            </w:pPr>
            <w:r>
              <w:rPr>
                <w:rFonts w:ascii="Arial" w:cs="Arial" w:eastAsia="Arial" w:hAnsi="Arial"/>
                <w:sz w:val="18"/>
                <w:szCs w:val="18"/>
                <w:b w:val="1"/>
                <w:bCs w:val="1"/>
                <w:color w:val="auto"/>
              </w:rPr>
              <w:t>Balance Sheets</w:t>
            </w:r>
          </w:p>
        </w:tc>
        <w:tc>
          <w:tcPr>
            <w:tcW w:w="1300" w:type="dxa"/>
            <w:vAlign w:val="bottom"/>
          </w:tcPr>
          <w:p>
            <w:pPr>
              <w:ind w:left="440"/>
              <w:spacing w:after="0"/>
              <w:rPr>
                <w:sz w:val="20"/>
                <w:szCs w:val="20"/>
                <w:color w:val="auto"/>
              </w:rPr>
            </w:pPr>
            <w:r>
              <w:rPr>
                <w:rFonts w:ascii="Arial" w:cs="Arial" w:eastAsia="Arial" w:hAnsi="Arial"/>
                <w:sz w:val="18"/>
                <w:szCs w:val="18"/>
                <w:b w:val="1"/>
                <w:bCs w:val="1"/>
                <w:color w:val="auto"/>
              </w:rPr>
              <w:t>Notes</w:t>
            </w:r>
          </w:p>
        </w:tc>
        <w:tc>
          <w:tcPr>
            <w:tcW w:w="1720" w:type="dxa"/>
            <w:vAlign w:val="bottom"/>
            <w:gridSpan w:val="3"/>
          </w:tcPr>
          <w:p>
            <w:pPr>
              <w:jc w:val="center"/>
              <w:spacing w:after="0"/>
              <w:rPr>
                <w:sz w:val="20"/>
                <w:szCs w:val="20"/>
                <w:color w:val="auto"/>
              </w:rPr>
            </w:pPr>
            <w:r>
              <w:rPr>
                <w:rFonts w:ascii="Arial" w:cs="Arial" w:eastAsia="Arial" w:hAnsi="Arial"/>
                <w:sz w:val="18"/>
                <w:szCs w:val="18"/>
                <w:b w:val="1"/>
                <w:bCs w:val="1"/>
                <w:color w:val="auto"/>
                <w:w w:val="89"/>
              </w:rPr>
              <w:t>September 30, 2021</w:t>
            </w:r>
          </w:p>
        </w:tc>
        <w:tc>
          <w:tcPr>
            <w:tcW w:w="148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w w:val="88"/>
              </w:rPr>
              <w:t>December 31, 2020</w:t>
            </w:r>
          </w:p>
        </w:tc>
      </w:tr>
      <w:tr>
        <w:trPr>
          <w:trHeight w:val="209"/>
        </w:trPr>
        <w:tc>
          <w:tcPr>
            <w:tcW w:w="6760" w:type="dxa"/>
            <w:vAlign w:val="bottom"/>
            <w:tcBorders>
              <w:top w:val="single" w:sz="8" w:color="D5EAEA"/>
            </w:tcBorders>
            <w:shd w:val="clear" w:color="auto" w:fill="D5EAEA"/>
          </w:tcPr>
          <w:p>
            <w:pPr>
              <w:spacing w:after="0"/>
              <w:rPr>
                <w:sz w:val="20"/>
                <w:szCs w:val="20"/>
                <w:color w:val="auto"/>
              </w:rPr>
            </w:pPr>
            <w:r>
              <w:rPr>
                <w:rFonts w:ascii="Arial" w:cs="Arial" w:eastAsia="Arial" w:hAnsi="Arial"/>
                <w:sz w:val="18"/>
                <w:szCs w:val="18"/>
                <w:b w:val="1"/>
                <w:bCs w:val="1"/>
                <w:color w:val="auto"/>
              </w:rPr>
              <w:t>ASSETS</w:t>
            </w:r>
          </w:p>
        </w:tc>
        <w:tc>
          <w:tcPr>
            <w:tcW w:w="1300" w:type="dxa"/>
            <w:vAlign w:val="bottom"/>
            <w:tcBorders>
              <w:top w:val="single" w:sz="8" w:color="auto"/>
            </w:tcBorders>
            <w:shd w:val="clear" w:color="auto" w:fill="D5EAEA"/>
          </w:tcPr>
          <w:p>
            <w:pPr>
              <w:spacing w:after="0"/>
              <w:rPr>
                <w:sz w:val="18"/>
                <w:szCs w:val="18"/>
                <w:color w:val="auto"/>
              </w:rPr>
            </w:pPr>
          </w:p>
        </w:tc>
        <w:tc>
          <w:tcPr>
            <w:tcW w:w="120" w:type="dxa"/>
            <w:vAlign w:val="bottom"/>
            <w:tcBorders>
              <w:top w:val="single" w:sz="8" w:color="D5EAEA"/>
            </w:tcBorders>
            <w:shd w:val="clear" w:color="auto" w:fill="D5EAEA"/>
          </w:tcPr>
          <w:p>
            <w:pPr>
              <w:spacing w:after="0"/>
              <w:rPr>
                <w:sz w:val="18"/>
                <w:szCs w:val="18"/>
                <w:color w:val="auto"/>
              </w:rPr>
            </w:pPr>
          </w:p>
        </w:tc>
        <w:tc>
          <w:tcPr>
            <w:tcW w:w="1500" w:type="dxa"/>
            <w:vAlign w:val="bottom"/>
            <w:tcBorders>
              <w:top w:val="single" w:sz="8" w:color="auto"/>
            </w:tcBorders>
            <w:shd w:val="clear" w:color="auto" w:fill="D5EAEA"/>
          </w:tcPr>
          <w:p>
            <w:pPr>
              <w:spacing w:after="0"/>
              <w:rPr>
                <w:sz w:val="18"/>
                <w:szCs w:val="18"/>
                <w:color w:val="auto"/>
              </w:rPr>
            </w:pPr>
          </w:p>
        </w:tc>
        <w:tc>
          <w:tcPr>
            <w:tcW w:w="100" w:type="dxa"/>
            <w:vAlign w:val="bottom"/>
            <w:tcBorders>
              <w:top w:val="single" w:sz="8" w:color="D5EAEA"/>
            </w:tcBorders>
            <w:shd w:val="clear" w:color="auto" w:fill="D5EAEA"/>
          </w:tcPr>
          <w:p>
            <w:pPr>
              <w:spacing w:after="0"/>
              <w:rPr>
                <w:sz w:val="18"/>
                <w:szCs w:val="18"/>
                <w:color w:val="auto"/>
              </w:rPr>
            </w:pPr>
          </w:p>
        </w:tc>
        <w:tc>
          <w:tcPr>
            <w:tcW w:w="1460" w:type="dxa"/>
            <w:vAlign w:val="bottom"/>
            <w:tcBorders>
              <w:top w:val="single" w:sz="8" w:color="auto"/>
            </w:tcBorders>
            <w:shd w:val="clear" w:color="auto" w:fill="D5EAEA"/>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6760" w:type="dxa"/>
            <w:vAlign w:val="bottom"/>
          </w:tcPr>
          <w:p>
            <w:pPr>
              <w:spacing w:after="0"/>
              <w:rPr>
                <w:sz w:val="20"/>
                <w:szCs w:val="20"/>
                <w:color w:val="auto"/>
              </w:rPr>
            </w:pPr>
            <w:r>
              <w:rPr>
                <w:rFonts w:ascii="Arial" w:cs="Arial" w:eastAsia="Arial" w:hAnsi="Arial"/>
                <w:sz w:val="18"/>
                <w:szCs w:val="18"/>
                <w:b w:val="1"/>
                <w:bCs w:val="1"/>
                <w:color w:val="auto"/>
              </w:rPr>
              <w:t>Non-current assets</w:t>
            </w: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6760" w:type="dxa"/>
            <w:vAlign w:val="bottom"/>
            <w:shd w:val="clear" w:color="auto" w:fill="D5EAEA"/>
          </w:tcPr>
          <w:p>
            <w:pPr>
              <w:spacing w:after="0"/>
              <w:rPr>
                <w:sz w:val="20"/>
                <w:szCs w:val="20"/>
                <w:color w:val="auto"/>
              </w:rPr>
            </w:pPr>
            <w:r>
              <w:rPr>
                <w:rFonts w:ascii="Arial" w:cs="Arial" w:eastAsia="Arial" w:hAnsi="Arial"/>
                <w:sz w:val="18"/>
                <w:szCs w:val="18"/>
                <w:color w:val="auto"/>
              </w:rPr>
              <w:t>Property, plant and equipment</w:t>
            </w:r>
          </w:p>
        </w:tc>
        <w:tc>
          <w:tcPr>
            <w:tcW w:w="1300" w:type="dxa"/>
            <w:vAlign w:val="bottom"/>
            <w:shd w:val="clear" w:color="auto" w:fill="D5EAEA"/>
          </w:tcPr>
          <w:p>
            <w:pPr>
              <w:jc w:val="center"/>
              <w:spacing w:after="0"/>
              <w:rPr>
                <w:sz w:val="20"/>
                <w:szCs w:val="20"/>
                <w:color w:val="auto"/>
              </w:rPr>
            </w:pPr>
            <w:r>
              <w:rPr>
                <w:rFonts w:ascii="Arial" w:cs="Arial" w:eastAsia="Arial" w:hAnsi="Arial"/>
                <w:sz w:val="18"/>
                <w:szCs w:val="18"/>
                <w:color w:val="auto"/>
                <w:w w:val="99"/>
              </w:rPr>
              <w:t>5</w:t>
            </w:r>
          </w:p>
        </w:tc>
        <w:tc>
          <w:tcPr>
            <w:tcW w:w="1620" w:type="dxa"/>
            <w:vAlign w:val="bottom"/>
            <w:gridSpan w:val="2"/>
            <w:shd w:val="clear" w:color="auto" w:fill="D5EAEA"/>
          </w:tcPr>
          <w:p>
            <w:pPr>
              <w:jc w:val="right"/>
              <w:ind w:right="30"/>
              <w:spacing w:after="0"/>
              <w:rPr>
                <w:sz w:val="20"/>
                <w:szCs w:val="20"/>
                <w:color w:val="auto"/>
              </w:rPr>
            </w:pPr>
            <w:r>
              <w:rPr>
                <w:rFonts w:ascii="Arial" w:cs="Arial" w:eastAsia="Arial" w:hAnsi="Arial"/>
                <w:sz w:val="18"/>
                <w:szCs w:val="18"/>
                <w:color w:val="auto"/>
              </w:rPr>
              <w:t>5,054</w:t>
            </w:r>
          </w:p>
        </w:tc>
        <w:tc>
          <w:tcPr>
            <w:tcW w:w="100" w:type="dxa"/>
            <w:vAlign w:val="bottom"/>
            <w:shd w:val="clear" w:color="auto" w:fill="D5EAEA"/>
          </w:tcPr>
          <w:p>
            <w:pPr>
              <w:spacing w:after="0"/>
              <w:rPr>
                <w:sz w:val="18"/>
                <w:szCs w:val="18"/>
                <w:color w:val="auto"/>
              </w:rPr>
            </w:pPr>
          </w:p>
        </w:tc>
        <w:tc>
          <w:tcPr>
            <w:tcW w:w="1460" w:type="dxa"/>
            <w:vAlign w:val="bottom"/>
            <w:shd w:val="clear" w:color="auto" w:fill="D5EAEA"/>
          </w:tcPr>
          <w:p>
            <w:pPr>
              <w:jc w:val="right"/>
              <w:ind w:right="29"/>
              <w:spacing w:after="0"/>
              <w:rPr>
                <w:sz w:val="20"/>
                <w:szCs w:val="20"/>
                <w:color w:val="auto"/>
              </w:rPr>
            </w:pPr>
            <w:r>
              <w:rPr>
                <w:rFonts w:ascii="Arial" w:cs="Arial" w:eastAsia="Arial" w:hAnsi="Arial"/>
                <w:sz w:val="18"/>
                <w:szCs w:val="18"/>
                <w:color w:val="auto"/>
              </w:rPr>
              <w:t>4,416</w:t>
            </w:r>
          </w:p>
        </w:tc>
        <w:tc>
          <w:tcPr>
            <w:tcW w:w="20" w:type="dxa"/>
            <w:vAlign w:val="bottom"/>
          </w:tcPr>
          <w:p>
            <w:pPr>
              <w:spacing w:after="0"/>
              <w:rPr>
                <w:sz w:val="18"/>
                <w:szCs w:val="18"/>
                <w:color w:val="auto"/>
              </w:rPr>
            </w:pPr>
          </w:p>
        </w:tc>
      </w:tr>
      <w:tr>
        <w:trPr>
          <w:trHeight w:val="216"/>
        </w:trPr>
        <w:tc>
          <w:tcPr>
            <w:tcW w:w="6760" w:type="dxa"/>
            <w:vAlign w:val="bottom"/>
          </w:tcPr>
          <w:p>
            <w:pPr>
              <w:spacing w:after="0"/>
              <w:rPr>
                <w:sz w:val="20"/>
                <w:szCs w:val="20"/>
                <w:color w:val="auto"/>
              </w:rPr>
            </w:pPr>
            <w:r>
              <w:rPr>
                <w:rFonts w:ascii="Arial" w:cs="Arial" w:eastAsia="Arial" w:hAnsi="Arial"/>
                <w:sz w:val="18"/>
                <w:szCs w:val="18"/>
                <w:color w:val="auto"/>
              </w:rPr>
              <w:t>Right-of-use assets</w:t>
            </w:r>
          </w:p>
        </w:tc>
        <w:tc>
          <w:tcPr>
            <w:tcW w:w="1300" w:type="dxa"/>
            <w:vAlign w:val="bottom"/>
          </w:tcPr>
          <w:p>
            <w:pPr>
              <w:jc w:val="center"/>
              <w:spacing w:after="0"/>
              <w:rPr>
                <w:sz w:val="20"/>
                <w:szCs w:val="20"/>
                <w:color w:val="auto"/>
              </w:rPr>
            </w:pPr>
            <w:r>
              <w:rPr>
                <w:rFonts w:ascii="Arial" w:cs="Arial" w:eastAsia="Arial" w:hAnsi="Arial"/>
                <w:sz w:val="18"/>
                <w:szCs w:val="18"/>
                <w:color w:val="auto"/>
                <w:w w:val="99"/>
              </w:rPr>
              <w:t>6</w:t>
            </w:r>
          </w:p>
        </w:tc>
        <w:tc>
          <w:tcPr>
            <w:tcW w:w="1620" w:type="dxa"/>
            <w:vAlign w:val="bottom"/>
            <w:gridSpan w:val="2"/>
          </w:tcPr>
          <w:p>
            <w:pPr>
              <w:jc w:val="right"/>
              <w:ind w:right="30"/>
              <w:spacing w:after="0"/>
              <w:rPr>
                <w:sz w:val="20"/>
                <w:szCs w:val="20"/>
                <w:color w:val="auto"/>
              </w:rPr>
            </w:pPr>
            <w:r>
              <w:rPr>
                <w:rFonts w:ascii="Arial" w:cs="Arial" w:eastAsia="Arial" w:hAnsi="Arial"/>
                <w:sz w:val="18"/>
                <w:szCs w:val="18"/>
                <w:color w:val="auto"/>
              </w:rPr>
              <w:t>2,572</w:t>
            </w:r>
          </w:p>
        </w:tc>
        <w:tc>
          <w:tcPr>
            <w:tcW w:w="100" w:type="dxa"/>
            <w:vAlign w:val="bottom"/>
          </w:tcPr>
          <w:p>
            <w:pPr>
              <w:spacing w:after="0"/>
              <w:rPr>
                <w:sz w:val="18"/>
                <w:szCs w:val="18"/>
                <w:color w:val="auto"/>
              </w:rPr>
            </w:pPr>
          </w:p>
        </w:tc>
        <w:tc>
          <w:tcPr>
            <w:tcW w:w="1460" w:type="dxa"/>
            <w:vAlign w:val="bottom"/>
          </w:tcPr>
          <w:p>
            <w:pPr>
              <w:jc w:val="right"/>
              <w:ind w:right="29"/>
              <w:spacing w:after="0"/>
              <w:rPr>
                <w:sz w:val="20"/>
                <w:szCs w:val="20"/>
                <w:color w:val="auto"/>
              </w:rPr>
            </w:pPr>
            <w:r>
              <w:rPr>
                <w:rFonts w:ascii="Arial" w:cs="Arial" w:eastAsia="Arial" w:hAnsi="Arial"/>
                <w:sz w:val="18"/>
                <w:szCs w:val="18"/>
                <w:color w:val="auto"/>
              </w:rPr>
              <w:t>2,223</w:t>
            </w:r>
          </w:p>
        </w:tc>
        <w:tc>
          <w:tcPr>
            <w:tcW w:w="20" w:type="dxa"/>
            <w:vAlign w:val="bottom"/>
          </w:tcPr>
          <w:p>
            <w:pPr>
              <w:spacing w:after="0"/>
              <w:rPr>
                <w:sz w:val="18"/>
                <w:szCs w:val="18"/>
                <w:color w:val="auto"/>
              </w:rPr>
            </w:pPr>
          </w:p>
        </w:tc>
      </w:tr>
      <w:tr>
        <w:trPr>
          <w:trHeight w:val="216"/>
        </w:trPr>
        <w:tc>
          <w:tcPr>
            <w:tcW w:w="6760" w:type="dxa"/>
            <w:vAlign w:val="bottom"/>
            <w:shd w:val="clear" w:color="auto" w:fill="D5EAEA"/>
          </w:tcPr>
          <w:p>
            <w:pPr>
              <w:spacing w:after="0"/>
              <w:rPr>
                <w:sz w:val="20"/>
                <w:szCs w:val="20"/>
                <w:color w:val="auto"/>
              </w:rPr>
            </w:pPr>
            <w:r>
              <w:rPr>
                <w:rFonts w:ascii="Arial" w:cs="Arial" w:eastAsia="Arial" w:hAnsi="Arial"/>
                <w:sz w:val="18"/>
                <w:szCs w:val="18"/>
                <w:color w:val="auto"/>
              </w:rPr>
              <w:t>Long-term accrued income</w:t>
            </w:r>
          </w:p>
        </w:tc>
        <w:tc>
          <w:tcPr>
            <w:tcW w:w="1300" w:type="dxa"/>
            <w:vAlign w:val="bottom"/>
            <w:shd w:val="clear" w:color="auto" w:fill="D5EAEA"/>
          </w:tcPr>
          <w:p>
            <w:pPr>
              <w:jc w:val="center"/>
              <w:spacing w:after="0"/>
              <w:rPr>
                <w:sz w:val="20"/>
                <w:szCs w:val="20"/>
                <w:color w:val="auto"/>
              </w:rPr>
            </w:pPr>
            <w:r>
              <w:rPr>
                <w:rFonts w:ascii="Arial" w:cs="Arial" w:eastAsia="Arial" w:hAnsi="Arial"/>
                <w:sz w:val="18"/>
                <w:szCs w:val="18"/>
                <w:color w:val="auto"/>
                <w:w w:val="99"/>
              </w:rPr>
              <w:t>3</w:t>
            </w:r>
          </w:p>
        </w:tc>
        <w:tc>
          <w:tcPr>
            <w:tcW w:w="1620" w:type="dxa"/>
            <w:vAlign w:val="bottom"/>
            <w:gridSpan w:val="2"/>
            <w:shd w:val="clear" w:color="auto" w:fill="D5EAEA"/>
          </w:tcPr>
          <w:p>
            <w:pPr>
              <w:jc w:val="right"/>
              <w:ind w:right="30"/>
              <w:spacing w:after="0"/>
              <w:rPr>
                <w:sz w:val="20"/>
                <w:szCs w:val="20"/>
                <w:color w:val="auto"/>
              </w:rPr>
            </w:pPr>
            <w:r>
              <w:rPr>
                <w:rFonts w:ascii="Arial" w:cs="Arial" w:eastAsia="Arial" w:hAnsi="Arial"/>
                <w:sz w:val="18"/>
                <w:szCs w:val="18"/>
                <w:color w:val="auto"/>
              </w:rPr>
              <w:t>31</w:t>
            </w:r>
          </w:p>
        </w:tc>
        <w:tc>
          <w:tcPr>
            <w:tcW w:w="100" w:type="dxa"/>
            <w:vAlign w:val="bottom"/>
            <w:shd w:val="clear" w:color="auto" w:fill="D5EAEA"/>
          </w:tcPr>
          <w:p>
            <w:pPr>
              <w:spacing w:after="0"/>
              <w:rPr>
                <w:sz w:val="18"/>
                <w:szCs w:val="18"/>
                <w:color w:val="auto"/>
              </w:rPr>
            </w:pPr>
          </w:p>
        </w:tc>
        <w:tc>
          <w:tcPr>
            <w:tcW w:w="1460" w:type="dxa"/>
            <w:vAlign w:val="bottom"/>
            <w:shd w:val="clear" w:color="auto" w:fill="D5EAEA"/>
          </w:tcPr>
          <w:p>
            <w:pPr>
              <w:jc w:val="right"/>
              <w:ind w:right="29"/>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r>
      <w:tr>
        <w:trPr>
          <w:trHeight w:val="229"/>
        </w:trPr>
        <w:tc>
          <w:tcPr>
            <w:tcW w:w="6760" w:type="dxa"/>
            <w:vAlign w:val="bottom"/>
          </w:tcPr>
          <w:p>
            <w:pPr>
              <w:spacing w:after="0"/>
              <w:rPr>
                <w:sz w:val="20"/>
                <w:szCs w:val="20"/>
                <w:color w:val="auto"/>
              </w:rPr>
            </w:pPr>
            <w:r>
              <w:rPr>
                <w:rFonts w:ascii="Arial" w:cs="Arial" w:eastAsia="Arial" w:hAnsi="Arial"/>
                <w:sz w:val="18"/>
                <w:szCs w:val="18"/>
                <w:color w:val="auto"/>
              </w:rPr>
              <w:t>Long-term financial assets</w:t>
            </w:r>
          </w:p>
        </w:tc>
        <w:tc>
          <w:tcPr>
            <w:tcW w:w="1300" w:type="dxa"/>
            <w:vAlign w:val="bottom"/>
          </w:tcPr>
          <w:p>
            <w:pPr>
              <w:jc w:val="center"/>
              <w:spacing w:after="0"/>
              <w:rPr>
                <w:sz w:val="20"/>
                <w:szCs w:val="20"/>
                <w:color w:val="auto"/>
              </w:rPr>
            </w:pPr>
            <w:r>
              <w:rPr>
                <w:rFonts w:ascii="Arial" w:cs="Arial" w:eastAsia="Arial" w:hAnsi="Arial"/>
                <w:sz w:val="18"/>
                <w:szCs w:val="18"/>
                <w:color w:val="auto"/>
                <w:w w:val="99"/>
              </w:rPr>
              <w:t>8</w:t>
            </w:r>
          </w:p>
        </w:tc>
        <w:tc>
          <w:tcPr>
            <w:tcW w:w="1620" w:type="dxa"/>
            <w:vAlign w:val="bottom"/>
            <w:gridSpan w:val="2"/>
          </w:tcPr>
          <w:p>
            <w:pPr>
              <w:jc w:val="right"/>
              <w:ind w:right="30"/>
              <w:spacing w:after="0"/>
              <w:rPr>
                <w:sz w:val="20"/>
                <w:szCs w:val="20"/>
                <w:color w:val="auto"/>
              </w:rPr>
            </w:pPr>
            <w:r>
              <w:rPr>
                <w:rFonts w:ascii="Arial" w:cs="Arial" w:eastAsia="Arial" w:hAnsi="Arial"/>
                <w:sz w:val="18"/>
                <w:szCs w:val="18"/>
                <w:color w:val="auto"/>
              </w:rPr>
              <w:t>363</w:t>
            </w:r>
          </w:p>
        </w:tc>
        <w:tc>
          <w:tcPr>
            <w:tcW w:w="100" w:type="dxa"/>
            <w:vAlign w:val="bottom"/>
          </w:tcPr>
          <w:p>
            <w:pPr>
              <w:spacing w:after="0"/>
              <w:rPr>
                <w:sz w:val="19"/>
                <w:szCs w:val="19"/>
                <w:color w:val="auto"/>
              </w:rPr>
            </w:pPr>
          </w:p>
        </w:tc>
        <w:tc>
          <w:tcPr>
            <w:tcW w:w="1460" w:type="dxa"/>
            <w:vAlign w:val="bottom"/>
          </w:tcPr>
          <w:p>
            <w:pPr>
              <w:jc w:val="right"/>
              <w:ind w:right="29"/>
              <w:spacing w:after="0"/>
              <w:rPr>
                <w:sz w:val="20"/>
                <w:szCs w:val="20"/>
                <w:color w:val="auto"/>
              </w:rPr>
            </w:pPr>
            <w:r>
              <w:rPr>
                <w:rFonts w:ascii="Arial" w:cs="Arial" w:eastAsia="Arial" w:hAnsi="Arial"/>
                <w:sz w:val="18"/>
                <w:szCs w:val="18"/>
                <w:color w:val="auto"/>
              </w:rPr>
              <w:t>334</w:t>
            </w:r>
          </w:p>
        </w:tc>
        <w:tc>
          <w:tcPr>
            <w:tcW w:w="20" w:type="dxa"/>
            <w:vAlign w:val="bottom"/>
          </w:tcPr>
          <w:p>
            <w:pPr>
              <w:spacing w:after="0"/>
              <w:rPr>
                <w:sz w:val="19"/>
                <w:szCs w:val="19"/>
                <w:color w:val="auto"/>
              </w:rPr>
            </w:pPr>
          </w:p>
        </w:tc>
      </w:tr>
      <w:tr>
        <w:trPr>
          <w:trHeight w:val="223"/>
        </w:trPr>
        <w:tc>
          <w:tcPr>
            <w:tcW w:w="6760" w:type="dxa"/>
            <w:vAlign w:val="bottom"/>
            <w:tcBorders>
              <w:top w:val="single" w:sz="8" w:color="D5EAEA"/>
              <w:bottom w:val="single" w:sz="8" w:color="D5EAEA"/>
            </w:tcBorders>
            <w:shd w:val="clear" w:color="auto" w:fill="D5EAEA"/>
          </w:tcPr>
          <w:p>
            <w:pPr>
              <w:spacing w:after="0"/>
              <w:rPr>
                <w:sz w:val="20"/>
                <w:szCs w:val="20"/>
                <w:color w:val="auto"/>
              </w:rPr>
            </w:pPr>
            <w:r>
              <w:rPr>
                <w:rFonts w:ascii="Arial" w:cs="Arial" w:eastAsia="Arial" w:hAnsi="Arial"/>
                <w:sz w:val="18"/>
                <w:szCs w:val="18"/>
                <w:b w:val="1"/>
                <w:bCs w:val="1"/>
                <w:color w:val="auto"/>
              </w:rPr>
              <w:t>Total non-current assets</w:t>
            </w:r>
          </w:p>
        </w:tc>
        <w:tc>
          <w:tcPr>
            <w:tcW w:w="1300" w:type="dxa"/>
            <w:vAlign w:val="bottom"/>
            <w:tcBorders>
              <w:top w:val="single" w:sz="8" w:color="D5EAEA"/>
              <w:bottom w:val="single" w:sz="8" w:color="D5EAEA"/>
            </w:tcBorders>
            <w:shd w:val="clear" w:color="auto" w:fill="D5EAEA"/>
          </w:tcPr>
          <w:p>
            <w:pPr>
              <w:spacing w:after="0"/>
              <w:rPr>
                <w:sz w:val="19"/>
                <w:szCs w:val="19"/>
                <w:color w:val="auto"/>
              </w:rPr>
            </w:pPr>
          </w:p>
        </w:tc>
        <w:tc>
          <w:tcPr>
            <w:tcW w:w="120" w:type="dxa"/>
            <w:vAlign w:val="bottom"/>
            <w:tcBorders>
              <w:top w:val="single" w:sz="8" w:color="D5EAEA"/>
              <w:bottom w:val="single" w:sz="8" w:color="D5EAEA"/>
            </w:tcBorders>
            <w:shd w:val="clear" w:color="auto" w:fill="D5EAEA"/>
          </w:tcPr>
          <w:p>
            <w:pPr>
              <w:spacing w:after="0"/>
              <w:rPr>
                <w:sz w:val="19"/>
                <w:szCs w:val="19"/>
                <w:color w:val="auto"/>
              </w:rPr>
            </w:pPr>
          </w:p>
        </w:tc>
        <w:tc>
          <w:tcPr>
            <w:tcW w:w="1500" w:type="dxa"/>
            <w:vAlign w:val="bottom"/>
            <w:tcBorders>
              <w:top w:val="single" w:sz="8" w:color="auto"/>
              <w:bottom w:val="single" w:sz="8" w:color="auto"/>
            </w:tcBorders>
            <w:shd w:val="clear" w:color="auto" w:fill="D5EAEA"/>
          </w:tcPr>
          <w:p>
            <w:pPr>
              <w:jc w:val="right"/>
              <w:ind w:right="30"/>
              <w:spacing w:after="0"/>
              <w:rPr>
                <w:sz w:val="20"/>
                <w:szCs w:val="20"/>
                <w:color w:val="auto"/>
              </w:rPr>
            </w:pPr>
            <w:r>
              <w:rPr>
                <w:rFonts w:ascii="Arial" w:cs="Arial" w:eastAsia="Arial" w:hAnsi="Arial"/>
                <w:sz w:val="18"/>
                <w:szCs w:val="18"/>
                <w:color w:val="auto"/>
              </w:rPr>
              <w:t>8,020</w:t>
            </w:r>
          </w:p>
        </w:tc>
        <w:tc>
          <w:tcPr>
            <w:tcW w:w="100" w:type="dxa"/>
            <w:vAlign w:val="bottom"/>
            <w:tcBorders>
              <w:top w:val="single" w:sz="8" w:color="D5EAEA"/>
              <w:bottom w:val="single" w:sz="8" w:color="D5EAEA"/>
            </w:tcBorders>
            <w:shd w:val="clear" w:color="auto" w:fill="D5EAEA"/>
          </w:tcPr>
          <w:p>
            <w:pPr>
              <w:spacing w:after="0"/>
              <w:rPr>
                <w:sz w:val="19"/>
                <w:szCs w:val="19"/>
                <w:color w:val="auto"/>
              </w:rPr>
            </w:pPr>
          </w:p>
        </w:tc>
        <w:tc>
          <w:tcPr>
            <w:tcW w:w="1460" w:type="dxa"/>
            <w:vAlign w:val="bottom"/>
            <w:tcBorders>
              <w:top w:val="single" w:sz="8" w:color="auto"/>
              <w:bottom w:val="single" w:sz="8" w:color="auto"/>
            </w:tcBorders>
            <w:shd w:val="clear" w:color="auto" w:fill="D5EAEA"/>
          </w:tcPr>
          <w:p>
            <w:pPr>
              <w:jc w:val="right"/>
              <w:ind w:right="29"/>
              <w:spacing w:after="0"/>
              <w:rPr>
                <w:sz w:val="20"/>
                <w:szCs w:val="20"/>
                <w:color w:val="auto"/>
              </w:rPr>
            </w:pPr>
            <w:r>
              <w:rPr>
                <w:rFonts w:ascii="Arial" w:cs="Arial" w:eastAsia="Arial" w:hAnsi="Arial"/>
                <w:sz w:val="18"/>
                <w:szCs w:val="18"/>
                <w:color w:val="auto"/>
              </w:rPr>
              <w:t>6,973</w:t>
            </w:r>
          </w:p>
        </w:tc>
        <w:tc>
          <w:tcPr>
            <w:tcW w:w="20" w:type="dxa"/>
            <w:vAlign w:val="bottom"/>
          </w:tcPr>
          <w:p>
            <w:pPr>
              <w:spacing w:after="0"/>
              <w:rPr>
                <w:sz w:val="19"/>
                <w:szCs w:val="19"/>
                <w:color w:val="auto"/>
              </w:rPr>
            </w:pPr>
          </w:p>
        </w:tc>
      </w:tr>
      <w:tr>
        <w:trPr>
          <w:trHeight w:val="20"/>
        </w:trPr>
        <w:tc>
          <w:tcPr>
            <w:tcW w:w="67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7"/>
        </w:trPr>
        <w:tc>
          <w:tcPr>
            <w:tcW w:w="67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16"/>
        </w:trPr>
        <w:tc>
          <w:tcPr>
            <w:tcW w:w="6760" w:type="dxa"/>
            <w:vAlign w:val="bottom"/>
            <w:shd w:val="clear" w:color="auto" w:fill="D5EAEA"/>
          </w:tcPr>
          <w:p>
            <w:pPr>
              <w:spacing w:after="0"/>
              <w:rPr>
                <w:sz w:val="20"/>
                <w:szCs w:val="20"/>
                <w:color w:val="auto"/>
              </w:rPr>
            </w:pPr>
            <w:r>
              <w:rPr>
                <w:rFonts w:ascii="Arial" w:cs="Arial" w:eastAsia="Arial" w:hAnsi="Arial"/>
                <w:sz w:val="18"/>
                <w:szCs w:val="18"/>
                <w:b w:val="1"/>
                <w:bCs w:val="1"/>
                <w:color w:val="auto"/>
              </w:rPr>
              <w:t>Current assets</w:t>
            </w:r>
          </w:p>
        </w:tc>
        <w:tc>
          <w:tcPr>
            <w:tcW w:w="1300" w:type="dxa"/>
            <w:vAlign w:val="bottom"/>
            <w:shd w:val="clear" w:color="auto" w:fill="D5EAEA"/>
          </w:tcPr>
          <w:p>
            <w:pPr>
              <w:spacing w:after="0"/>
              <w:rPr>
                <w:sz w:val="18"/>
                <w:szCs w:val="18"/>
                <w:color w:val="auto"/>
              </w:rPr>
            </w:pPr>
          </w:p>
        </w:tc>
        <w:tc>
          <w:tcPr>
            <w:tcW w:w="120" w:type="dxa"/>
            <w:vAlign w:val="bottom"/>
            <w:shd w:val="clear" w:color="auto" w:fill="D5EAEA"/>
          </w:tcPr>
          <w:p>
            <w:pPr>
              <w:spacing w:after="0"/>
              <w:rPr>
                <w:sz w:val="18"/>
                <w:szCs w:val="18"/>
                <w:color w:val="auto"/>
              </w:rPr>
            </w:pPr>
          </w:p>
        </w:tc>
        <w:tc>
          <w:tcPr>
            <w:tcW w:w="1500" w:type="dxa"/>
            <w:vAlign w:val="bottom"/>
            <w:shd w:val="clear" w:color="auto" w:fill="D5EAEA"/>
          </w:tcPr>
          <w:p>
            <w:pPr>
              <w:spacing w:after="0"/>
              <w:rPr>
                <w:sz w:val="18"/>
                <w:szCs w:val="18"/>
                <w:color w:val="auto"/>
              </w:rPr>
            </w:pPr>
          </w:p>
        </w:tc>
        <w:tc>
          <w:tcPr>
            <w:tcW w:w="100" w:type="dxa"/>
            <w:vAlign w:val="bottom"/>
            <w:shd w:val="clear" w:color="auto" w:fill="D5EAEA"/>
          </w:tcPr>
          <w:p>
            <w:pPr>
              <w:spacing w:after="0"/>
              <w:rPr>
                <w:sz w:val="18"/>
                <w:szCs w:val="18"/>
                <w:color w:val="auto"/>
              </w:rPr>
            </w:pPr>
          </w:p>
        </w:tc>
        <w:tc>
          <w:tcPr>
            <w:tcW w:w="1460" w:type="dxa"/>
            <w:vAlign w:val="bottom"/>
            <w:shd w:val="clear" w:color="auto" w:fill="D5EAEA"/>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6760" w:type="dxa"/>
            <w:vAlign w:val="bottom"/>
          </w:tcPr>
          <w:p>
            <w:pPr>
              <w:spacing w:after="0"/>
              <w:rPr>
                <w:sz w:val="20"/>
                <w:szCs w:val="20"/>
                <w:color w:val="auto"/>
              </w:rPr>
            </w:pPr>
            <w:r>
              <w:rPr>
                <w:rFonts w:ascii="Arial" w:cs="Arial" w:eastAsia="Arial" w:hAnsi="Arial"/>
                <w:sz w:val="18"/>
                <w:szCs w:val="18"/>
                <w:color w:val="auto"/>
              </w:rPr>
              <w:t>Prepaid expenses</w:t>
            </w:r>
          </w:p>
        </w:tc>
        <w:tc>
          <w:tcPr>
            <w:tcW w:w="1300" w:type="dxa"/>
            <w:vAlign w:val="bottom"/>
          </w:tcPr>
          <w:p>
            <w:pPr>
              <w:jc w:val="center"/>
              <w:spacing w:after="0"/>
              <w:rPr>
                <w:sz w:val="20"/>
                <w:szCs w:val="20"/>
                <w:color w:val="auto"/>
              </w:rPr>
            </w:pPr>
            <w:r>
              <w:rPr>
                <w:rFonts w:ascii="Arial" w:cs="Arial" w:eastAsia="Arial" w:hAnsi="Arial"/>
                <w:sz w:val="18"/>
                <w:szCs w:val="18"/>
                <w:color w:val="auto"/>
                <w:w w:val="99"/>
              </w:rPr>
              <w:t>7</w:t>
            </w:r>
          </w:p>
        </w:tc>
        <w:tc>
          <w:tcPr>
            <w:tcW w:w="1620" w:type="dxa"/>
            <w:vAlign w:val="bottom"/>
            <w:gridSpan w:val="2"/>
          </w:tcPr>
          <w:p>
            <w:pPr>
              <w:jc w:val="right"/>
              <w:ind w:right="30"/>
              <w:spacing w:after="0"/>
              <w:rPr>
                <w:sz w:val="20"/>
                <w:szCs w:val="20"/>
                <w:color w:val="auto"/>
              </w:rPr>
            </w:pPr>
            <w:r>
              <w:rPr>
                <w:rFonts w:ascii="Arial" w:cs="Arial" w:eastAsia="Arial" w:hAnsi="Arial"/>
                <w:sz w:val="18"/>
                <w:szCs w:val="18"/>
                <w:color w:val="auto"/>
              </w:rPr>
              <w:t>1,935</w:t>
            </w:r>
          </w:p>
        </w:tc>
        <w:tc>
          <w:tcPr>
            <w:tcW w:w="100" w:type="dxa"/>
            <w:vAlign w:val="bottom"/>
          </w:tcPr>
          <w:p>
            <w:pPr>
              <w:spacing w:after="0"/>
              <w:rPr>
                <w:sz w:val="18"/>
                <w:szCs w:val="18"/>
                <w:color w:val="auto"/>
              </w:rPr>
            </w:pPr>
          </w:p>
        </w:tc>
        <w:tc>
          <w:tcPr>
            <w:tcW w:w="1460" w:type="dxa"/>
            <w:vAlign w:val="bottom"/>
          </w:tcPr>
          <w:p>
            <w:pPr>
              <w:jc w:val="right"/>
              <w:ind w:right="29"/>
              <w:spacing w:after="0"/>
              <w:rPr>
                <w:sz w:val="20"/>
                <w:szCs w:val="20"/>
                <w:color w:val="auto"/>
              </w:rPr>
            </w:pPr>
            <w:r>
              <w:rPr>
                <w:rFonts w:ascii="Arial" w:cs="Arial" w:eastAsia="Arial" w:hAnsi="Arial"/>
                <w:sz w:val="18"/>
                <w:szCs w:val="18"/>
                <w:color w:val="auto"/>
              </w:rPr>
              <w:t>3,954</w:t>
            </w:r>
          </w:p>
        </w:tc>
        <w:tc>
          <w:tcPr>
            <w:tcW w:w="20" w:type="dxa"/>
            <w:vAlign w:val="bottom"/>
          </w:tcPr>
          <w:p>
            <w:pPr>
              <w:spacing w:after="0"/>
              <w:rPr>
                <w:sz w:val="18"/>
                <w:szCs w:val="18"/>
                <w:color w:val="auto"/>
              </w:rPr>
            </w:pPr>
          </w:p>
        </w:tc>
      </w:tr>
      <w:tr>
        <w:trPr>
          <w:trHeight w:val="216"/>
        </w:trPr>
        <w:tc>
          <w:tcPr>
            <w:tcW w:w="6760" w:type="dxa"/>
            <w:vAlign w:val="bottom"/>
            <w:shd w:val="clear" w:color="auto" w:fill="D5EAEA"/>
          </w:tcPr>
          <w:p>
            <w:pPr>
              <w:spacing w:after="0"/>
              <w:rPr>
                <w:sz w:val="20"/>
                <w:szCs w:val="20"/>
                <w:color w:val="auto"/>
              </w:rPr>
            </w:pPr>
            <w:r>
              <w:rPr>
                <w:rFonts w:ascii="Arial" w:cs="Arial" w:eastAsia="Arial" w:hAnsi="Arial"/>
                <w:sz w:val="18"/>
                <w:szCs w:val="18"/>
                <w:color w:val="auto"/>
              </w:rPr>
              <w:t>Short-term accrued income</w:t>
            </w:r>
          </w:p>
        </w:tc>
        <w:tc>
          <w:tcPr>
            <w:tcW w:w="1300" w:type="dxa"/>
            <w:vAlign w:val="bottom"/>
            <w:shd w:val="clear" w:color="auto" w:fill="D5EAEA"/>
          </w:tcPr>
          <w:p>
            <w:pPr>
              <w:jc w:val="center"/>
              <w:spacing w:after="0"/>
              <w:rPr>
                <w:sz w:val="20"/>
                <w:szCs w:val="20"/>
                <w:color w:val="auto"/>
              </w:rPr>
            </w:pPr>
            <w:r>
              <w:rPr>
                <w:rFonts w:ascii="Arial" w:cs="Arial" w:eastAsia="Arial" w:hAnsi="Arial"/>
                <w:sz w:val="18"/>
                <w:szCs w:val="18"/>
                <w:color w:val="auto"/>
                <w:w w:val="99"/>
              </w:rPr>
              <w:t>3</w:t>
            </w:r>
          </w:p>
        </w:tc>
        <w:tc>
          <w:tcPr>
            <w:tcW w:w="1620" w:type="dxa"/>
            <w:vAlign w:val="bottom"/>
            <w:gridSpan w:val="2"/>
            <w:shd w:val="clear" w:color="auto" w:fill="D5EAEA"/>
          </w:tcPr>
          <w:p>
            <w:pPr>
              <w:jc w:val="right"/>
              <w:ind w:right="30"/>
              <w:spacing w:after="0"/>
              <w:rPr>
                <w:sz w:val="20"/>
                <w:szCs w:val="20"/>
                <w:color w:val="auto"/>
              </w:rPr>
            </w:pPr>
            <w:r>
              <w:rPr>
                <w:rFonts w:ascii="Arial" w:cs="Arial" w:eastAsia="Arial" w:hAnsi="Arial"/>
                <w:sz w:val="18"/>
                <w:szCs w:val="18"/>
                <w:color w:val="auto"/>
              </w:rPr>
              <w:t>92</w:t>
            </w:r>
          </w:p>
        </w:tc>
        <w:tc>
          <w:tcPr>
            <w:tcW w:w="100" w:type="dxa"/>
            <w:vAlign w:val="bottom"/>
            <w:shd w:val="clear" w:color="auto" w:fill="D5EAEA"/>
          </w:tcPr>
          <w:p>
            <w:pPr>
              <w:spacing w:after="0"/>
              <w:rPr>
                <w:sz w:val="18"/>
                <w:szCs w:val="18"/>
                <w:color w:val="auto"/>
              </w:rPr>
            </w:pPr>
          </w:p>
        </w:tc>
        <w:tc>
          <w:tcPr>
            <w:tcW w:w="1460" w:type="dxa"/>
            <w:vAlign w:val="bottom"/>
            <w:shd w:val="clear" w:color="auto" w:fill="D5EAEA"/>
          </w:tcPr>
          <w:p>
            <w:pPr>
              <w:jc w:val="right"/>
              <w:ind w:right="29"/>
              <w:spacing w:after="0"/>
              <w:rPr>
                <w:sz w:val="20"/>
                <w:szCs w:val="20"/>
                <w:color w:val="auto"/>
              </w:rPr>
            </w:pPr>
            <w:r>
              <w:rPr>
                <w:rFonts w:ascii="Arial" w:cs="Arial" w:eastAsia="Arial" w:hAnsi="Arial"/>
                <w:sz w:val="18"/>
                <w:szCs w:val="18"/>
                <w:color w:val="auto"/>
              </w:rPr>
              <w:t>1,591</w:t>
            </w:r>
          </w:p>
        </w:tc>
        <w:tc>
          <w:tcPr>
            <w:tcW w:w="20" w:type="dxa"/>
            <w:vAlign w:val="bottom"/>
          </w:tcPr>
          <w:p>
            <w:pPr>
              <w:spacing w:after="0"/>
              <w:rPr>
                <w:sz w:val="18"/>
                <w:szCs w:val="18"/>
                <w:color w:val="auto"/>
              </w:rPr>
            </w:pPr>
          </w:p>
        </w:tc>
      </w:tr>
      <w:tr>
        <w:trPr>
          <w:trHeight w:val="216"/>
        </w:trPr>
        <w:tc>
          <w:tcPr>
            <w:tcW w:w="6760" w:type="dxa"/>
            <w:vAlign w:val="bottom"/>
          </w:tcPr>
          <w:p>
            <w:pPr>
              <w:spacing w:after="0"/>
              <w:rPr>
                <w:sz w:val="20"/>
                <w:szCs w:val="20"/>
                <w:color w:val="auto"/>
              </w:rPr>
            </w:pPr>
            <w:r>
              <w:rPr>
                <w:rFonts w:ascii="Arial" w:cs="Arial" w:eastAsia="Arial" w:hAnsi="Arial"/>
                <w:sz w:val="18"/>
                <w:szCs w:val="18"/>
                <w:color w:val="auto"/>
              </w:rPr>
              <w:t>Other current receivables</w:t>
            </w:r>
          </w:p>
        </w:tc>
        <w:tc>
          <w:tcPr>
            <w:tcW w:w="1300" w:type="dxa"/>
            <w:vAlign w:val="bottom"/>
          </w:tcPr>
          <w:p>
            <w:pPr>
              <w:spacing w:after="0"/>
              <w:rPr>
                <w:sz w:val="18"/>
                <w:szCs w:val="18"/>
                <w:color w:val="auto"/>
              </w:rPr>
            </w:pPr>
          </w:p>
        </w:tc>
        <w:tc>
          <w:tcPr>
            <w:tcW w:w="1620" w:type="dxa"/>
            <w:vAlign w:val="bottom"/>
            <w:gridSpan w:val="2"/>
          </w:tcPr>
          <w:p>
            <w:pPr>
              <w:jc w:val="right"/>
              <w:ind w:right="30"/>
              <w:spacing w:after="0"/>
              <w:rPr>
                <w:sz w:val="20"/>
                <w:szCs w:val="20"/>
                <w:color w:val="auto"/>
              </w:rPr>
            </w:pPr>
            <w:r>
              <w:rPr>
                <w:rFonts w:ascii="Arial" w:cs="Arial" w:eastAsia="Arial" w:hAnsi="Arial"/>
                <w:sz w:val="18"/>
                <w:szCs w:val="18"/>
                <w:color w:val="auto"/>
              </w:rPr>
              <w:t>341</w:t>
            </w:r>
          </w:p>
        </w:tc>
        <w:tc>
          <w:tcPr>
            <w:tcW w:w="100" w:type="dxa"/>
            <w:vAlign w:val="bottom"/>
          </w:tcPr>
          <w:p>
            <w:pPr>
              <w:spacing w:after="0"/>
              <w:rPr>
                <w:sz w:val="18"/>
                <w:szCs w:val="18"/>
                <w:color w:val="auto"/>
              </w:rPr>
            </w:pPr>
          </w:p>
        </w:tc>
        <w:tc>
          <w:tcPr>
            <w:tcW w:w="1460" w:type="dxa"/>
            <w:vAlign w:val="bottom"/>
          </w:tcPr>
          <w:p>
            <w:pPr>
              <w:jc w:val="right"/>
              <w:ind w:right="29"/>
              <w:spacing w:after="0"/>
              <w:rPr>
                <w:sz w:val="20"/>
                <w:szCs w:val="20"/>
                <w:color w:val="auto"/>
              </w:rPr>
            </w:pPr>
            <w:r>
              <w:rPr>
                <w:rFonts w:ascii="Arial" w:cs="Arial" w:eastAsia="Arial" w:hAnsi="Arial"/>
                <w:sz w:val="18"/>
                <w:szCs w:val="18"/>
                <w:color w:val="auto"/>
              </w:rPr>
              <w:t>329</w:t>
            </w:r>
          </w:p>
        </w:tc>
        <w:tc>
          <w:tcPr>
            <w:tcW w:w="20" w:type="dxa"/>
            <w:vAlign w:val="bottom"/>
          </w:tcPr>
          <w:p>
            <w:pPr>
              <w:spacing w:after="0"/>
              <w:rPr>
                <w:sz w:val="18"/>
                <w:szCs w:val="18"/>
                <w:color w:val="auto"/>
              </w:rPr>
            </w:pPr>
          </w:p>
        </w:tc>
      </w:tr>
      <w:tr>
        <w:trPr>
          <w:trHeight w:val="216"/>
        </w:trPr>
        <w:tc>
          <w:tcPr>
            <w:tcW w:w="6760" w:type="dxa"/>
            <w:vAlign w:val="bottom"/>
            <w:shd w:val="clear" w:color="auto" w:fill="D5EAEA"/>
          </w:tcPr>
          <w:p>
            <w:pPr>
              <w:spacing w:after="0"/>
              <w:rPr>
                <w:sz w:val="20"/>
                <w:szCs w:val="20"/>
                <w:color w:val="auto"/>
              </w:rPr>
            </w:pPr>
            <w:r>
              <w:rPr>
                <w:rFonts w:ascii="Arial" w:cs="Arial" w:eastAsia="Arial" w:hAnsi="Arial"/>
                <w:sz w:val="18"/>
                <w:szCs w:val="18"/>
                <w:color w:val="auto"/>
              </w:rPr>
              <w:t>Derivative financial assets</w:t>
            </w:r>
          </w:p>
        </w:tc>
        <w:tc>
          <w:tcPr>
            <w:tcW w:w="1300" w:type="dxa"/>
            <w:vAlign w:val="bottom"/>
            <w:shd w:val="clear" w:color="auto" w:fill="D5EAEA"/>
          </w:tcPr>
          <w:p>
            <w:pPr>
              <w:jc w:val="center"/>
              <w:spacing w:after="0"/>
              <w:rPr>
                <w:sz w:val="20"/>
                <w:szCs w:val="20"/>
                <w:color w:val="auto"/>
              </w:rPr>
            </w:pPr>
            <w:r>
              <w:rPr>
                <w:rFonts w:ascii="Arial" w:cs="Arial" w:eastAsia="Arial" w:hAnsi="Arial"/>
                <w:sz w:val="18"/>
                <w:szCs w:val="18"/>
                <w:color w:val="auto"/>
                <w:w w:val="99"/>
              </w:rPr>
              <w:t>9</w:t>
            </w:r>
          </w:p>
        </w:tc>
        <w:tc>
          <w:tcPr>
            <w:tcW w:w="1620" w:type="dxa"/>
            <w:vAlign w:val="bottom"/>
            <w:gridSpan w:val="2"/>
            <w:shd w:val="clear" w:color="auto" w:fill="D5EAEA"/>
          </w:tcPr>
          <w:p>
            <w:pPr>
              <w:jc w:val="right"/>
              <w:ind w:right="30"/>
              <w:spacing w:after="0"/>
              <w:rPr>
                <w:sz w:val="20"/>
                <w:szCs w:val="20"/>
                <w:color w:val="auto"/>
              </w:rPr>
            </w:pPr>
            <w:r>
              <w:rPr>
                <w:rFonts w:ascii="Arial" w:cs="Arial" w:eastAsia="Arial" w:hAnsi="Arial"/>
                <w:sz w:val="18"/>
                <w:szCs w:val="18"/>
                <w:color w:val="auto"/>
              </w:rPr>
              <w:t>4,424</w:t>
            </w:r>
          </w:p>
        </w:tc>
        <w:tc>
          <w:tcPr>
            <w:tcW w:w="100" w:type="dxa"/>
            <w:vAlign w:val="bottom"/>
            <w:shd w:val="clear" w:color="auto" w:fill="D5EAEA"/>
          </w:tcPr>
          <w:p>
            <w:pPr>
              <w:spacing w:after="0"/>
              <w:rPr>
                <w:sz w:val="18"/>
                <w:szCs w:val="18"/>
                <w:color w:val="auto"/>
              </w:rPr>
            </w:pPr>
          </w:p>
        </w:tc>
        <w:tc>
          <w:tcPr>
            <w:tcW w:w="1460" w:type="dxa"/>
            <w:vAlign w:val="bottom"/>
            <w:shd w:val="clear" w:color="auto" w:fill="D5EAEA"/>
          </w:tcPr>
          <w:p>
            <w:pPr>
              <w:jc w:val="right"/>
              <w:ind w:right="29"/>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r>
      <w:tr>
        <w:trPr>
          <w:trHeight w:val="216"/>
        </w:trPr>
        <w:tc>
          <w:tcPr>
            <w:tcW w:w="6760" w:type="dxa"/>
            <w:vAlign w:val="bottom"/>
          </w:tcPr>
          <w:p>
            <w:pPr>
              <w:spacing w:after="0"/>
              <w:rPr>
                <w:sz w:val="20"/>
                <w:szCs w:val="20"/>
                <w:color w:val="auto"/>
              </w:rPr>
            </w:pPr>
            <w:r>
              <w:rPr>
                <w:rFonts w:ascii="Arial" w:cs="Arial" w:eastAsia="Arial" w:hAnsi="Arial"/>
                <w:sz w:val="18"/>
                <w:szCs w:val="18"/>
                <w:color w:val="auto"/>
              </w:rPr>
              <w:t>Short-term financial assets</w:t>
            </w:r>
          </w:p>
        </w:tc>
        <w:tc>
          <w:tcPr>
            <w:tcW w:w="1300" w:type="dxa"/>
            <w:vAlign w:val="bottom"/>
          </w:tcPr>
          <w:p>
            <w:pPr>
              <w:jc w:val="center"/>
              <w:spacing w:after="0"/>
              <w:rPr>
                <w:sz w:val="20"/>
                <w:szCs w:val="20"/>
                <w:color w:val="auto"/>
              </w:rPr>
            </w:pPr>
            <w:r>
              <w:rPr>
                <w:rFonts w:ascii="Arial" w:cs="Arial" w:eastAsia="Arial" w:hAnsi="Arial"/>
                <w:sz w:val="18"/>
                <w:szCs w:val="18"/>
                <w:color w:val="auto"/>
                <w:w w:val="99"/>
              </w:rPr>
              <w:t>8</w:t>
            </w:r>
          </w:p>
        </w:tc>
        <w:tc>
          <w:tcPr>
            <w:tcW w:w="1620" w:type="dxa"/>
            <w:vAlign w:val="bottom"/>
            <w:gridSpan w:val="2"/>
          </w:tcPr>
          <w:p>
            <w:pPr>
              <w:jc w:val="right"/>
              <w:ind w:right="30"/>
              <w:spacing w:after="0"/>
              <w:rPr>
                <w:sz w:val="20"/>
                <w:szCs w:val="20"/>
                <w:color w:val="auto"/>
              </w:rPr>
            </w:pPr>
            <w:r>
              <w:rPr>
                <w:rFonts w:ascii="Arial" w:cs="Arial" w:eastAsia="Arial" w:hAnsi="Arial"/>
                <w:sz w:val="18"/>
                <w:szCs w:val="18"/>
                <w:color w:val="auto"/>
              </w:rPr>
              <w:t>95,000</w:t>
            </w:r>
          </w:p>
        </w:tc>
        <w:tc>
          <w:tcPr>
            <w:tcW w:w="100" w:type="dxa"/>
            <w:vAlign w:val="bottom"/>
          </w:tcPr>
          <w:p>
            <w:pPr>
              <w:spacing w:after="0"/>
              <w:rPr>
                <w:sz w:val="18"/>
                <w:szCs w:val="18"/>
                <w:color w:val="auto"/>
              </w:rPr>
            </w:pPr>
          </w:p>
        </w:tc>
        <w:tc>
          <w:tcPr>
            <w:tcW w:w="1460" w:type="dxa"/>
            <w:vAlign w:val="bottom"/>
          </w:tcPr>
          <w:p>
            <w:pPr>
              <w:jc w:val="right"/>
              <w:ind w:right="29"/>
              <w:spacing w:after="0"/>
              <w:rPr>
                <w:sz w:val="20"/>
                <w:szCs w:val="20"/>
                <w:color w:val="auto"/>
              </w:rPr>
            </w:pPr>
            <w:r>
              <w:rPr>
                <w:rFonts w:ascii="Arial" w:cs="Arial" w:eastAsia="Arial" w:hAnsi="Arial"/>
                <w:sz w:val="18"/>
                <w:szCs w:val="18"/>
                <w:color w:val="auto"/>
              </w:rPr>
              <w:t>65,000</w:t>
            </w:r>
          </w:p>
        </w:tc>
        <w:tc>
          <w:tcPr>
            <w:tcW w:w="20" w:type="dxa"/>
            <w:vAlign w:val="bottom"/>
          </w:tcPr>
          <w:p>
            <w:pPr>
              <w:spacing w:after="0"/>
              <w:rPr>
                <w:sz w:val="18"/>
                <w:szCs w:val="18"/>
                <w:color w:val="auto"/>
              </w:rPr>
            </w:pPr>
          </w:p>
        </w:tc>
      </w:tr>
      <w:tr>
        <w:trPr>
          <w:trHeight w:val="229"/>
        </w:trPr>
        <w:tc>
          <w:tcPr>
            <w:tcW w:w="6760" w:type="dxa"/>
            <w:vAlign w:val="bottom"/>
            <w:shd w:val="clear" w:color="auto" w:fill="D5EAEA"/>
          </w:tcPr>
          <w:p>
            <w:pPr>
              <w:spacing w:after="0"/>
              <w:rPr>
                <w:sz w:val="20"/>
                <w:szCs w:val="20"/>
                <w:color w:val="auto"/>
              </w:rPr>
            </w:pPr>
            <w:r>
              <w:rPr>
                <w:rFonts w:ascii="Arial" w:cs="Arial" w:eastAsia="Arial" w:hAnsi="Arial"/>
                <w:sz w:val="18"/>
                <w:szCs w:val="18"/>
                <w:color w:val="auto"/>
              </w:rPr>
              <w:t>Cash and cash equivalents</w:t>
            </w:r>
          </w:p>
        </w:tc>
        <w:tc>
          <w:tcPr>
            <w:tcW w:w="1300" w:type="dxa"/>
            <w:vAlign w:val="bottom"/>
            <w:shd w:val="clear" w:color="auto" w:fill="D5EAEA"/>
          </w:tcPr>
          <w:p>
            <w:pPr>
              <w:jc w:val="center"/>
              <w:spacing w:after="0"/>
              <w:rPr>
                <w:sz w:val="20"/>
                <w:szCs w:val="20"/>
                <w:color w:val="auto"/>
              </w:rPr>
            </w:pPr>
            <w:r>
              <w:rPr>
                <w:rFonts w:ascii="Arial" w:cs="Arial" w:eastAsia="Arial" w:hAnsi="Arial"/>
                <w:sz w:val="18"/>
                <w:szCs w:val="18"/>
                <w:color w:val="auto"/>
                <w:w w:val="99"/>
              </w:rPr>
              <w:t>8</w:t>
            </w:r>
          </w:p>
        </w:tc>
        <w:tc>
          <w:tcPr>
            <w:tcW w:w="1620" w:type="dxa"/>
            <w:vAlign w:val="bottom"/>
            <w:gridSpan w:val="2"/>
            <w:shd w:val="clear" w:color="auto" w:fill="D5EAEA"/>
          </w:tcPr>
          <w:p>
            <w:pPr>
              <w:jc w:val="right"/>
              <w:ind w:right="30"/>
              <w:spacing w:after="0"/>
              <w:rPr>
                <w:sz w:val="20"/>
                <w:szCs w:val="20"/>
                <w:color w:val="auto"/>
              </w:rPr>
            </w:pPr>
            <w:r>
              <w:rPr>
                <w:rFonts w:ascii="Arial" w:cs="Arial" w:eastAsia="Arial" w:hAnsi="Arial"/>
                <w:sz w:val="18"/>
                <w:szCs w:val="18"/>
                <w:color w:val="auto"/>
              </w:rPr>
              <w:t>93,584</w:t>
            </w:r>
          </w:p>
        </w:tc>
        <w:tc>
          <w:tcPr>
            <w:tcW w:w="100" w:type="dxa"/>
            <w:vAlign w:val="bottom"/>
            <w:shd w:val="clear" w:color="auto" w:fill="D5EAEA"/>
          </w:tcPr>
          <w:p>
            <w:pPr>
              <w:spacing w:after="0"/>
              <w:rPr>
                <w:sz w:val="19"/>
                <w:szCs w:val="19"/>
                <w:color w:val="auto"/>
              </w:rPr>
            </w:pPr>
          </w:p>
        </w:tc>
        <w:tc>
          <w:tcPr>
            <w:tcW w:w="1460" w:type="dxa"/>
            <w:vAlign w:val="bottom"/>
            <w:shd w:val="clear" w:color="auto" w:fill="D5EAEA"/>
          </w:tcPr>
          <w:p>
            <w:pPr>
              <w:jc w:val="right"/>
              <w:ind w:right="29"/>
              <w:spacing w:after="0"/>
              <w:rPr>
                <w:sz w:val="20"/>
                <w:szCs w:val="20"/>
                <w:color w:val="auto"/>
              </w:rPr>
            </w:pPr>
            <w:r>
              <w:rPr>
                <w:rFonts w:ascii="Arial" w:cs="Arial" w:eastAsia="Arial" w:hAnsi="Arial"/>
                <w:sz w:val="18"/>
                <w:szCs w:val="18"/>
                <w:color w:val="auto"/>
              </w:rPr>
              <w:t>160,893</w:t>
            </w:r>
          </w:p>
        </w:tc>
        <w:tc>
          <w:tcPr>
            <w:tcW w:w="20" w:type="dxa"/>
            <w:vAlign w:val="bottom"/>
          </w:tcPr>
          <w:p>
            <w:pPr>
              <w:spacing w:after="0"/>
              <w:rPr>
                <w:sz w:val="19"/>
                <w:szCs w:val="19"/>
                <w:color w:val="auto"/>
              </w:rPr>
            </w:pPr>
          </w:p>
        </w:tc>
      </w:tr>
      <w:tr>
        <w:trPr>
          <w:trHeight w:val="209"/>
        </w:trPr>
        <w:tc>
          <w:tcPr>
            <w:tcW w:w="6760" w:type="dxa"/>
            <w:vAlign w:val="bottom"/>
            <w:tcBorders>
              <w:bottom w:val="single" w:sz="8" w:color="D5EAEA"/>
            </w:tcBorders>
          </w:tcPr>
          <w:p>
            <w:pPr>
              <w:spacing w:after="0"/>
              <w:rPr>
                <w:sz w:val="20"/>
                <w:szCs w:val="20"/>
                <w:color w:val="auto"/>
              </w:rPr>
            </w:pPr>
            <w:r>
              <w:rPr>
                <w:rFonts w:ascii="Arial" w:cs="Arial" w:eastAsia="Arial" w:hAnsi="Arial"/>
                <w:sz w:val="18"/>
                <w:szCs w:val="18"/>
                <w:b w:val="1"/>
                <w:bCs w:val="1"/>
                <w:color w:val="auto"/>
              </w:rPr>
              <w:t>Total current assets</w:t>
            </w:r>
          </w:p>
        </w:tc>
        <w:tc>
          <w:tcPr>
            <w:tcW w:w="1300" w:type="dxa"/>
            <w:vAlign w:val="bottom"/>
            <w:tcBorders>
              <w:bottom w:val="single" w:sz="8" w:color="D5EAEA"/>
            </w:tcBorders>
          </w:tcPr>
          <w:p>
            <w:pPr>
              <w:spacing w:after="0"/>
              <w:rPr>
                <w:sz w:val="18"/>
                <w:szCs w:val="18"/>
                <w:color w:val="auto"/>
              </w:rPr>
            </w:pPr>
          </w:p>
        </w:tc>
        <w:tc>
          <w:tcPr>
            <w:tcW w:w="120" w:type="dxa"/>
            <w:vAlign w:val="bottom"/>
            <w:tcBorders>
              <w:bottom w:val="single" w:sz="8" w:color="D5EAEA"/>
            </w:tcBorders>
          </w:tcPr>
          <w:p>
            <w:pPr>
              <w:spacing w:after="0"/>
              <w:rPr>
                <w:sz w:val="18"/>
                <w:szCs w:val="18"/>
                <w:color w:val="auto"/>
              </w:rPr>
            </w:pPr>
          </w:p>
        </w:tc>
        <w:tc>
          <w:tcPr>
            <w:tcW w:w="15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195,376</w:t>
            </w:r>
          </w:p>
        </w:tc>
        <w:tc>
          <w:tcPr>
            <w:tcW w:w="100" w:type="dxa"/>
            <w:vAlign w:val="bottom"/>
            <w:tcBorders>
              <w:bottom w:val="single" w:sz="8" w:color="D5EAEA"/>
            </w:tcBorders>
          </w:tcPr>
          <w:p>
            <w:pPr>
              <w:spacing w:after="0"/>
              <w:rPr>
                <w:sz w:val="18"/>
                <w:szCs w:val="18"/>
                <w:color w:val="auto"/>
              </w:rPr>
            </w:pPr>
          </w:p>
        </w:tc>
        <w:tc>
          <w:tcPr>
            <w:tcW w:w="1460" w:type="dxa"/>
            <w:vAlign w:val="bottom"/>
            <w:tcBorders>
              <w:top w:val="single" w:sz="8" w:color="auto"/>
              <w:bottom w:val="single" w:sz="8" w:color="auto"/>
            </w:tcBorders>
          </w:tcPr>
          <w:p>
            <w:pPr>
              <w:jc w:val="right"/>
              <w:ind w:right="29"/>
              <w:spacing w:after="0"/>
              <w:rPr>
                <w:sz w:val="20"/>
                <w:szCs w:val="20"/>
                <w:color w:val="auto"/>
              </w:rPr>
            </w:pPr>
            <w:r>
              <w:rPr>
                <w:rFonts w:ascii="Arial" w:cs="Arial" w:eastAsia="Arial" w:hAnsi="Arial"/>
                <w:sz w:val="18"/>
                <w:szCs w:val="18"/>
                <w:color w:val="auto"/>
              </w:rPr>
              <w:t>231,767</w:t>
            </w:r>
          </w:p>
        </w:tc>
        <w:tc>
          <w:tcPr>
            <w:tcW w:w="20" w:type="dxa"/>
            <w:vAlign w:val="bottom"/>
          </w:tcPr>
          <w:p>
            <w:pPr>
              <w:spacing w:after="0"/>
              <w:rPr>
                <w:sz w:val="18"/>
                <w:szCs w:val="18"/>
                <w:color w:val="auto"/>
              </w:rPr>
            </w:pPr>
          </w:p>
        </w:tc>
      </w:tr>
      <w:tr>
        <w:trPr>
          <w:trHeight w:val="223"/>
        </w:trPr>
        <w:tc>
          <w:tcPr>
            <w:tcW w:w="6760" w:type="dxa"/>
            <w:vAlign w:val="bottom"/>
            <w:tcBorders>
              <w:bottom w:val="single" w:sz="8" w:color="D5EAEA"/>
            </w:tcBorders>
            <w:shd w:val="clear" w:color="auto" w:fill="D5EAEA"/>
          </w:tcPr>
          <w:p>
            <w:pPr>
              <w:spacing w:after="0"/>
              <w:rPr>
                <w:sz w:val="20"/>
                <w:szCs w:val="20"/>
                <w:color w:val="auto"/>
              </w:rPr>
            </w:pPr>
            <w:r>
              <w:rPr>
                <w:rFonts w:ascii="Arial" w:cs="Arial" w:eastAsia="Arial" w:hAnsi="Arial"/>
                <w:sz w:val="18"/>
                <w:szCs w:val="18"/>
                <w:b w:val="1"/>
                <w:bCs w:val="1"/>
                <w:color w:val="auto"/>
              </w:rPr>
              <w:t>Total assets</w:t>
            </w:r>
          </w:p>
        </w:tc>
        <w:tc>
          <w:tcPr>
            <w:tcW w:w="1300" w:type="dxa"/>
            <w:vAlign w:val="bottom"/>
            <w:tcBorders>
              <w:bottom w:val="single" w:sz="8" w:color="D5EAEA"/>
            </w:tcBorders>
            <w:shd w:val="clear" w:color="auto" w:fill="D5EAEA"/>
          </w:tcPr>
          <w:p>
            <w:pPr>
              <w:spacing w:after="0"/>
              <w:rPr>
                <w:sz w:val="19"/>
                <w:szCs w:val="19"/>
                <w:color w:val="auto"/>
              </w:rPr>
            </w:pPr>
          </w:p>
        </w:tc>
        <w:tc>
          <w:tcPr>
            <w:tcW w:w="120" w:type="dxa"/>
            <w:vAlign w:val="bottom"/>
            <w:tcBorders>
              <w:bottom w:val="single" w:sz="8" w:color="D5EAEA"/>
            </w:tcBorders>
            <w:shd w:val="clear" w:color="auto" w:fill="D5EAEA"/>
          </w:tcPr>
          <w:p>
            <w:pPr>
              <w:spacing w:after="0"/>
              <w:rPr>
                <w:sz w:val="19"/>
                <w:szCs w:val="19"/>
                <w:color w:val="auto"/>
              </w:rPr>
            </w:pPr>
          </w:p>
        </w:tc>
        <w:tc>
          <w:tcPr>
            <w:tcW w:w="1500" w:type="dxa"/>
            <w:vAlign w:val="bottom"/>
            <w:tcBorders>
              <w:bottom w:val="single" w:sz="8" w:color="auto"/>
            </w:tcBorders>
            <w:shd w:val="clear" w:color="auto" w:fill="D5EAEA"/>
          </w:tcPr>
          <w:p>
            <w:pPr>
              <w:jc w:val="right"/>
              <w:ind w:right="30"/>
              <w:spacing w:after="0"/>
              <w:rPr>
                <w:sz w:val="20"/>
                <w:szCs w:val="20"/>
                <w:color w:val="auto"/>
              </w:rPr>
            </w:pPr>
            <w:r>
              <w:rPr>
                <w:rFonts w:ascii="Arial" w:cs="Arial" w:eastAsia="Arial" w:hAnsi="Arial"/>
                <w:sz w:val="18"/>
                <w:szCs w:val="18"/>
                <w:color w:val="auto"/>
              </w:rPr>
              <w:t>203,396</w:t>
            </w:r>
          </w:p>
        </w:tc>
        <w:tc>
          <w:tcPr>
            <w:tcW w:w="100" w:type="dxa"/>
            <w:vAlign w:val="bottom"/>
            <w:tcBorders>
              <w:bottom w:val="single" w:sz="8" w:color="D5EAEA"/>
            </w:tcBorders>
            <w:shd w:val="clear" w:color="auto" w:fill="D5EAEA"/>
          </w:tcPr>
          <w:p>
            <w:pPr>
              <w:spacing w:after="0"/>
              <w:rPr>
                <w:sz w:val="19"/>
                <w:szCs w:val="19"/>
                <w:color w:val="auto"/>
              </w:rPr>
            </w:pPr>
          </w:p>
        </w:tc>
        <w:tc>
          <w:tcPr>
            <w:tcW w:w="1460" w:type="dxa"/>
            <w:vAlign w:val="bottom"/>
            <w:tcBorders>
              <w:bottom w:val="single" w:sz="8" w:color="auto"/>
            </w:tcBorders>
            <w:shd w:val="clear" w:color="auto" w:fill="D5EAEA"/>
          </w:tcPr>
          <w:p>
            <w:pPr>
              <w:jc w:val="right"/>
              <w:ind w:right="29"/>
              <w:spacing w:after="0"/>
              <w:rPr>
                <w:sz w:val="20"/>
                <w:szCs w:val="20"/>
                <w:color w:val="auto"/>
              </w:rPr>
            </w:pPr>
            <w:r>
              <w:rPr>
                <w:rFonts w:ascii="Arial" w:cs="Arial" w:eastAsia="Arial" w:hAnsi="Arial"/>
                <w:sz w:val="18"/>
                <w:szCs w:val="18"/>
                <w:color w:val="auto"/>
              </w:rPr>
              <w:t>238,740</w:t>
            </w:r>
          </w:p>
        </w:tc>
        <w:tc>
          <w:tcPr>
            <w:tcW w:w="20" w:type="dxa"/>
            <w:vAlign w:val="bottom"/>
          </w:tcPr>
          <w:p>
            <w:pPr>
              <w:spacing w:after="0"/>
              <w:rPr>
                <w:sz w:val="19"/>
                <w:szCs w:val="19"/>
                <w:color w:val="auto"/>
              </w:rPr>
            </w:pPr>
          </w:p>
        </w:tc>
      </w:tr>
      <w:tr>
        <w:trPr>
          <w:trHeight w:val="20"/>
        </w:trPr>
        <w:tc>
          <w:tcPr>
            <w:tcW w:w="67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7"/>
        </w:trPr>
        <w:tc>
          <w:tcPr>
            <w:tcW w:w="67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16"/>
        </w:trPr>
        <w:tc>
          <w:tcPr>
            <w:tcW w:w="6760" w:type="dxa"/>
            <w:vAlign w:val="bottom"/>
            <w:shd w:val="clear" w:color="auto" w:fill="D5EAEA"/>
          </w:tcPr>
          <w:p>
            <w:pPr>
              <w:spacing w:after="0"/>
              <w:rPr>
                <w:sz w:val="20"/>
                <w:szCs w:val="20"/>
                <w:color w:val="auto"/>
              </w:rPr>
            </w:pPr>
            <w:r>
              <w:rPr>
                <w:rFonts w:ascii="Arial" w:cs="Arial" w:eastAsia="Arial" w:hAnsi="Arial"/>
                <w:sz w:val="18"/>
                <w:szCs w:val="18"/>
                <w:b w:val="1"/>
                <w:bCs w:val="1"/>
                <w:color w:val="auto"/>
              </w:rPr>
              <w:t>SHAREHOLDERS’ EQUITY AND LIABILITIES</w:t>
            </w:r>
          </w:p>
        </w:tc>
        <w:tc>
          <w:tcPr>
            <w:tcW w:w="1300" w:type="dxa"/>
            <w:vAlign w:val="bottom"/>
            <w:shd w:val="clear" w:color="auto" w:fill="D5EAEA"/>
          </w:tcPr>
          <w:p>
            <w:pPr>
              <w:spacing w:after="0"/>
              <w:rPr>
                <w:sz w:val="18"/>
                <w:szCs w:val="18"/>
                <w:color w:val="auto"/>
              </w:rPr>
            </w:pPr>
          </w:p>
        </w:tc>
        <w:tc>
          <w:tcPr>
            <w:tcW w:w="120" w:type="dxa"/>
            <w:vAlign w:val="bottom"/>
            <w:shd w:val="clear" w:color="auto" w:fill="D5EAEA"/>
          </w:tcPr>
          <w:p>
            <w:pPr>
              <w:spacing w:after="0"/>
              <w:rPr>
                <w:sz w:val="18"/>
                <w:szCs w:val="18"/>
                <w:color w:val="auto"/>
              </w:rPr>
            </w:pPr>
          </w:p>
        </w:tc>
        <w:tc>
          <w:tcPr>
            <w:tcW w:w="1500" w:type="dxa"/>
            <w:vAlign w:val="bottom"/>
            <w:shd w:val="clear" w:color="auto" w:fill="D5EAEA"/>
          </w:tcPr>
          <w:p>
            <w:pPr>
              <w:spacing w:after="0"/>
              <w:rPr>
                <w:sz w:val="18"/>
                <w:szCs w:val="18"/>
                <w:color w:val="auto"/>
              </w:rPr>
            </w:pPr>
          </w:p>
        </w:tc>
        <w:tc>
          <w:tcPr>
            <w:tcW w:w="100" w:type="dxa"/>
            <w:vAlign w:val="bottom"/>
            <w:shd w:val="clear" w:color="auto" w:fill="D5EAEA"/>
          </w:tcPr>
          <w:p>
            <w:pPr>
              <w:spacing w:after="0"/>
              <w:rPr>
                <w:sz w:val="18"/>
                <w:szCs w:val="18"/>
                <w:color w:val="auto"/>
              </w:rPr>
            </w:pPr>
          </w:p>
        </w:tc>
        <w:tc>
          <w:tcPr>
            <w:tcW w:w="1460" w:type="dxa"/>
            <w:vAlign w:val="bottom"/>
            <w:shd w:val="clear" w:color="auto" w:fill="D5EAEA"/>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67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6760" w:type="dxa"/>
            <w:vAlign w:val="bottom"/>
            <w:shd w:val="clear" w:color="auto" w:fill="D5EAEA"/>
          </w:tcPr>
          <w:p>
            <w:pPr>
              <w:spacing w:after="0"/>
              <w:rPr>
                <w:sz w:val="20"/>
                <w:szCs w:val="20"/>
                <w:color w:val="auto"/>
              </w:rPr>
            </w:pPr>
            <w:r>
              <w:rPr>
                <w:rFonts w:ascii="Arial" w:cs="Arial" w:eastAsia="Arial" w:hAnsi="Arial"/>
                <w:sz w:val="18"/>
                <w:szCs w:val="18"/>
                <w:b w:val="1"/>
                <w:bCs w:val="1"/>
                <w:color w:val="auto"/>
              </w:rPr>
              <w:t>Shareholders’ equity</w:t>
            </w:r>
          </w:p>
        </w:tc>
        <w:tc>
          <w:tcPr>
            <w:tcW w:w="1300" w:type="dxa"/>
            <w:vAlign w:val="bottom"/>
            <w:shd w:val="clear" w:color="auto" w:fill="D5EAEA"/>
          </w:tcPr>
          <w:p>
            <w:pPr>
              <w:spacing w:after="0"/>
              <w:rPr>
                <w:sz w:val="18"/>
                <w:szCs w:val="18"/>
                <w:color w:val="auto"/>
              </w:rPr>
            </w:pPr>
          </w:p>
        </w:tc>
        <w:tc>
          <w:tcPr>
            <w:tcW w:w="120" w:type="dxa"/>
            <w:vAlign w:val="bottom"/>
            <w:shd w:val="clear" w:color="auto" w:fill="D5EAEA"/>
          </w:tcPr>
          <w:p>
            <w:pPr>
              <w:spacing w:after="0"/>
              <w:rPr>
                <w:sz w:val="18"/>
                <w:szCs w:val="18"/>
                <w:color w:val="auto"/>
              </w:rPr>
            </w:pPr>
          </w:p>
        </w:tc>
        <w:tc>
          <w:tcPr>
            <w:tcW w:w="1500" w:type="dxa"/>
            <w:vAlign w:val="bottom"/>
            <w:shd w:val="clear" w:color="auto" w:fill="D5EAEA"/>
          </w:tcPr>
          <w:p>
            <w:pPr>
              <w:spacing w:after="0"/>
              <w:rPr>
                <w:sz w:val="18"/>
                <w:szCs w:val="18"/>
                <w:color w:val="auto"/>
              </w:rPr>
            </w:pPr>
          </w:p>
        </w:tc>
        <w:tc>
          <w:tcPr>
            <w:tcW w:w="100" w:type="dxa"/>
            <w:vAlign w:val="bottom"/>
            <w:shd w:val="clear" w:color="auto" w:fill="D5EAEA"/>
          </w:tcPr>
          <w:p>
            <w:pPr>
              <w:spacing w:after="0"/>
              <w:rPr>
                <w:sz w:val="18"/>
                <w:szCs w:val="18"/>
                <w:color w:val="auto"/>
              </w:rPr>
            </w:pPr>
          </w:p>
        </w:tc>
        <w:tc>
          <w:tcPr>
            <w:tcW w:w="1460" w:type="dxa"/>
            <w:vAlign w:val="bottom"/>
            <w:shd w:val="clear" w:color="auto" w:fill="D5EAEA"/>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6760" w:type="dxa"/>
            <w:vAlign w:val="bottom"/>
          </w:tcPr>
          <w:p>
            <w:pPr>
              <w:spacing w:after="0"/>
              <w:rPr>
                <w:sz w:val="20"/>
                <w:szCs w:val="20"/>
                <w:color w:val="auto"/>
              </w:rPr>
            </w:pPr>
            <w:r>
              <w:rPr>
                <w:rFonts w:ascii="Arial" w:cs="Arial" w:eastAsia="Arial" w:hAnsi="Arial"/>
                <w:sz w:val="18"/>
                <w:szCs w:val="18"/>
                <w:color w:val="auto"/>
              </w:rPr>
              <w:t>Share capital</w:t>
            </w:r>
          </w:p>
        </w:tc>
        <w:tc>
          <w:tcPr>
            <w:tcW w:w="1300" w:type="dxa"/>
            <w:vAlign w:val="bottom"/>
          </w:tcPr>
          <w:p>
            <w:pPr>
              <w:spacing w:after="0"/>
              <w:rPr>
                <w:sz w:val="18"/>
                <w:szCs w:val="18"/>
                <w:color w:val="auto"/>
              </w:rPr>
            </w:pPr>
          </w:p>
        </w:tc>
        <w:tc>
          <w:tcPr>
            <w:tcW w:w="1620" w:type="dxa"/>
            <w:vAlign w:val="bottom"/>
            <w:gridSpan w:val="2"/>
          </w:tcPr>
          <w:p>
            <w:pPr>
              <w:jc w:val="right"/>
              <w:ind w:right="30"/>
              <w:spacing w:after="0"/>
              <w:rPr>
                <w:sz w:val="20"/>
                <w:szCs w:val="20"/>
                <w:color w:val="auto"/>
              </w:rPr>
            </w:pPr>
            <w:r>
              <w:rPr>
                <w:rFonts w:ascii="Arial" w:cs="Arial" w:eastAsia="Arial" w:hAnsi="Arial"/>
                <w:sz w:val="18"/>
                <w:szCs w:val="18"/>
                <w:color w:val="auto"/>
              </w:rPr>
              <w:t>1,589</w:t>
            </w:r>
          </w:p>
        </w:tc>
        <w:tc>
          <w:tcPr>
            <w:tcW w:w="100" w:type="dxa"/>
            <w:vAlign w:val="bottom"/>
          </w:tcPr>
          <w:p>
            <w:pPr>
              <w:spacing w:after="0"/>
              <w:rPr>
                <w:sz w:val="18"/>
                <w:szCs w:val="18"/>
                <w:color w:val="auto"/>
              </w:rPr>
            </w:pPr>
          </w:p>
        </w:tc>
        <w:tc>
          <w:tcPr>
            <w:tcW w:w="1460" w:type="dxa"/>
            <w:vAlign w:val="bottom"/>
          </w:tcPr>
          <w:p>
            <w:pPr>
              <w:jc w:val="right"/>
              <w:ind w:right="29"/>
              <w:spacing w:after="0"/>
              <w:rPr>
                <w:sz w:val="20"/>
                <w:szCs w:val="20"/>
                <w:color w:val="auto"/>
              </w:rPr>
            </w:pPr>
            <w:r>
              <w:rPr>
                <w:rFonts w:ascii="Arial" w:cs="Arial" w:eastAsia="Arial" w:hAnsi="Arial"/>
                <w:sz w:val="18"/>
                <w:szCs w:val="18"/>
                <w:color w:val="auto"/>
              </w:rPr>
              <w:t>1,538</w:t>
            </w:r>
          </w:p>
        </w:tc>
        <w:tc>
          <w:tcPr>
            <w:tcW w:w="20" w:type="dxa"/>
            <w:vAlign w:val="bottom"/>
          </w:tcPr>
          <w:p>
            <w:pPr>
              <w:spacing w:after="0"/>
              <w:rPr>
                <w:sz w:val="18"/>
                <w:szCs w:val="18"/>
                <w:color w:val="auto"/>
              </w:rPr>
            </w:pPr>
          </w:p>
        </w:tc>
      </w:tr>
      <w:tr>
        <w:trPr>
          <w:trHeight w:val="216"/>
        </w:trPr>
        <w:tc>
          <w:tcPr>
            <w:tcW w:w="6760" w:type="dxa"/>
            <w:vAlign w:val="bottom"/>
            <w:shd w:val="clear" w:color="auto" w:fill="D5EAEA"/>
          </w:tcPr>
          <w:p>
            <w:pPr>
              <w:spacing w:after="0"/>
              <w:rPr>
                <w:sz w:val="20"/>
                <w:szCs w:val="20"/>
                <w:color w:val="auto"/>
              </w:rPr>
            </w:pPr>
            <w:r>
              <w:rPr>
                <w:rFonts w:ascii="Arial" w:cs="Arial" w:eastAsia="Arial" w:hAnsi="Arial"/>
                <w:sz w:val="18"/>
                <w:szCs w:val="18"/>
                <w:color w:val="auto"/>
              </w:rPr>
              <w:t>Share premium</w:t>
            </w:r>
          </w:p>
        </w:tc>
        <w:tc>
          <w:tcPr>
            <w:tcW w:w="1300" w:type="dxa"/>
            <w:vAlign w:val="bottom"/>
            <w:shd w:val="clear" w:color="auto" w:fill="D5EAEA"/>
          </w:tcPr>
          <w:p>
            <w:pPr>
              <w:spacing w:after="0"/>
              <w:rPr>
                <w:sz w:val="18"/>
                <w:szCs w:val="18"/>
                <w:color w:val="auto"/>
              </w:rPr>
            </w:pPr>
          </w:p>
        </w:tc>
        <w:tc>
          <w:tcPr>
            <w:tcW w:w="1620" w:type="dxa"/>
            <w:vAlign w:val="bottom"/>
            <w:gridSpan w:val="2"/>
            <w:shd w:val="clear" w:color="auto" w:fill="D5EAEA"/>
          </w:tcPr>
          <w:p>
            <w:pPr>
              <w:jc w:val="right"/>
              <w:ind w:right="30"/>
              <w:spacing w:after="0"/>
              <w:rPr>
                <w:sz w:val="20"/>
                <w:szCs w:val="20"/>
                <w:color w:val="auto"/>
              </w:rPr>
            </w:pPr>
            <w:r>
              <w:rPr>
                <w:rFonts w:ascii="Arial" w:cs="Arial" w:eastAsia="Arial" w:hAnsi="Arial"/>
                <w:sz w:val="18"/>
                <w:szCs w:val="18"/>
                <w:color w:val="auto"/>
              </w:rPr>
              <w:t>359,421</w:t>
            </w:r>
          </w:p>
        </w:tc>
        <w:tc>
          <w:tcPr>
            <w:tcW w:w="100" w:type="dxa"/>
            <w:vAlign w:val="bottom"/>
            <w:shd w:val="clear" w:color="auto" w:fill="D5EAEA"/>
          </w:tcPr>
          <w:p>
            <w:pPr>
              <w:spacing w:after="0"/>
              <w:rPr>
                <w:sz w:val="18"/>
                <w:szCs w:val="18"/>
                <w:color w:val="auto"/>
              </w:rPr>
            </w:pPr>
          </w:p>
        </w:tc>
        <w:tc>
          <w:tcPr>
            <w:tcW w:w="1460" w:type="dxa"/>
            <w:vAlign w:val="bottom"/>
            <w:shd w:val="clear" w:color="auto" w:fill="D5EAEA"/>
          </w:tcPr>
          <w:p>
            <w:pPr>
              <w:jc w:val="right"/>
              <w:ind w:right="29"/>
              <w:spacing w:after="0"/>
              <w:rPr>
                <w:sz w:val="20"/>
                <w:szCs w:val="20"/>
                <w:color w:val="auto"/>
              </w:rPr>
            </w:pPr>
            <w:r>
              <w:rPr>
                <w:rFonts w:ascii="Arial" w:cs="Arial" w:eastAsia="Arial" w:hAnsi="Arial"/>
                <w:sz w:val="18"/>
                <w:szCs w:val="18"/>
                <w:color w:val="auto"/>
              </w:rPr>
              <w:t>346,890</w:t>
            </w:r>
          </w:p>
        </w:tc>
        <w:tc>
          <w:tcPr>
            <w:tcW w:w="20" w:type="dxa"/>
            <w:vAlign w:val="bottom"/>
          </w:tcPr>
          <w:p>
            <w:pPr>
              <w:spacing w:after="0"/>
              <w:rPr>
                <w:sz w:val="18"/>
                <w:szCs w:val="18"/>
                <w:color w:val="auto"/>
              </w:rPr>
            </w:pPr>
          </w:p>
        </w:tc>
      </w:tr>
      <w:tr>
        <w:trPr>
          <w:trHeight w:val="216"/>
        </w:trPr>
        <w:tc>
          <w:tcPr>
            <w:tcW w:w="6760" w:type="dxa"/>
            <w:vAlign w:val="bottom"/>
          </w:tcPr>
          <w:p>
            <w:pPr>
              <w:spacing w:after="0"/>
              <w:rPr>
                <w:sz w:val="20"/>
                <w:szCs w:val="20"/>
                <w:color w:val="auto"/>
              </w:rPr>
            </w:pPr>
            <w:r>
              <w:rPr>
                <w:rFonts w:ascii="Arial" w:cs="Arial" w:eastAsia="Arial" w:hAnsi="Arial"/>
                <w:sz w:val="18"/>
                <w:szCs w:val="18"/>
                <w:color w:val="auto"/>
              </w:rPr>
              <w:t>Treasury shares</w:t>
            </w:r>
          </w:p>
        </w:tc>
        <w:tc>
          <w:tcPr>
            <w:tcW w:w="1300" w:type="dxa"/>
            <w:vAlign w:val="bottom"/>
          </w:tcPr>
          <w:p>
            <w:pPr>
              <w:jc w:val="center"/>
              <w:spacing w:after="0"/>
              <w:rPr>
                <w:sz w:val="20"/>
                <w:szCs w:val="20"/>
                <w:color w:val="auto"/>
              </w:rPr>
            </w:pPr>
            <w:r>
              <w:rPr>
                <w:rFonts w:ascii="Arial" w:cs="Arial" w:eastAsia="Arial" w:hAnsi="Arial"/>
                <w:sz w:val="18"/>
                <w:szCs w:val="18"/>
                <w:color w:val="auto"/>
                <w:w w:val="89"/>
              </w:rPr>
              <w:t>10</w:t>
            </w:r>
          </w:p>
        </w:tc>
        <w:tc>
          <w:tcPr>
            <w:tcW w:w="1620" w:type="dxa"/>
            <w:vAlign w:val="bottom"/>
            <w:gridSpan w:val="2"/>
          </w:tcPr>
          <w:p>
            <w:pPr>
              <w:jc w:val="right"/>
              <w:spacing w:after="0"/>
              <w:rPr>
                <w:sz w:val="20"/>
                <w:szCs w:val="20"/>
                <w:color w:val="auto"/>
              </w:rPr>
            </w:pPr>
            <w:r>
              <w:rPr>
                <w:rFonts w:ascii="Arial" w:cs="Arial" w:eastAsia="Arial" w:hAnsi="Arial"/>
                <w:sz w:val="18"/>
                <w:szCs w:val="18"/>
                <w:color w:val="auto"/>
              </w:rPr>
              <w:t>(124)</w:t>
            </w:r>
          </w:p>
        </w:tc>
        <w:tc>
          <w:tcPr>
            <w:tcW w:w="1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(100)</w:t>
            </w:r>
          </w:p>
        </w:tc>
        <w:tc>
          <w:tcPr>
            <w:tcW w:w="20" w:type="dxa"/>
            <w:vAlign w:val="bottom"/>
          </w:tcPr>
          <w:p>
            <w:pPr>
              <w:spacing w:after="0"/>
              <w:rPr>
                <w:sz w:val="18"/>
                <w:szCs w:val="18"/>
                <w:color w:val="auto"/>
              </w:rPr>
            </w:pPr>
          </w:p>
        </w:tc>
      </w:tr>
      <w:tr>
        <w:trPr>
          <w:trHeight w:val="229"/>
        </w:trPr>
        <w:tc>
          <w:tcPr>
            <w:tcW w:w="6760" w:type="dxa"/>
            <w:vAlign w:val="bottom"/>
            <w:shd w:val="clear" w:color="auto" w:fill="D5EAEA"/>
          </w:tcPr>
          <w:p>
            <w:pPr>
              <w:spacing w:after="0"/>
              <w:rPr>
                <w:sz w:val="20"/>
                <w:szCs w:val="20"/>
                <w:color w:val="auto"/>
              </w:rPr>
            </w:pPr>
            <w:r>
              <w:rPr>
                <w:rFonts w:ascii="Arial" w:cs="Arial" w:eastAsia="Arial" w:hAnsi="Arial"/>
                <w:sz w:val="18"/>
                <w:szCs w:val="18"/>
                <w:color w:val="auto"/>
              </w:rPr>
              <w:t>Accumulated losses</w:t>
            </w:r>
          </w:p>
        </w:tc>
        <w:tc>
          <w:tcPr>
            <w:tcW w:w="1300" w:type="dxa"/>
            <w:vAlign w:val="bottom"/>
            <w:shd w:val="clear" w:color="auto" w:fill="D5EAEA"/>
          </w:tcPr>
          <w:p>
            <w:pPr>
              <w:spacing w:after="0"/>
              <w:rPr>
                <w:sz w:val="19"/>
                <w:szCs w:val="19"/>
                <w:color w:val="auto"/>
              </w:rPr>
            </w:pPr>
          </w:p>
        </w:tc>
        <w:tc>
          <w:tcPr>
            <w:tcW w:w="1620" w:type="dxa"/>
            <w:vAlign w:val="bottom"/>
            <w:gridSpan w:val="2"/>
            <w:shd w:val="clear" w:color="auto" w:fill="D5EAEA"/>
          </w:tcPr>
          <w:p>
            <w:pPr>
              <w:jc w:val="right"/>
              <w:spacing w:after="0"/>
              <w:rPr>
                <w:sz w:val="20"/>
                <w:szCs w:val="20"/>
                <w:color w:val="auto"/>
              </w:rPr>
            </w:pPr>
            <w:r>
              <w:rPr>
                <w:rFonts w:ascii="Arial" w:cs="Arial" w:eastAsia="Arial" w:hAnsi="Arial"/>
                <w:sz w:val="18"/>
                <w:szCs w:val="18"/>
                <w:color w:val="auto"/>
              </w:rPr>
              <w:t>(181,665)</w:t>
            </w:r>
          </w:p>
        </w:tc>
        <w:tc>
          <w:tcPr>
            <w:tcW w:w="100" w:type="dxa"/>
            <w:vAlign w:val="bottom"/>
            <w:shd w:val="clear" w:color="auto" w:fill="D5EAEA"/>
          </w:tcPr>
          <w:p>
            <w:pPr>
              <w:spacing w:after="0"/>
              <w:rPr>
                <w:sz w:val="19"/>
                <w:szCs w:val="19"/>
                <w:color w:val="auto"/>
              </w:rPr>
            </w:pPr>
          </w:p>
        </w:tc>
        <w:tc>
          <w:tcPr>
            <w:tcW w:w="1460" w:type="dxa"/>
            <w:vAlign w:val="bottom"/>
            <w:shd w:val="clear" w:color="auto" w:fill="D5EAEA"/>
          </w:tcPr>
          <w:p>
            <w:pPr>
              <w:jc w:val="right"/>
              <w:spacing w:after="0"/>
              <w:rPr>
                <w:sz w:val="20"/>
                <w:szCs w:val="20"/>
                <w:color w:val="auto"/>
              </w:rPr>
            </w:pPr>
            <w:r>
              <w:rPr>
                <w:rFonts w:ascii="Arial" w:cs="Arial" w:eastAsia="Arial" w:hAnsi="Arial"/>
                <w:sz w:val="18"/>
                <w:szCs w:val="18"/>
                <w:color w:val="auto"/>
              </w:rPr>
              <w:t>(132,850)</w:t>
            </w:r>
          </w:p>
        </w:tc>
        <w:tc>
          <w:tcPr>
            <w:tcW w:w="20" w:type="dxa"/>
            <w:vAlign w:val="bottom"/>
          </w:tcPr>
          <w:p>
            <w:pPr>
              <w:spacing w:after="0"/>
              <w:rPr>
                <w:sz w:val="19"/>
                <w:szCs w:val="19"/>
                <w:color w:val="auto"/>
              </w:rPr>
            </w:pPr>
          </w:p>
        </w:tc>
      </w:tr>
      <w:tr>
        <w:trPr>
          <w:trHeight w:val="263"/>
        </w:trPr>
        <w:tc>
          <w:tcPr>
            <w:tcW w:w="6760" w:type="dxa"/>
            <w:vAlign w:val="bottom"/>
            <w:tcBorders>
              <w:bottom w:val="single" w:sz="8" w:color="D5EAEA"/>
            </w:tcBorders>
          </w:tcPr>
          <w:p>
            <w:pPr>
              <w:spacing w:after="0"/>
              <w:rPr>
                <w:sz w:val="20"/>
                <w:szCs w:val="20"/>
                <w:color w:val="auto"/>
              </w:rPr>
            </w:pPr>
            <w:r>
              <w:rPr>
                <w:rFonts w:ascii="Arial" w:cs="Arial" w:eastAsia="Arial" w:hAnsi="Arial"/>
                <w:sz w:val="18"/>
                <w:szCs w:val="18"/>
                <w:b w:val="1"/>
                <w:bCs w:val="1"/>
                <w:color w:val="auto"/>
              </w:rPr>
              <w:t>Total shareholders’ equity</w:t>
            </w:r>
          </w:p>
        </w:tc>
        <w:tc>
          <w:tcPr>
            <w:tcW w:w="1300" w:type="dxa"/>
            <w:vAlign w:val="bottom"/>
            <w:tcBorders>
              <w:bottom w:val="single" w:sz="8" w:color="D5EAEA"/>
            </w:tcBorders>
          </w:tcPr>
          <w:p>
            <w:pPr>
              <w:spacing w:after="0"/>
              <w:rPr>
                <w:sz w:val="22"/>
                <w:szCs w:val="22"/>
                <w:color w:val="auto"/>
              </w:rPr>
            </w:pPr>
          </w:p>
        </w:tc>
        <w:tc>
          <w:tcPr>
            <w:tcW w:w="120" w:type="dxa"/>
            <w:vAlign w:val="bottom"/>
            <w:tcBorders>
              <w:bottom w:val="single" w:sz="8" w:color="D5EAEA"/>
            </w:tcBorders>
          </w:tcPr>
          <w:p>
            <w:pPr>
              <w:spacing w:after="0"/>
              <w:rPr>
                <w:sz w:val="22"/>
                <w:szCs w:val="22"/>
                <w:color w:val="auto"/>
              </w:rPr>
            </w:pPr>
          </w:p>
        </w:tc>
        <w:tc>
          <w:tcPr>
            <w:tcW w:w="15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179,221</w:t>
            </w:r>
          </w:p>
        </w:tc>
        <w:tc>
          <w:tcPr>
            <w:tcW w:w="100" w:type="dxa"/>
            <w:vAlign w:val="bottom"/>
            <w:tcBorders>
              <w:bottom w:val="single" w:sz="8" w:color="D5EAEA"/>
            </w:tcBorders>
          </w:tcPr>
          <w:p>
            <w:pPr>
              <w:spacing w:after="0"/>
              <w:rPr>
                <w:sz w:val="22"/>
                <w:szCs w:val="22"/>
                <w:color w:val="auto"/>
              </w:rPr>
            </w:pPr>
          </w:p>
        </w:tc>
        <w:tc>
          <w:tcPr>
            <w:tcW w:w="1460" w:type="dxa"/>
            <w:vAlign w:val="bottom"/>
            <w:tcBorders>
              <w:top w:val="single" w:sz="8" w:color="auto"/>
              <w:bottom w:val="single" w:sz="8" w:color="auto"/>
            </w:tcBorders>
          </w:tcPr>
          <w:p>
            <w:pPr>
              <w:jc w:val="right"/>
              <w:ind w:right="29"/>
              <w:spacing w:after="0"/>
              <w:rPr>
                <w:sz w:val="20"/>
                <w:szCs w:val="20"/>
                <w:color w:val="auto"/>
              </w:rPr>
            </w:pPr>
            <w:r>
              <w:rPr>
                <w:rFonts w:ascii="Arial" w:cs="Arial" w:eastAsia="Arial" w:hAnsi="Arial"/>
                <w:sz w:val="18"/>
                <w:szCs w:val="18"/>
                <w:color w:val="auto"/>
              </w:rPr>
              <w:t>215,478</w:t>
            </w:r>
          </w:p>
        </w:tc>
        <w:tc>
          <w:tcPr>
            <w:tcW w:w="20" w:type="dxa"/>
            <w:vAlign w:val="bottom"/>
          </w:tcPr>
          <w:p>
            <w:pPr>
              <w:spacing w:after="0"/>
              <w:rPr>
                <w:sz w:val="22"/>
                <w:szCs w:val="22"/>
                <w:color w:val="auto"/>
              </w:rPr>
            </w:pPr>
          </w:p>
        </w:tc>
      </w:tr>
      <w:tr>
        <w:trPr>
          <w:trHeight w:val="197"/>
        </w:trPr>
        <w:tc>
          <w:tcPr>
            <w:tcW w:w="6760" w:type="dxa"/>
            <w:vAlign w:val="bottom"/>
            <w:shd w:val="clear" w:color="auto" w:fill="D5EAEA"/>
          </w:tcPr>
          <w:p>
            <w:pPr>
              <w:spacing w:after="0"/>
              <w:rPr>
                <w:sz w:val="17"/>
                <w:szCs w:val="17"/>
                <w:color w:val="auto"/>
              </w:rPr>
            </w:pPr>
          </w:p>
        </w:tc>
        <w:tc>
          <w:tcPr>
            <w:tcW w:w="1300" w:type="dxa"/>
            <w:vAlign w:val="bottom"/>
            <w:shd w:val="clear" w:color="auto" w:fill="D5EAEA"/>
          </w:tcPr>
          <w:p>
            <w:pPr>
              <w:spacing w:after="0"/>
              <w:rPr>
                <w:sz w:val="17"/>
                <w:szCs w:val="17"/>
                <w:color w:val="auto"/>
              </w:rPr>
            </w:pPr>
          </w:p>
        </w:tc>
        <w:tc>
          <w:tcPr>
            <w:tcW w:w="120" w:type="dxa"/>
            <w:vAlign w:val="bottom"/>
            <w:shd w:val="clear" w:color="auto" w:fill="D5EAEA"/>
          </w:tcPr>
          <w:p>
            <w:pPr>
              <w:spacing w:after="0"/>
              <w:rPr>
                <w:sz w:val="17"/>
                <w:szCs w:val="17"/>
                <w:color w:val="auto"/>
              </w:rPr>
            </w:pPr>
          </w:p>
        </w:tc>
        <w:tc>
          <w:tcPr>
            <w:tcW w:w="1500" w:type="dxa"/>
            <w:vAlign w:val="bottom"/>
            <w:shd w:val="clear" w:color="auto" w:fill="D5EAEA"/>
          </w:tcPr>
          <w:p>
            <w:pPr>
              <w:spacing w:after="0"/>
              <w:rPr>
                <w:sz w:val="17"/>
                <w:szCs w:val="17"/>
                <w:color w:val="auto"/>
              </w:rPr>
            </w:pPr>
          </w:p>
        </w:tc>
        <w:tc>
          <w:tcPr>
            <w:tcW w:w="100" w:type="dxa"/>
            <w:vAlign w:val="bottom"/>
            <w:shd w:val="clear" w:color="auto" w:fill="D5EAEA"/>
          </w:tcPr>
          <w:p>
            <w:pPr>
              <w:spacing w:after="0"/>
              <w:rPr>
                <w:sz w:val="17"/>
                <w:szCs w:val="17"/>
                <w:color w:val="auto"/>
              </w:rPr>
            </w:pPr>
          </w:p>
        </w:tc>
        <w:tc>
          <w:tcPr>
            <w:tcW w:w="1460" w:type="dxa"/>
            <w:vAlign w:val="bottom"/>
            <w:shd w:val="clear" w:color="auto" w:fill="D5EAEA"/>
          </w:tcPr>
          <w:p>
            <w:pPr>
              <w:spacing w:after="0"/>
              <w:rPr>
                <w:sz w:val="17"/>
                <w:szCs w:val="17"/>
                <w:color w:val="auto"/>
              </w:rPr>
            </w:pPr>
          </w:p>
        </w:tc>
        <w:tc>
          <w:tcPr>
            <w:tcW w:w="20" w:type="dxa"/>
            <w:vAlign w:val="bottom"/>
          </w:tcPr>
          <w:p>
            <w:pPr>
              <w:spacing w:after="0"/>
              <w:rPr>
                <w:sz w:val="17"/>
                <w:szCs w:val="17"/>
                <w:color w:val="auto"/>
              </w:rPr>
            </w:pPr>
          </w:p>
        </w:tc>
      </w:tr>
      <w:tr>
        <w:trPr>
          <w:trHeight w:val="216"/>
        </w:trPr>
        <w:tc>
          <w:tcPr>
            <w:tcW w:w="6760" w:type="dxa"/>
            <w:vAlign w:val="bottom"/>
          </w:tcPr>
          <w:p>
            <w:pPr>
              <w:spacing w:after="0"/>
              <w:rPr>
                <w:sz w:val="20"/>
                <w:szCs w:val="20"/>
                <w:color w:val="auto"/>
              </w:rPr>
            </w:pPr>
            <w:r>
              <w:rPr>
                <w:rFonts w:ascii="Arial" w:cs="Arial" w:eastAsia="Arial" w:hAnsi="Arial"/>
                <w:sz w:val="18"/>
                <w:szCs w:val="18"/>
                <w:b w:val="1"/>
                <w:bCs w:val="1"/>
                <w:color w:val="auto"/>
              </w:rPr>
              <w:t>Non-current liabilities</w:t>
            </w: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6760" w:type="dxa"/>
            <w:vAlign w:val="bottom"/>
            <w:shd w:val="clear" w:color="auto" w:fill="D5EAEA"/>
          </w:tcPr>
          <w:p>
            <w:pPr>
              <w:spacing w:after="0"/>
              <w:rPr>
                <w:sz w:val="20"/>
                <w:szCs w:val="20"/>
                <w:color w:val="auto"/>
              </w:rPr>
            </w:pPr>
            <w:r>
              <w:rPr>
                <w:rFonts w:ascii="Arial" w:cs="Arial" w:eastAsia="Arial" w:hAnsi="Arial"/>
                <w:sz w:val="18"/>
                <w:szCs w:val="18"/>
                <w:color w:val="auto"/>
              </w:rPr>
              <w:t>Long-term deferred income</w:t>
            </w:r>
          </w:p>
        </w:tc>
        <w:tc>
          <w:tcPr>
            <w:tcW w:w="1300" w:type="dxa"/>
            <w:vAlign w:val="bottom"/>
            <w:shd w:val="clear" w:color="auto" w:fill="D5EAEA"/>
          </w:tcPr>
          <w:p>
            <w:pPr>
              <w:jc w:val="center"/>
              <w:spacing w:after="0"/>
              <w:rPr>
                <w:sz w:val="20"/>
                <w:szCs w:val="20"/>
                <w:color w:val="auto"/>
              </w:rPr>
            </w:pPr>
            <w:r>
              <w:rPr>
                <w:rFonts w:ascii="Arial" w:cs="Arial" w:eastAsia="Arial" w:hAnsi="Arial"/>
                <w:sz w:val="18"/>
                <w:szCs w:val="18"/>
                <w:color w:val="auto"/>
                <w:w w:val="99"/>
              </w:rPr>
              <w:t>3</w:t>
            </w:r>
          </w:p>
        </w:tc>
        <w:tc>
          <w:tcPr>
            <w:tcW w:w="1620" w:type="dxa"/>
            <w:vAlign w:val="bottom"/>
            <w:gridSpan w:val="2"/>
            <w:shd w:val="clear" w:color="auto" w:fill="D5EAEA"/>
          </w:tcPr>
          <w:p>
            <w:pPr>
              <w:jc w:val="right"/>
              <w:ind w:right="30"/>
              <w:spacing w:after="0"/>
              <w:rPr>
                <w:sz w:val="20"/>
                <w:szCs w:val="20"/>
                <w:color w:val="auto"/>
              </w:rPr>
            </w:pPr>
            <w:r>
              <w:rPr>
                <w:rFonts w:ascii="Arial" w:cs="Arial" w:eastAsia="Arial" w:hAnsi="Arial"/>
                <w:sz w:val="18"/>
                <w:szCs w:val="18"/>
                <w:color w:val="auto"/>
              </w:rPr>
              <w:t>31</w:t>
            </w:r>
          </w:p>
        </w:tc>
        <w:tc>
          <w:tcPr>
            <w:tcW w:w="100" w:type="dxa"/>
            <w:vAlign w:val="bottom"/>
            <w:shd w:val="clear" w:color="auto" w:fill="D5EAEA"/>
          </w:tcPr>
          <w:p>
            <w:pPr>
              <w:spacing w:after="0"/>
              <w:rPr>
                <w:sz w:val="18"/>
                <w:szCs w:val="18"/>
                <w:color w:val="auto"/>
              </w:rPr>
            </w:pPr>
          </w:p>
        </w:tc>
        <w:tc>
          <w:tcPr>
            <w:tcW w:w="1460" w:type="dxa"/>
            <w:vAlign w:val="bottom"/>
            <w:shd w:val="clear" w:color="auto" w:fill="D5EAEA"/>
          </w:tcPr>
          <w:p>
            <w:pPr>
              <w:jc w:val="right"/>
              <w:ind w:right="29"/>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r>
      <w:tr>
        <w:trPr>
          <w:trHeight w:val="216"/>
        </w:trPr>
        <w:tc>
          <w:tcPr>
            <w:tcW w:w="6760" w:type="dxa"/>
            <w:vAlign w:val="bottom"/>
          </w:tcPr>
          <w:p>
            <w:pPr>
              <w:spacing w:after="0"/>
              <w:rPr>
                <w:sz w:val="20"/>
                <w:szCs w:val="20"/>
                <w:color w:val="auto"/>
              </w:rPr>
            </w:pPr>
            <w:r>
              <w:rPr>
                <w:rFonts w:ascii="Arial" w:cs="Arial" w:eastAsia="Arial" w:hAnsi="Arial"/>
                <w:sz w:val="18"/>
                <w:szCs w:val="18"/>
                <w:color w:val="auto"/>
              </w:rPr>
              <w:t>Long-term lease liabilities</w:t>
            </w:r>
          </w:p>
        </w:tc>
        <w:tc>
          <w:tcPr>
            <w:tcW w:w="1300" w:type="dxa"/>
            <w:vAlign w:val="bottom"/>
          </w:tcPr>
          <w:p>
            <w:pPr>
              <w:jc w:val="center"/>
              <w:spacing w:after="0"/>
              <w:rPr>
                <w:sz w:val="20"/>
                <w:szCs w:val="20"/>
                <w:color w:val="auto"/>
              </w:rPr>
            </w:pPr>
            <w:r>
              <w:rPr>
                <w:rFonts w:ascii="Arial" w:cs="Arial" w:eastAsia="Arial" w:hAnsi="Arial"/>
                <w:sz w:val="18"/>
                <w:szCs w:val="18"/>
                <w:color w:val="auto"/>
                <w:w w:val="99"/>
              </w:rPr>
              <w:t>6</w:t>
            </w:r>
          </w:p>
        </w:tc>
        <w:tc>
          <w:tcPr>
            <w:tcW w:w="1620" w:type="dxa"/>
            <w:vAlign w:val="bottom"/>
            <w:gridSpan w:val="2"/>
          </w:tcPr>
          <w:p>
            <w:pPr>
              <w:jc w:val="right"/>
              <w:ind w:right="30"/>
              <w:spacing w:after="0"/>
              <w:rPr>
                <w:sz w:val="20"/>
                <w:szCs w:val="20"/>
                <w:color w:val="auto"/>
              </w:rPr>
            </w:pPr>
            <w:r>
              <w:rPr>
                <w:rFonts w:ascii="Arial" w:cs="Arial" w:eastAsia="Arial" w:hAnsi="Arial"/>
                <w:sz w:val="18"/>
                <w:szCs w:val="18"/>
                <w:color w:val="auto"/>
              </w:rPr>
              <w:t>1,992</w:t>
            </w:r>
          </w:p>
        </w:tc>
        <w:tc>
          <w:tcPr>
            <w:tcW w:w="100" w:type="dxa"/>
            <w:vAlign w:val="bottom"/>
          </w:tcPr>
          <w:p>
            <w:pPr>
              <w:spacing w:after="0"/>
              <w:rPr>
                <w:sz w:val="18"/>
                <w:szCs w:val="18"/>
                <w:color w:val="auto"/>
              </w:rPr>
            </w:pPr>
          </w:p>
        </w:tc>
        <w:tc>
          <w:tcPr>
            <w:tcW w:w="1460" w:type="dxa"/>
            <w:vAlign w:val="bottom"/>
          </w:tcPr>
          <w:p>
            <w:pPr>
              <w:jc w:val="right"/>
              <w:ind w:right="29"/>
              <w:spacing w:after="0"/>
              <w:rPr>
                <w:sz w:val="20"/>
                <w:szCs w:val="20"/>
                <w:color w:val="auto"/>
              </w:rPr>
            </w:pPr>
            <w:r>
              <w:rPr>
                <w:rFonts w:ascii="Arial" w:cs="Arial" w:eastAsia="Arial" w:hAnsi="Arial"/>
                <w:sz w:val="18"/>
                <w:szCs w:val="18"/>
                <w:color w:val="auto"/>
              </w:rPr>
              <w:t>1,780</w:t>
            </w:r>
          </w:p>
        </w:tc>
        <w:tc>
          <w:tcPr>
            <w:tcW w:w="20" w:type="dxa"/>
            <w:vAlign w:val="bottom"/>
          </w:tcPr>
          <w:p>
            <w:pPr>
              <w:spacing w:after="0"/>
              <w:rPr>
                <w:sz w:val="18"/>
                <w:szCs w:val="18"/>
                <w:color w:val="auto"/>
              </w:rPr>
            </w:pPr>
          </w:p>
        </w:tc>
      </w:tr>
      <w:tr>
        <w:trPr>
          <w:trHeight w:val="230"/>
        </w:trPr>
        <w:tc>
          <w:tcPr>
            <w:tcW w:w="6760" w:type="dxa"/>
            <w:vAlign w:val="bottom"/>
            <w:shd w:val="clear" w:color="auto" w:fill="D5EAEA"/>
          </w:tcPr>
          <w:p>
            <w:pPr>
              <w:spacing w:after="0"/>
              <w:rPr>
                <w:sz w:val="20"/>
                <w:szCs w:val="20"/>
                <w:color w:val="auto"/>
              </w:rPr>
            </w:pPr>
            <w:r>
              <w:rPr>
                <w:rFonts w:ascii="Arial" w:cs="Arial" w:eastAsia="Arial" w:hAnsi="Arial"/>
                <w:sz w:val="18"/>
                <w:szCs w:val="18"/>
                <w:color w:val="auto"/>
              </w:rPr>
              <w:t>Net employee defined-benefit liabilities</w:t>
            </w:r>
          </w:p>
        </w:tc>
        <w:tc>
          <w:tcPr>
            <w:tcW w:w="1300" w:type="dxa"/>
            <w:vAlign w:val="bottom"/>
            <w:shd w:val="clear" w:color="auto" w:fill="D5EAEA"/>
          </w:tcPr>
          <w:p>
            <w:pPr>
              <w:spacing w:after="0"/>
              <w:rPr>
                <w:sz w:val="19"/>
                <w:szCs w:val="19"/>
                <w:color w:val="auto"/>
              </w:rPr>
            </w:pPr>
          </w:p>
        </w:tc>
        <w:tc>
          <w:tcPr>
            <w:tcW w:w="1620" w:type="dxa"/>
            <w:vAlign w:val="bottom"/>
            <w:gridSpan w:val="2"/>
            <w:shd w:val="clear" w:color="auto" w:fill="D5EAEA"/>
          </w:tcPr>
          <w:p>
            <w:pPr>
              <w:jc w:val="right"/>
              <w:ind w:right="30"/>
              <w:spacing w:after="0"/>
              <w:rPr>
                <w:sz w:val="20"/>
                <w:szCs w:val="20"/>
                <w:color w:val="auto"/>
              </w:rPr>
            </w:pPr>
            <w:r>
              <w:rPr>
                <w:rFonts w:ascii="Arial" w:cs="Arial" w:eastAsia="Arial" w:hAnsi="Arial"/>
                <w:sz w:val="18"/>
                <w:szCs w:val="18"/>
                <w:color w:val="auto"/>
              </w:rPr>
              <w:t>7,929</w:t>
            </w:r>
          </w:p>
        </w:tc>
        <w:tc>
          <w:tcPr>
            <w:tcW w:w="100" w:type="dxa"/>
            <w:vAlign w:val="bottom"/>
            <w:shd w:val="clear" w:color="auto" w:fill="D5EAEA"/>
          </w:tcPr>
          <w:p>
            <w:pPr>
              <w:spacing w:after="0"/>
              <w:rPr>
                <w:sz w:val="19"/>
                <w:szCs w:val="19"/>
                <w:color w:val="auto"/>
              </w:rPr>
            </w:pPr>
          </w:p>
        </w:tc>
        <w:tc>
          <w:tcPr>
            <w:tcW w:w="1460" w:type="dxa"/>
            <w:vAlign w:val="bottom"/>
            <w:shd w:val="clear" w:color="auto" w:fill="D5EAEA"/>
          </w:tcPr>
          <w:p>
            <w:pPr>
              <w:jc w:val="right"/>
              <w:ind w:right="29"/>
              <w:spacing w:after="0"/>
              <w:rPr>
                <w:sz w:val="20"/>
                <w:szCs w:val="20"/>
                <w:color w:val="auto"/>
              </w:rPr>
            </w:pPr>
            <w:r>
              <w:rPr>
                <w:rFonts w:ascii="Arial" w:cs="Arial" w:eastAsia="Arial" w:hAnsi="Arial"/>
                <w:sz w:val="18"/>
                <w:szCs w:val="18"/>
                <w:color w:val="auto"/>
              </w:rPr>
              <w:t>7,464</w:t>
            </w:r>
          </w:p>
        </w:tc>
        <w:tc>
          <w:tcPr>
            <w:tcW w:w="20" w:type="dxa"/>
            <w:vAlign w:val="bottom"/>
          </w:tcPr>
          <w:p>
            <w:pPr>
              <w:spacing w:after="0"/>
              <w:rPr>
                <w:sz w:val="19"/>
                <w:szCs w:val="19"/>
                <w:color w:val="auto"/>
              </w:rPr>
            </w:pPr>
          </w:p>
        </w:tc>
      </w:tr>
      <w:tr>
        <w:trPr>
          <w:trHeight w:val="263"/>
        </w:trPr>
        <w:tc>
          <w:tcPr>
            <w:tcW w:w="6760" w:type="dxa"/>
            <w:vAlign w:val="bottom"/>
            <w:tcBorders>
              <w:bottom w:val="single" w:sz="8" w:color="D5EAEA"/>
            </w:tcBorders>
          </w:tcPr>
          <w:p>
            <w:pPr>
              <w:spacing w:after="0"/>
              <w:rPr>
                <w:sz w:val="20"/>
                <w:szCs w:val="20"/>
                <w:color w:val="auto"/>
              </w:rPr>
            </w:pPr>
            <w:r>
              <w:rPr>
                <w:rFonts w:ascii="Arial" w:cs="Arial" w:eastAsia="Arial" w:hAnsi="Arial"/>
                <w:sz w:val="18"/>
                <w:szCs w:val="18"/>
                <w:b w:val="1"/>
                <w:bCs w:val="1"/>
                <w:color w:val="auto"/>
              </w:rPr>
              <w:t>Total non-current liabilities</w:t>
            </w:r>
          </w:p>
        </w:tc>
        <w:tc>
          <w:tcPr>
            <w:tcW w:w="1300" w:type="dxa"/>
            <w:vAlign w:val="bottom"/>
            <w:tcBorders>
              <w:bottom w:val="single" w:sz="8" w:color="D5EAEA"/>
            </w:tcBorders>
          </w:tcPr>
          <w:p>
            <w:pPr>
              <w:spacing w:after="0"/>
              <w:rPr>
                <w:sz w:val="22"/>
                <w:szCs w:val="22"/>
                <w:color w:val="auto"/>
              </w:rPr>
            </w:pPr>
          </w:p>
        </w:tc>
        <w:tc>
          <w:tcPr>
            <w:tcW w:w="120" w:type="dxa"/>
            <w:vAlign w:val="bottom"/>
            <w:tcBorders>
              <w:bottom w:val="single" w:sz="8" w:color="D5EAEA"/>
            </w:tcBorders>
          </w:tcPr>
          <w:p>
            <w:pPr>
              <w:spacing w:after="0"/>
              <w:rPr>
                <w:sz w:val="22"/>
                <w:szCs w:val="22"/>
                <w:color w:val="auto"/>
              </w:rPr>
            </w:pPr>
          </w:p>
        </w:tc>
        <w:tc>
          <w:tcPr>
            <w:tcW w:w="15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9,952</w:t>
            </w:r>
          </w:p>
        </w:tc>
        <w:tc>
          <w:tcPr>
            <w:tcW w:w="100" w:type="dxa"/>
            <w:vAlign w:val="bottom"/>
            <w:tcBorders>
              <w:bottom w:val="single" w:sz="8" w:color="D5EAEA"/>
            </w:tcBorders>
          </w:tcPr>
          <w:p>
            <w:pPr>
              <w:spacing w:after="0"/>
              <w:rPr>
                <w:sz w:val="22"/>
                <w:szCs w:val="22"/>
                <w:color w:val="auto"/>
              </w:rPr>
            </w:pPr>
          </w:p>
        </w:tc>
        <w:tc>
          <w:tcPr>
            <w:tcW w:w="1460" w:type="dxa"/>
            <w:vAlign w:val="bottom"/>
            <w:tcBorders>
              <w:top w:val="single" w:sz="8" w:color="auto"/>
              <w:bottom w:val="single" w:sz="8" w:color="auto"/>
            </w:tcBorders>
          </w:tcPr>
          <w:p>
            <w:pPr>
              <w:jc w:val="right"/>
              <w:ind w:right="29"/>
              <w:spacing w:after="0"/>
              <w:rPr>
                <w:sz w:val="20"/>
                <w:szCs w:val="20"/>
                <w:color w:val="auto"/>
              </w:rPr>
            </w:pPr>
            <w:r>
              <w:rPr>
                <w:rFonts w:ascii="Arial" w:cs="Arial" w:eastAsia="Arial" w:hAnsi="Arial"/>
                <w:sz w:val="18"/>
                <w:szCs w:val="18"/>
                <w:color w:val="auto"/>
              </w:rPr>
              <w:t>9,244</w:t>
            </w:r>
          </w:p>
        </w:tc>
        <w:tc>
          <w:tcPr>
            <w:tcW w:w="20" w:type="dxa"/>
            <w:vAlign w:val="bottom"/>
          </w:tcPr>
          <w:p>
            <w:pPr>
              <w:spacing w:after="0"/>
              <w:rPr>
                <w:sz w:val="22"/>
                <w:szCs w:val="22"/>
                <w:color w:val="auto"/>
              </w:rPr>
            </w:pPr>
          </w:p>
        </w:tc>
      </w:tr>
      <w:tr>
        <w:trPr>
          <w:trHeight w:val="197"/>
        </w:trPr>
        <w:tc>
          <w:tcPr>
            <w:tcW w:w="6760" w:type="dxa"/>
            <w:vAlign w:val="bottom"/>
            <w:shd w:val="clear" w:color="auto" w:fill="D5EAEA"/>
          </w:tcPr>
          <w:p>
            <w:pPr>
              <w:spacing w:after="0"/>
              <w:rPr>
                <w:sz w:val="17"/>
                <w:szCs w:val="17"/>
                <w:color w:val="auto"/>
              </w:rPr>
            </w:pPr>
          </w:p>
        </w:tc>
        <w:tc>
          <w:tcPr>
            <w:tcW w:w="1300" w:type="dxa"/>
            <w:vAlign w:val="bottom"/>
            <w:shd w:val="clear" w:color="auto" w:fill="D5EAEA"/>
          </w:tcPr>
          <w:p>
            <w:pPr>
              <w:spacing w:after="0"/>
              <w:rPr>
                <w:sz w:val="17"/>
                <w:szCs w:val="17"/>
                <w:color w:val="auto"/>
              </w:rPr>
            </w:pPr>
          </w:p>
        </w:tc>
        <w:tc>
          <w:tcPr>
            <w:tcW w:w="120" w:type="dxa"/>
            <w:vAlign w:val="bottom"/>
            <w:shd w:val="clear" w:color="auto" w:fill="D5EAEA"/>
          </w:tcPr>
          <w:p>
            <w:pPr>
              <w:spacing w:after="0"/>
              <w:rPr>
                <w:sz w:val="17"/>
                <w:szCs w:val="17"/>
                <w:color w:val="auto"/>
              </w:rPr>
            </w:pPr>
          </w:p>
        </w:tc>
        <w:tc>
          <w:tcPr>
            <w:tcW w:w="1500" w:type="dxa"/>
            <w:vAlign w:val="bottom"/>
            <w:shd w:val="clear" w:color="auto" w:fill="D5EAEA"/>
          </w:tcPr>
          <w:p>
            <w:pPr>
              <w:spacing w:after="0"/>
              <w:rPr>
                <w:sz w:val="17"/>
                <w:szCs w:val="17"/>
                <w:color w:val="auto"/>
              </w:rPr>
            </w:pPr>
          </w:p>
        </w:tc>
        <w:tc>
          <w:tcPr>
            <w:tcW w:w="100" w:type="dxa"/>
            <w:vAlign w:val="bottom"/>
            <w:shd w:val="clear" w:color="auto" w:fill="D5EAEA"/>
          </w:tcPr>
          <w:p>
            <w:pPr>
              <w:spacing w:after="0"/>
              <w:rPr>
                <w:sz w:val="17"/>
                <w:szCs w:val="17"/>
                <w:color w:val="auto"/>
              </w:rPr>
            </w:pPr>
          </w:p>
        </w:tc>
        <w:tc>
          <w:tcPr>
            <w:tcW w:w="1460" w:type="dxa"/>
            <w:vAlign w:val="bottom"/>
            <w:shd w:val="clear" w:color="auto" w:fill="D5EAEA"/>
          </w:tcPr>
          <w:p>
            <w:pPr>
              <w:spacing w:after="0"/>
              <w:rPr>
                <w:sz w:val="17"/>
                <w:szCs w:val="17"/>
                <w:color w:val="auto"/>
              </w:rPr>
            </w:pPr>
          </w:p>
        </w:tc>
        <w:tc>
          <w:tcPr>
            <w:tcW w:w="20" w:type="dxa"/>
            <w:vAlign w:val="bottom"/>
          </w:tcPr>
          <w:p>
            <w:pPr>
              <w:spacing w:after="0"/>
              <w:rPr>
                <w:sz w:val="17"/>
                <w:szCs w:val="17"/>
                <w:color w:val="auto"/>
              </w:rPr>
            </w:pPr>
          </w:p>
        </w:tc>
      </w:tr>
      <w:tr>
        <w:trPr>
          <w:trHeight w:val="216"/>
        </w:trPr>
        <w:tc>
          <w:tcPr>
            <w:tcW w:w="6760" w:type="dxa"/>
            <w:vAlign w:val="bottom"/>
          </w:tcPr>
          <w:p>
            <w:pPr>
              <w:spacing w:after="0"/>
              <w:rPr>
                <w:sz w:val="20"/>
                <w:szCs w:val="20"/>
                <w:color w:val="auto"/>
              </w:rPr>
            </w:pPr>
            <w:r>
              <w:rPr>
                <w:rFonts w:ascii="Arial" w:cs="Arial" w:eastAsia="Arial" w:hAnsi="Arial"/>
                <w:sz w:val="18"/>
                <w:szCs w:val="18"/>
                <w:b w:val="1"/>
                <w:bCs w:val="1"/>
                <w:color w:val="auto"/>
              </w:rPr>
              <w:t>Current liabilities</w:t>
            </w: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6760" w:type="dxa"/>
            <w:vAlign w:val="bottom"/>
            <w:shd w:val="clear" w:color="auto" w:fill="D5EAEA"/>
          </w:tcPr>
          <w:p>
            <w:pPr>
              <w:spacing w:after="0"/>
              <w:rPr>
                <w:sz w:val="20"/>
                <w:szCs w:val="20"/>
                <w:color w:val="auto"/>
              </w:rPr>
            </w:pPr>
            <w:r>
              <w:rPr>
                <w:rFonts w:ascii="Arial" w:cs="Arial" w:eastAsia="Arial" w:hAnsi="Arial"/>
                <w:sz w:val="18"/>
                <w:szCs w:val="18"/>
                <w:color w:val="auto"/>
              </w:rPr>
              <w:t>Trade and other payables</w:t>
            </w:r>
          </w:p>
        </w:tc>
        <w:tc>
          <w:tcPr>
            <w:tcW w:w="1300" w:type="dxa"/>
            <w:vAlign w:val="bottom"/>
            <w:shd w:val="clear" w:color="auto" w:fill="D5EAEA"/>
          </w:tcPr>
          <w:p>
            <w:pPr>
              <w:spacing w:after="0"/>
              <w:rPr>
                <w:sz w:val="18"/>
                <w:szCs w:val="18"/>
                <w:color w:val="auto"/>
              </w:rPr>
            </w:pPr>
          </w:p>
        </w:tc>
        <w:tc>
          <w:tcPr>
            <w:tcW w:w="1620" w:type="dxa"/>
            <w:vAlign w:val="bottom"/>
            <w:gridSpan w:val="2"/>
            <w:shd w:val="clear" w:color="auto" w:fill="D5EAEA"/>
          </w:tcPr>
          <w:p>
            <w:pPr>
              <w:jc w:val="right"/>
              <w:ind w:right="30"/>
              <w:spacing w:after="0"/>
              <w:rPr>
                <w:sz w:val="20"/>
                <w:szCs w:val="20"/>
                <w:color w:val="auto"/>
              </w:rPr>
            </w:pPr>
            <w:r>
              <w:rPr>
                <w:rFonts w:ascii="Arial" w:cs="Arial" w:eastAsia="Arial" w:hAnsi="Arial"/>
                <w:sz w:val="18"/>
                <w:szCs w:val="18"/>
                <w:color w:val="auto"/>
              </w:rPr>
              <w:t>215</w:t>
            </w:r>
          </w:p>
        </w:tc>
        <w:tc>
          <w:tcPr>
            <w:tcW w:w="100" w:type="dxa"/>
            <w:vAlign w:val="bottom"/>
            <w:shd w:val="clear" w:color="auto" w:fill="D5EAEA"/>
          </w:tcPr>
          <w:p>
            <w:pPr>
              <w:spacing w:after="0"/>
              <w:rPr>
                <w:sz w:val="18"/>
                <w:szCs w:val="18"/>
                <w:color w:val="auto"/>
              </w:rPr>
            </w:pPr>
          </w:p>
        </w:tc>
        <w:tc>
          <w:tcPr>
            <w:tcW w:w="1460" w:type="dxa"/>
            <w:vAlign w:val="bottom"/>
            <w:shd w:val="clear" w:color="auto" w:fill="D5EAEA"/>
          </w:tcPr>
          <w:p>
            <w:pPr>
              <w:jc w:val="right"/>
              <w:ind w:right="29"/>
              <w:spacing w:after="0"/>
              <w:rPr>
                <w:sz w:val="20"/>
                <w:szCs w:val="20"/>
                <w:color w:val="auto"/>
              </w:rPr>
            </w:pPr>
            <w:r>
              <w:rPr>
                <w:rFonts w:ascii="Arial" w:cs="Arial" w:eastAsia="Arial" w:hAnsi="Arial"/>
                <w:sz w:val="18"/>
                <w:szCs w:val="18"/>
                <w:color w:val="auto"/>
              </w:rPr>
              <w:t>2,184</w:t>
            </w:r>
          </w:p>
        </w:tc>
        <w:tc>
          <w:tcPr>
            <w:tcW w:w="20" w:type="dxa"/>
            <w:vAlign w:val="bottom"/>
          </w:tcPr>
          <w:p>
            <w:pPr>
              <w:spacing w:after="0"/>
              <w:rPr>
                <w:sz w:val="18"/>
                <w:szCs w:val="18"/>
                <w:color w:val="auto"/>
              </w:rPr>
            </w:pPr>
          </w:p>
        </w:tc>
      </w:tr>
      <w:tr>
        <w:trPr>
          <w:trHeight w:val="216"/>
        </w:trPr>
        <w:tc>
          <w:tcPr>
            <w:tcW w:w="6760" w:type="dxa"/>
            <w:vAlign w:val="bottom"/>
          </w:tcPr>
          <w:p>
            <w:pPr>
              <w:spacing w:after="0"/>
              <w:rPr>
                <w:sz w:val="20"/>
                <w:szCs w:val="20"/>
                <w:color w:val="auto"/>
              </w:rPr>
            </w:pPr>
            <w:r>
              <w:rPr>
                <w:rFonts w:ascii="Arial" w:cs="Arial" w:eastAsia="Arial" w:hAnsi="Arial"/>
                <w:sz w:val="18"/>
                <w:szCs w:val="18"/>
                <w:color w:val="auto"/>
              </w:rPr>
              <w:t>Accrued expenses</w:t>
            </w:r>
          </w:p>
        </w:tc>
        <w:tc>
          <w:tcPr>
            <w:tcW w:w="1300" w:type="dxa"/>
            <w:vAlign w:val="bottom"/>
          </w:tcPr>
          <w:p>
            <w:pPr>
              <w:spacing w:after="0"/>
              <w:rPr>
                <w:sz w:val="18"/>
                <w:szCs w:val="18"/>
                <w:color w:val="auto"/>
              </w:rPr>
            </w:pPr>
          </w:p>
        </w:tc>
        <w:tc>
          <w:tcPr>
            <w:tcW w:w="1620" w:type="dxa"/>
            <w:vAlign w:val="bottom"/>
            <w:gridSpan w:val="2"/>
          </w:tcPr>
          <w:p>
            <w:pPr>
              <w:jc w:val="right"/>
              <w:ind w:right="30"/>
              <w:spacing w:after="0"/>
              <w:rPr>
                <w:sz w:val="20"/>
                <w:szCs w:val="20"/>
                <w:color w:val="auto"/>
              </w:rPr>
            </w:pPr>
            <w:r>
              <w:rPr>
                <w:rFonts w:ascii="Arial" w:cs="Arial" w:eastAsia="Arial" w:hAnsi="Arial"/>
                <w:sz w:val="18"/>
                <w:szCs w:val="18"/>
                <w:color w:val="auto"/>
              </w:rPr>
              <w:t>13,308</w:t>
            </w:r>
          </w:p>
        </w:tc>
        <w:tc>
          <w:tcPr>
            <w:tcW w:w="100" w:type="dxa"/>
            <w:vAlign w:val="bottom"/>
          </w:tcPr>
          <w:p>
            <w:pPr>
              <w:spacing w:after="0"/>
              <w:rPr>
                <w:sz w:val="18"/>
                <w:szCs w:val="18"/>
                <w:color w:val="auto"/>
              </w:rPr>
            </w:pPr>
          </w:p>
        </w:tc>
        <w:tc>
          <w:tcPr>
            <w:tcW w:w="1460" w:type="dxa"/>
            <w:vAlign w:val="bottom"/>
          </w:tcPr>
          <w:p>
            <w:pPr>
              <w:jc w:val="right"/>
              <w:ind w:right="29"/>
              <w:spacing w:after="0"/>
              <w:rPr>
                <w:sz w:val="20"/>
                <w:szCs w:val="20"/>
                <w:color w:val="auto"/>
              </w:rPr>
            </w:pPr>
            <w:r>
              <w:rPr>
                <w:rFonts w:ascii="Arial" w:cs="Arial" w:eastAsia="Arial" w:hAnsi="Arial"/>
                <w:sz w:val="18"/>
                <w:szCs w:val="18"/>
                <w:color w:val="auto"/>
              </w:rPr>
              <w:t>11,085</w:t>
            </w:r>
          </w:p>
        </w:tc>
        <w:tc>
          <w:tcPr>
            <w:tcW w:w="20" w:type="dxa"/>
            <w:vAlign w:val="bottom"/>
          </w:tcPr>
          <w:p>
            <w:pPr>
              <w:spacing w:after="0"/>
              <w:rPr>
                <w:sz w:val="18"/>
                <w:szCs w:val="18"/>
                <w:color w:val="auto"/>
              </w:rPr>
            </w:pPr>
          </w:p>
        </w:tc>
      </w:tr>
      <w:tr>
        <w:trPr>
          <w:trHeight w:val="216"/>
        </w:trPr>
        <w:tc>
          <w:tcPr>
            <w:tcW w:w="6760" w:type="dxa"/>
            <w:vAlign w:val="bottom"/>
            <w:shd w:val="clear" w:color="auto" w:fill="D5EAEA"/>
          </w:tcPr>
          <w:p>
            <w:pPr>
              <w:spacing w:after="0"/>
              <w:rPr>
                <w:sz w:val="20"/>
                <w:szCs w:val="20"/>
                <w:color w:val="auto"/>
              </w:rPr>
            </w:pPr>
            <w:r>
              <w:rPr>
                <w:rFonts w:ascii="Arial" w:cs="Arial" w:eastAsia="Arial" w:hAnsi="Arial"/>
                <w:sz w:val="18"/>
                <w:szCs w:val="18"/>
                <w:color w:val="auto"/>
              </w:rPr>
              <w:t>Short-term deferred income</w:t>
            </w:r>
          </w:p>
        </w:tc>
        <w:tc>
          <w:tcPr>
            <w:tcW w:w="1300" w:type="dxa"/>
            <w:vAlign w:val="bottom"/>
            <w:shd w:val="clear" w:color="auto" w:fill="D5EAEA"/>
          </w:tcPr>
          <w:p>
            <w:pPr>
              <w:jc w:val="center"/>
              <w:spacing w:after="0"/>
              <w:rPr>
                <w:sz w:val="20"/>
                <w:szCs w:val="20"/>
                <w:color w:val="auto"/>
              </w:rPr>
            </w:pPr>
            <w:r>
              <w:rPr>
                <w:rFonts w:ascii="Arial" w:cs="Arial" w:eastAsia="Arial" w:hAnsi="Arial"/>
                <w:sz w:val="18"/>
                <w:szCs w:val="18"/>
                <w:color w:val="auto"/>
                <w:w w:val="99"/>
              </w:rPr>
              <w:t>3</w:t>
            </w:r>
          </w:p>
        </w:tc>
        <w:tc>
          <w:tcPr>
            <w:tcW w:w="1620" w:type="dxa"/>
            <w:vAlign w:val="bottom"/>
            <w:gridSpan w:val="2"/>
            <w:shd w:val="clear" w:color="auto" w:fill="D5EAEA"/>
          </w:tcPr>
          <w:p>
            <w:pPr>
              <w:jc w:val="right"/>
              <w:ind w:right="30"/>
              <w:spacing w:after="0"/>
              <w:rPr>
                <w:sz w:val="20"/>
                <w:szCs w:val="20"/>
                <w:color w:val="auto"/>
              </w:rPr>
            </w:pPr>
            <w:r>
              <w:rPr>
                <w:rFonts w:ascii="Arial" w:cs="Arial" w:eastAsia="Arial" w:hAnsi="Arial"/>
                <w:sz w:val="18"/>
                <w:szCs w:val="18"/>
                <w:color w:val="auto"/>
              </w:rPr>
              <w:t>123</w:t>
            </w:r>
          </w:p>
        </w:tc>
        <w:tc>
          <w:tcPr>
            <w:tcW w:w="100" w:type="dxa"/>
            <w:vAlign w:val="bottom"/>
            <w:shd w:val="clear" w:color="auto" w:fill="D5EAEA"/>
          </w:tcPr>
          <w:p>
            <w:pPr>
              <w:spacing w:after="0"/>
              <w:rPr>
                <w:sz w:val="18"/>
                <w:szCs w:val="18"/>
                <w:color w:val="auto"/>
              </w:rPr>
            </w:pPr>
          </w:p>
        </w:tc>
        <w:tc>
          <w:tcPr>
            <w:tcW w:w="1460" w:type="dxa"/>
            <w:vAlign w:val="bottom"/>
            <w:shd w:val="clear" w:color="auto" w:fill="D5EAEA"/>
          </w:tcPr>
          <w:p>
            <w:pPr>
              <w:jc w:val="right"/>
              <w:ind w:right="29"/>
              <w:spacing w:after="0"/>
              <w:rPr>
                <w:sz w:val="20"/>
                <w:szCs w:val="20"/>
                <w:color w:val="auto"/>
              </w:rPr>
            </w:pPr>
            <w:r>
              <w:rPr>
                <w:rFonts w:ascii="Arial" w:cs="Arial" w:eastAsia="Arial" w:hAnsi="Arial"/>
                <w:sz w:val="18"/>
                <w:szCs w:val="18"/>
                <w:color w:val="auto"/>
              </w:rPr>
              <w:t>306</w:t>
            </w:r>
          </w:p>
        </w:tc>
        <w:tc>
          <w:tcPr>
            <w:tcW w:w="20" w:type="dxa"/>
            <w:vAlign w:val="bottom"/>
          </w:tcPr>
          <w:p>
            <w:pPr>
              <w:spacing w:after="0"/>
              <w:rPr>
                <w:sz w:val="18"/>
                <w:szCs w:val="18"/>
                <w:color w:val="auto"/>
              </w:rPr>
            </w:pPr>
          </w:p>
        </w:tc>
      </w:tr>
      <w:tr>
        <w:trPr>
          <w:trHeight w:val="230"/>
        </w:trPr>
        <w:tc>
          <w:tcPr>
            <w:tcW w:w="6760" w:type="dxa"/>
            <w:vAlign w:val="bottom"/>
          </w:tcPr>
          <w:p>
            <w:pPr>
              <w:spacing w:after="0"/>
              <w:rPr>
                <w:sz w:val="20"/>
                <w:szCs w:val="20"/>
                <w:color w:val="auto"/>
              </w:rPr>
            </w:pPr>
            <w:r>
              <w:rPr>
                <w:rFonts w:ascii="Arial" w:cs="Arial" w:eastAsia="Arial" w:hAnsi="Arial"/>
                <w:sz w:val="18"/>
                <w:szCs w:val="18"/>
                <w:color w:val="auto"/>
              </w:rPr>
              <w:t>Short-term lease liabilities</w:t>
            </w:r>
          </w:p>
        </w:tc>
        <w:tc>
          <w:tcPr>
            <w:tcW w:w="1300" w:type="dxa"/>
            <w:vAlign w:val="bottom"/>
          </w:tcPr>
          <w:p>
            <w:pPr>
              <w:jc w:val="center"/>
              <w:spacing w:after="0"/>
              <w:rPr>
                <w:sz w:val="20"/>
                <w:szCs w:val="20"/>
                <w:color w:val="auto"/>
              </w:rPr>
            </w:pPr>
            <w:r>
              <w:rPr>
                <w:rFonts w:ascii="Arial" w:cs="Arial" w:eastAsia="Arial" w:hAnsi="Arial"/>
                <w:sz w:val="18"/>
                <w:szCs w:val="18"/>
                <w:color w:val="auto"/>
                <w:w w:val="99"/>
              </w:rPr>
              <w:t>6</w:t>
            </w:r>
          </w:p>
        </w:tc>
        <w:tc>
          <w:tcPr>
            <w:tcW w:w="1620" w:type="dxa"/>
            <w:vAlign w:val="bottom"/>
            <w:gridSpan w:val="2"/>
          </w:tcPr>
          <w:p>
            <w:pPr>
              <w:jc w:val="right"/>
              <w:ind w:right="30"/>
              <w:spacing w:after="0"/>
              <w:rPr>
                <w:sz w:val="20"/>
                <w:szCs w:val="20"/>
                <w:color w:val="auto"/>
              </w:rPr>
            </w:pPr>
            <w:r>
              <w:rPr>
                <w:rFonts w:ascii="Arial" w:cs="Arial" w:eastAsia="Arial" w:hAnsi="Arial"/>
                <w:sz w:val="18"/>
                <w:szCs w:val="18"/>
                <w:color w:val="auto"/>
              </w:rPr>
              <w:t>577</w:t>
            </w:r>
          </w:p>
        </w:tc>
        <w:tc>
          <w:tcPr>
            <w:tcW w:w="100" w:type="dxa"/>
            <w:vAlign w:val="bottom"/>
          </w:tcPr>
          <w:p>
            <w:pPr>
              <w:spacing w:after="0"/>
              <w:rPr>
                <w:sz w:val="19"/>
                <w:szCs w:val="19"/>
                <w:color w:val="auto"/>
              </w:rPr>
            </w:pPr>
          </w:p>
        </w:tc>
        <w:tc>
          <w:tcPr>
            <w:tcW w:w="1460" w:type="dxa"/>
            <w:vAlign w:val="bottom"/>
          </w:tcPr>
          <w:p>
            <w:pPr>
              <w:jc w:val="right"/>
              <w:ind w:right="29"/>
              <w:spacing w:after="0"/>
              <w:rPr>
                <w:sz w:val="20"/>
                <w:szCs w:val="20"/>
                <w:color w:val="auto"/>
              </w:rPr>
            </w:pPr>
            <w:r>
              <w:rPr>
                <w:rFonts w:ascii="Arial" w:cs="Arial" w:eastAsia="Arial" w:hAnsi="Arial"/>
                <w:sz w:val="18"/>
                <w:szCs w:val="18"/>
                <w:color w:val="auto"/>
              </w:rPr>
              <w:t>443</w:t>
            </w:r>
          </w:p>
        </w:tc>
        <w:tc>
          <w:tcPr>
            <w:tcW w:w="20" w:type="dxa"/>
            <w:vAlign w:val="bottom"/>
          </w:tcPr>
          <w:p>
            <w:pPr>
              <w:spacing w:after="0"/>
              <w:rPr>
                <w:sz w:val="19"/>
                <w:szCs w:val="19"/>
                <w:color w:val="auto"/>
              </w:rPr>
            </w:pPr>
          </w:p>
        </w:tc>
      </w:tr>
      <w:tr>
        <w:trPr>
          <w:trHeight w:val="210"/>
        </w:trPr>
        <w:tc>
          <w:tcPr>
            <w:tcW w:w="6760" w:type="dxa"/>
            <w:vAlign w:val="bottom"/>
            <w:tcBorders>
              <w:top w:val="single" w:sz="8" w:color="D5EAEA"/>
            </w:tcBorders>
            <w:shd w:val="clear" w:color="auto" w:fill="D5EAEA"/>
          </w:tcPr>
          <w:p>
            <w:pPr>
              <w:spacing w:after="0"/>
              <w:rPr>
                <w:sz w:val="20"/>
                <w:szCs w:val="20"/>
                <w:color w:val="auto"/>
              </w:rPr>
            </w:pPr>
            <w:r>
              <w:rPr>
                <w:rFonts w:ascii="Arial" w:cs="Arial" w:eastAsia="Arial" w:hAnsi="Arial"/>
                <w:sz w:val="18"/>
                <w:szCs w:val="18"/>
                <w:b w:val="1"/>
                <w:bCs w:val="1"/>
                <w:color w:val="auto"/>
              </w:rPr>
              <w:t>Total current liabilities</w:t>
            </w:r>
          </w:p>
        </w:tc>
        <w:tc>
          <w:tcPr>
            <w:tcW w:w="1300" w:type="dxa"/>
            <w:vAlign w:val="bottom"/>
            <w:tcBorders>
              <w:top w:val="single" w:sz="8" w:color="D5EAEA"/>
            </w:tcBorders>
            <w:shd w:val="clear" w:color="auto" w:fill="D5EAEA"/>
          </w:tcPr>
          <w:p>
            <w:pPr>
              <w:spacing w:after="0"/>
              <w:rPr>
                <w:sz w:val="18"/>
                <w:szCs w:val="18"/>
                <w:color w:val="auto"/>
              </w:rPr>
            </w:pPr>
          </w:p>
        </w:tc>
        <w:tc>
          <w:tcPr>
            <w:tcW w:w="120" w:type="dxa"/>
            <w:vAlign w:val="bottom"/>
            <w:tcBorders>
              <w:top w:val="single" w:sz="8" w:color="D5EAEA"/>
            </w:tcBorders>
            <w:shd w:val="clear" w:color="auto" w:fill="D5EAEA"/>
          </w:tcPr>
          <w:p>
            <w:pPr>
              <w:spacing w:after="0"/>
              <w:rPr>
                <w:sz w:val="18"/>
                <w:szCs w:val="18"/>
                <w:color w:val="auto"/>
              </w:rPr>
            </w:pPr>
          </w:p>
        </w:tc>
        <w:tc>
          <w:tcPr>
            <w:tcW w:w="1500" w:type="dxa"/>
            <w:vAlign w:val="bottom"/>
            <w:tcBorders>
              <w:top w:val="single" w:sz="8" w:color="auto"/>
              <w:bottom w:val="single" w:sz="8" w:color="auto"/>
            </w:tcBorders>
            <w:shd w:val="clear" w:color="auto" w:fill="D5EAEA"/>
          </w:tcPr>
          <w:p>
            <w:pPr>
              <w:jc w:val="right"/>
              <w:ind w:right="30"/>
              <w:spacing w:after="0"/>
              <w:rPr>
                <w:sz w:val="20"/>
                <w:szCs w:val="20"/>
                <w:color w:val="auto"/>
              </w:rPr>
            </w:pPr>
            <w:r>
              <w:rPr>
                <w:rFonts w:ascii="Arial" w:cs="Arial" w:eastAsia="Arial" w:hAnsi="Arial"/>
                <w:sz w:val="18"/>
                <w:szCs w:val="18"/>
                <w:color w:val="auto"/>
              </w:rPr>
              <w:t>14,223</w:t>
            </w:r>
          </w:p>
        </w:tc>
        <w:tc>
          <w:tcPr>
            <w:tcW w:w="100" w:type="dxa"/>
            <w:vAlign w:val="bottom"/>
            <w:tcBorders>
              <w:top w:val="single" w:sz="8" w:color="D5EAEA"/>
            </w:tcBorders>
            <w:shd w:val="clear" w:color="auto" w:fill="D5EAEA"/>
          </w:tcPr>
          <w:p>
            <w:pPr>
              <w:spacing w:after="0"/>
              <w:rPr>
                <w:sz w:val="18"/>
                <w:szCs w:val="18"/>
                <w:color w:val="auto"/>
              </w:rPr>
            </w:pPr>
          </w:p>
        </w:tc>
        <w:tc>
          <w:tcPr>
            <w:tcW w:w="1460" w:type="dxa"/>
            <w:vAlign w:val="bottom"/>
            <w:tcBorders>
              <w:top w:val="single" w:sz="8" w:color="auto"/>
              <w:bottom w:val="single" w:sz="8" w:color="auto"/>
            </w:tcBorders>
            <w:shd w:val="clear" w:color="auto" w:fill="D5EAEA"/>
          </w:tcPr>
          <w:p>
            <w:pPr>
              <w:jc w:val="right"/>
              <w:ind w:right="29"/>
              <w:spacing w:after="0"/>
              <w:rPr>
                <w:sz w:val="20"/>
                <w:szCs w:val="20"/>
                <w:color w:val="auto"/>
              </w:rPr>
            </w:pPr>
            <w:r>
              <w:rPr>
                <w:rFonts w:ascii="Arial" w:cs="Arial" w:eastAsia="Arial" w:hAnsi="Arial"/>
                <w:sz w:val="18"/>
                <w:szCs w:val="18"/>
                <w:color w:val="auto"/>
              </w:rPr>
              <w:t>14,018</w:t>
            </w:r>
          </w:p>
        </w:tc>
        <w:tc>
          <w:tcPr>
            <w:tcW w:w="20" w:type="dxa"/>
            <w:vAlign w:val="bottom"/>
          </w:tcPr>
          <w:p>
            <w:pPr>
              <w:spacing w:after="0"/>
              <w:rPr>
                <w:sz w:val="18"/>
                <w:szCs w:val="18"/>
                <w:color w:val="auto"/>
              </w:rPr>
            </w:pPr>
          </w:p>
        </w:tc>
      </w:tr>
      <w:tr>
        <w:trPr>
          <w:trHeight w:val="209"/>
        </w:trPr>
        <w:tc>
          <w:tcPr>
            <w:tcW w:w="6760" w:type="dxa"/>
            <w:vAlign w:val="bottom"/>
            <w:tcBorders>
              <w:bottom w:val="single" w:sz="8" w:color="D5EAEA"/>
            </w:tcBorders>
          </w:tcPr>
          <w:p>
            <w:pPr>
              <w:spacing w:after="0"/>
              <w:rPr>
                <w:sz w:val="20"/>
                <w:szCs w:val="20"/>
                <w:color w:val="auto"/>
              </w:rPr>
            </w:pPr>
            <w:r>
              <w:rPr>
                <w:rFonts w:ascii="Arial" w:cs="Arial" w:eastAsia="Arial" w:hAnsi="Arial"/>
                <w:sz w:val="18"/>
                <w:szCs w:val="18"/>
                <w:b w:val="1"/>
                <w:bCs w:val="1"/>
                <w:color w:val="auto"/>
              </w:rPr>
              <w:t>Total liabilities</w:t>
            </w:r>
          </w:p>
        </w:tc>
        <w:tc>
          <w:tcPr>
            <w:tcW w:w="1300" w:type="dxa"/>
            <w:vAlign w:val="bottom"/>
            <w:tcBorders>
              <w:bottom w:val="single" w:sz="8" w:color="D5EAEA"/>
            </w:tcBorders>
          </w:tcPr>
          <w:p>
            <w:pPr>
              <w:spacing w:after="0"/>
              <w:rPr>
                <w:sz w:val="18"/>
                <w:szCs w:val="18"/>
                <w:color w:val="auto"/>
              </w:rPr>
            </w:pPr>
          </w:p>
        </w:tc>
        <w:tc>
          <w:tcPr>
            <w:tcW w:w="120" w:type="dxa"/>
            <w:vAlign w:val="bottom"/>
            <w:tcBorders>
              <w:bottom w:val="single" w:sz="8" w:color="D5EAEA"/>
            </w:tcBorders>
          </w:tcPr>
          <w:p>
            <w:pPr>
              <w:spacing w:after="0"/>
              <w:rPr>
                <w:sz w:val="18"/>
                <w:szCs w:val="18"/>
                <w:color w:val="auto"/>
              </w:rPr>
            </w:pPr>
          </w:p>
        </w:tc>
        <w:tc>
          <w:tcPr>
            <w:tcW w:w="15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24,175</w:t>
            </w:r>
          </w:p>
        </w:tc>
        <w:tc>
          <w:tcPr>
            <w:tcW w:w="100" w:type="dxa"/>
            <w:vAlign w:val="bottom"/>
            <w:tcBorders>
              <w:bottom w:val="single" w:sz="8" w:color="D5EAEA"/>
            </w:tcBorders>
          </w:tcPr>
          <w:p>
            <w:pPr>
              <w:spacing w:after="0"/>
              <w:rPr>
                <w:sz w:val="18"/>
                <w:szCs w:val="18"/>
                <w:color w:val="auto"/>
              </w:rPr>
            </w:pPr>
          </w:p>
        </w:tc>
        <w:tc>
          <w:tcPr>
            <w:tcW w:w="1460" w:type="dxa"/>
            <w:vAlign w:val="bottom"/>
            <w:tcBorders>
              <w:bottom w:val="single" w:sz="8" w:color="auto"/>
            </w:tcBorders>
          </w:tcPr>
          <w:p>
            <w:pPr>
              <w:jc w:val="right"/>
              <w:ind w:right="29"/>
              <w:spacing w:after="0"/>
              <w:rPr>
                <w:sz w:val="20"/>
                <w:szCs w:val="20"/>
                <w:color w:val="auto"/>
              </w:rPr>
            </w:pPr>
            <w:r>
              <w:rPr>
                <w:rFonts w:ascii="Arial" w:cs="Arial" w:eastAsia="Arial" w:hAnsi="Arial"/>
                <w:sz w:val="18"/>
                <w:szCs w:val="18"/>
                <w:color w:val="auto"/>
              </w:rPr>
              <w:t>23,262</w:t>
            </w:r>
          </w:p>
        </w:tc>
        <w:tc>
          <w:tcPr>
            <w:tcW w:w="20" w:type="dxa"/>
            <w:vAlign w:val="bottom"/>
          </w:tcPr>
          <w:p>
            <w:pPr>
              <w:spacing w:after="0"/>
              <w:rPr>
                <w:sz w:val="18"/>
                <w:szCs w:val="18"/>
                <w:color w:val="auto"/>
              </w:rPr>
            </w:pPr>
          </w:p>
        </w:tc>
      </w:tr>
      <w:tr>
        <w:trPr>
          <w:trHeight w:val="223"/>
        </w:trPr>
        <w:tc>
          <w:tcPr>
            <w:tcW w:w="6760" w:type="dxa"/>
            <w:vAlign w:val="bottom"/>
            <w:tcBorders>
              <w:bottom w:val="single" w:sz="8" w:color="D5EAEA"/>
            </w:tcBorders>
            <w:shd w:val="clear" w:color="auto" w:fill="D5EAEA"/>
          </w:tcPr>
          <w:p>
            <w:pPr>
              <w:spacing w:after="0"/>
              <w:rPr>
                <w:sz w:val="20"/>
                <w:szCs w:val="20"/>
                <w:color w:val="auto"/>
              </w:rPr>
            </w:pPr>
            <w:r>
              <w:rPr>
                <w:rFonts w:ascii="Arial" w:cs="Arial" w:eastAsia="Arial" w:hAnsi="Arial"/>
                <w:sz w:val="18"/>
                <w:szCs w:val="18"/>
                <w:b w:val="1"/>
                <w:bCs w:val="1"/>
                <w:color w:val="auto"/>
              </w:rPr>
              <w:t>Total shareholders’ equity and liabilities</w:t>
            </w:r>
          </w:p>
        </w:tc>
        <w:tc>
          <w:tcPr>
            <w:tcW w:w="1300" w:type="dxa"/>
            <w:vAlign w:val="bottom"/>
            <w:tcBorders>
              <w:bottom w:val="single" w:sz="8" w:color="D5EAEA"/>
            </w:tcBorders>
            <w:shd w:val="clear" w:color="auto" w:fill="D5EAEA"/>
          </w:tcPr>
          <w:p>
            <w:pPr>
              <w:spacing w:after="0"/>
              <w:rPr>
                <w:sz w:val="19"/>
                <w:szCs w:val="19"/>
                <w:color w:val="auto"/>
              </w:rPr>
            </w:pPr>
          </w:p>
        </w:tc>
        <w:tc>
          <w:tcPr>
            <w:tcW w:w="120" w:type="dxa"/>
            <w:vAlign w:val="bottom"/>
            <w:tcBorders>
              <w:bottom w:val="single" w:sz="8" w:color="D5EAEA"/>
            </w:tcBorders>
            <w:shd w:val="clear" w:color="auto" w:fill="D5EAEA"/>
          </w:tcPr>
          <w:p>
            <w:pPr>
              <w:spacing w:after="0"/>
              <w:rPr>
                <w:sz w:val="19"/>
                <w:szCs w:val="19"/>
                <w:color w:val="auto"/>
              </w:rPr>
            </w:pPr>
          </w:p>
        </w:tc>
        <w:tc>
          <w:tcPr>
            <w:tcW w:w="1500" w:type="dxa"/>
            <w:vAlign w:val="bottom"/>
            <w:tcBorders>
              <w:bottom w:val="single" w:sz="8" w:color="auto"/>
            </w:tcBorders>
            <w:shd w:val="clear" w:color="auto" w:fill="D5EAEA"/>
          </w:tcPr>
          <w:p>
            <w:pPr>
              <w:jc w:val="right"/>
              <w:ind w:right="30"/>
              <w:spacing w:after="0"/>
              <w:rPr>
                <w:sz w:val="20"/>
                <w:szCs w:val="20"/>
                <w:color w:val="auto"/>
              </w:rPr>
            </w:pPr>
            <w:r>
              <w:rPr>
                <w:rFonts w:ascii="Arial" w:cs="Arial" w:eastAsia="Arial" w:hAnsi="Arial"/>
                <w:sz w:val="18"/>
                <w:szCs w:val="18"/>
                <w:color w:val="auto"/>
              </w:rPr>
              <w:t>203,396</w:t>
            </w:r>
          </w:p>
        </w:tc>
        <w:tc>
          <w:tcPr>
            <w:tcW w:w="100" w:type="dxa"/>
            <w:vAlign w:val="bottom"/>
            <w:tcBorders>
              <w:bottom w:val="single" w:sz="8" w:color="D5EAEA"/>
            </w:tcBorders>
            <w:shd w:val="clear" w:color="auto" w:fill="D5EAEA"/>
          </w:tcPr>
          <w:p>
            <w:pPr>
              <w:spacing w:after="0"/>
              <w:rPr>
                <w:sz w:val="19"/>
                <w:szCs w:val="19"/>
                <w:color w:val="auto"/>
              </w:rPr>
            </w:pPr>
          </w:p>
        </w:tc>
        <w:tc>
          <w:tcPr>
            <w:tcW w:w="1460" w:type="dxa"/>
            <w:vAlign w:val="bottom"/>
            <w:tcBorders>
              <w:bottom w:val="single" w:sz="8" w:color="auto"/>
            </w:tcBorders>
            <w:shd w:val="clear" w:color="auto" w:fill="D5EAEA"/>
          </w:tcPr>
          <w:p>
            <w:pPr>
              <w:jc w:val="right"/>
              <w:ind w:right="29"/>
              <w:spacing w:after="0"/>
              <w:rPr>
                <w:sz w:val="20"/>
                <w:szCs w:val="20"/>
                <w:color w:val="auto"/>
              </w:rPr>
            </w:pPr>
            <w:r>
              <w:rPr>
                <w:rFonts w:ascii="Arial" w:cs="Arial" w:eastAsia="Arial" w:hAnsi="Arial"/>
                <w:sz w:val="18"/>
                <w:szCs w:val="18"/>
                <w:color w:val="auto"/>
              </w:rPr>
              <w:t>238,740</w:t>
            </w:r>
          </w:p>
        </w:tc>
        <w:tc>
          <w:tcPr>
            <w:tcW w:w="20" w:type="dxa"/>
            <w:vAlign w:val="bottom"/>
          </w:tcPr>
          <w:p>
            <w:pPr>
              <w:spacing w:after="0"/>
              <w:rPr>
                <w:sz w:val="19"/>
                <w:szCs w:val="19"/>
                <w:color w:val="auto"/>
              </w:rPr>
            </w:pPr>
          </w:p>
        </w:tc>
      </w:tr>
      <w:tr>
        <w:trPr>
          <w:trHeight w:val="20"/>
        </w:trPr>
        <w:tc>
          <w:tcPr>
            <w:tcW w:w="67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accompanying notes form an integral part of these Interim Condensed Consolidated Financial Statements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349250</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5" w:name="page6"/>
    <w:bookmarkEnd w:id="5"/>
    <w:p>
      <w:pPr>
        <w:spacing w:after="0"/>
        <w:rPr>
          <w:sz w:val="20"/>
          <w:szCs w:val="20"/>
          <w:color w:val="auto"/>
        </w:rPr>
      </w:pPr>
      <w:r>
        <w:rPr>
          <w:rFonts w:ascii="Arial" w:cs="Arial" w:eastAsia="Arial" w:hAnsi="Arial"/>
          <w:sz w:val="16"/>
          <w:szCs w:val="16"/>
          <w:b w:val="1"/>
          <w:bCs w:val="1"/>
          <w:color w:val="auto"/>
        </w:rPr>
        <w:t>Condensed Consolidated Statements of Income/(Loss) (Unaudited)</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CHF thousands except for share and per share data)</w:t>
      </w:r>
    </w:p>
    <w:p>
      <w:pPr>
        <w:sectPr>
          <w:pgSz w:w="11900" w:h="16838" w:orient="portrait"/>
          <w:cols w:equalWidth="0" w:num="1">
            <w:col w:w="11240"/>
          </w:cols>
          <w:pgMar w:left="320" w:top="58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Contract revenue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Total revenue</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expenses</w:t>
      </w:r>
    </w:p>
    <w:p>
      <w:pPr>
        <w:spacing w:after="0" w:line="27" w:lineRule="exact"/>
        <w:rPr>
          <w:sz w:val="20"/>
          <w:szCs w:val="20"/>
          <w:color w:val="auto"/>
        </w:rPr>
      </w:pPr>
    </w:p>
    <w:p>
      <w:pPr>
        <w:spacing w:after="0"/>
        <w:rPr>
          <w:sz w:val="20"/>
          <w:szCs w:val="20"/>
          <w:color w:val="auto"/>
        </w:rPr>
      </w:pPr>
      <w:r>
        <w:rPr>
          <w:rFonts w:ascii="Arial" w:cs="Arial" w:eastAsia="Arial" w:hAnsi="Arial"/>
          <w:sz w:val="16"/>
          <w:szCs w:val="16"/>
          <w:color w:val="auto"/>
        </w:rPr>
        <w:t>Research &amp; development expenses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General &amp; administrative expenses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Other operating income/(expense)</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1020" w:type="dxa"/>
            <w:vAlign w:val="bottom"/>
          </w:tcPr>
          <w:p>
            <w:pPr>
              <w:spacing w:after="0"/>
              <w:rPr>
                <w:sz w:val="18"/>
                <w:szCs w:val="18"/>
                <w:color w:val="auto"/>
              </w:rPr>
            </w:pPr>
          </w:p>
        </w:tc>
        <w:tc>
          <w:tcPr>
            <w:tcW w:w="2900" w:type="dxa"/>
            <w:vAlign w:val="bottom"/>
            <w:gridSpan w:val="4"/>
          </w:tcPr>
          <w:p>
            <w:pPr>
              <w:jc w:val="center"/>
              <w:ind w:right="80"/>
              <w:spacing w:after="0"/>
              <w:rPr>
                <w:sz w:val="20"/>
                <w:szCs w:val="20"/>
                <w:color w:val="auto"/>
              </w:rPr>
            </w:pPr>
            <w:r>
              <w:rPr>
                <w:rFonts w:ascii="Arial" w:cs="Arial" w:eastAsia="Arial" w:hAnsi="Arial"/>
                <w:sz w:val="18"/>
                <w:szCs w:val="18"/>
                <w:b w:val="1"/>
                <w:bCs w:val="1"/>
                <w:color w:val="auto"/>
                <w:w w:val="92"/>
              </w:rPr>
              <w:t>For the Three Months</w:t>
            </w:r>
          </w:p>
        </w:tc>
        <w:tc>
          <w:tcPr>
            <w:tcW w:w="2780" w:type="dxa"/>
            <w:vAlign w:val="bottom"/>
            <w:gridSpan w:val="3"/>
          </w:tcPr>
          <w:p>
            <w:pPr>
              <w:jc w:val="right"/>
              <w:ind w:right="490"/>
              <w:spacing w:after="0"/>
              <w:rPr>
                <w:sz w:val="20"/>
                <w:szCs w:val="20"/>
                <w:color w:val="auto"/>
              </w:rPr>
            </w:pPr>
            <w:r>
              <w:rPr>
                <w:rFonts w:ascii="Arial" w:cs="Arial" w:eastAsia="Arial" w:hAnsi="Arial"/>
                <w:sz w:val="18"/>
                <w:szCs w:val="18"/>
                <w:b w:val="1"/>
                <w:bCs w:val="1"/>
                <w:color w:val="auto"/>
              </w:rPr>
              <w:t>For the Nine Months</w:t>
            </w:r>
          </w:p>
        </w:tc>
      </w:tr>
      <w:tr>
        <w:trPr>
          <w:trHeight w:val="234"/>
        </w:trPr>
        <w:tc>
          <w:tcPr>
            <w:tcW w:w="1020" w:type="dxa"/>
            <w:vAlign w:val="bottom"/>
          </w:tcPr>
          <w:p>
            <w:pPr>
              <w:spacing w:after="0"/>
              <w:rPr>
                <w:sz w:val="20"/>
                <w:szCs w:val="20"/>
                <w:color w:val="auto"/>
              </w:rPr>
            </w:pPr>
          </w:p>
        </w:tc>
        <w:tc>
          <w:tcPr>
            <w:tcW w:w="2900" w:type="dxa"/>
            <w:vAlign w:val="bottom"/>
            <w:gridSpan w:val="4"/>
          </w:tcPr>
          <w:p>
            <w:pPr>
              <w:jc w:val="center"/>
              <w:ind w:right="100"/>
              <w:spacing w:after="0"/>
              <w:rPr>
                <w:sz w:val="20"/>
                <w:szCs w:val="20"/>
                <w:color w:val="auto"/>
              </w:rPr>
            </w:pPr>
            <w:r>
              <w:rPr>
                <w:rFonts w:ascii="Arial" w:cs="Arial" w:eastAsia="Arial" w:hAnsi="Arial"/>
                <w:sz w:val="18"/>
                <w:szCs w:val="18"/>
                <w:b w:val="1"/>
                <w:bCs w:val="1"/>
                <w:color w:val="auto"/>
                <w:w w:val="89"/>
              </w:rPr>
              <w:t>Ended September 30,</w:t>
            </w:r>
          </w:p>
        </w:tc>
        <w:tc>
          <w:tcPr>
            <w:tcW w:w="2780" w:type="dxa"/>
            <w:vAlign w:val="bottom"/>
            <w:gridSpan w:val="3"/>
          </w:tcPr>
          <w:p>
            <w:pPr>
              <w:jc w:val="right"/>
              <w:ind w:right="470"/>
              <w:spacing w:after="0"/>
              <w:rPr>
                <w:sz w:val="20"/>
                <w:szCs w:val="20"/>
                <w:color w:val="auto"/>
              </w:rPr>
            </w:pPr>
            <w:r>
              <w:rPr>
                <w:rFonts w:ascii="Arial" w:cs="Arial" w:eastAsia="Arial" w:hAnsi="Arial"/>
                <w:sz w:val="18"/>
                <w:szCs w:val="18"/>
                <w:b w:val="1"/>
                <w:bCs w:val="1"/>
                <w:color w:val="auto"/>
              </w:rPr>
              <w:t>Ended September 30,</w:t>
            </w:r>
          </w:p>
        </w:tc>
      </w:tr>
      <w:tr>
        <w:trPr>
          <w:trHeight w:val="223"/>
        </w:trPr>
        <w:tc>
          <w:tcPr>
            <w:tcW w:w="1020" w:type="dxa"/>
            <w:vAlign w:val="bottom"/>
          </w:tcPr>
          <w:p>
            <w:pPr>
              <w:jc w:val="center"/>
              <w:ind w:right="490"/>
              <w:spacing w:after="0"/>
              <w:rPr>
                <w:sz w:val="20"/>
                <w:szCs w:val="20"/>
                <w:color w:val="auto"/>
              </w:rPr>
            </w:pPr>
            <w:r>
              <w:rPr>
                <w:rFonts w:ascii="Arial" w:cs="Arial" w:eastAsia="Arial" w:hAnsi="Arial"/>
                <w:sz w:val="18"/>
                <w:szCs w:val="18"/>
                <w:b w:val="1"/>
                <w:bCs w:val="1"/>
                <w:color w:val="auto"/>
                <w:w w:val="87"/>
              </w:rPr>
              <w:t>Notes</w:t>
            </w:r>
          </w:p>
        </w:tc>
        <w:tc>
          <w:tcPr>
            <w:tcW w:w="1340" w:type="dxa"/>
            <w:vAlign w:val="bottom"/>
            <w:tcBorders>
              <w:top w:val="single" w:sz="8" w:color="auto"/>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2021</w:t>
            </w:r>
          </w:p>
        </w:tc>
        <w:tc>
          <w:tcPr>
            <w:tcW w:w="120" w:type="dxa"/>
            <w:vAlign w:val="bottom"/>
            <w:tcBorders>
              <w:top w:val="single" w:sz="8" w:color="auto"/>
            </w:tcBorders>
          </w:tcPr>
          <w:p>
            <w:pPr>
              <w:spacing w:after="0"/>
              <w:rPr>
                <w:sz w:val="19"/>
                <w:szCs w:val="19"/>
                <w:color w:val="auto"/>
              </w:rPr>
            </w:pPr>
          </w:p>
        </w:tc>
        <w:tc>
          <w:tcPr>
            <w:tcW w:w="134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9"/>
                <w:szCs w:val="19"/>
                <w:color w:val="auto"/>
              </w:rPr>
            </w:pPr>
          </w:p>
        </w:tc>
        <w:tc>
          <w:tcPr>
            <w:tcW w:w="134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top w:val="single" w:sz="8" w:color="auto"/>
            </w:tcBorders>
          </w:tcPr>
          <w:p>
            <w:pPr>
              <w:spacing w:after="0"/>
              <w:rPr>
                <w:sz w:val="19"/>
                <w:szCs w:val="19"/>
                <w:color w:val="auto"/>
              </w:rPr>
            </w:pPr>
          </w:p>
        </w:tc>
        <w:tc>
          <w:tcPr>
            <w:tcW w:w="1340" w:type="dxa"/>
            <w:vAlign w:val="bottom"/>
            <w:tcBorders>
              <w:top w:val="single" w:sz="8" w:color="auto"/>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2020</w:t>
            </w:r>
          </w:p>
        </w:tc>
      </w:tr>
      <w:tr>
        <w:trPr>
          <w:trHeight w:val="439"/>
        </w:trPr>
        <w:tc>
          <w:tcPr>
            <w:tcW w:w="1020" w:type="dxa"/>
            <w:vAlign w:val="bottom"/>
          </w:tcPr>
          <w:p>
            <w:pPr>
              <w:jc w:val="center"/>
              <w:ind w:right="490"/>
              <w:spacing w:after="0"/>
              <w:rPr>
                <w:sz w:val="20"/>
                <w:szCs w:val="20"/>
                <w:color w:val="auto"/>
              </w:rPr>
            </w:pPr>
            <w:r>
              <w:rPr>
                <w:rFonts w:ascii="Arial" w:cs="Arial" w:eastAsia="Arial" w:hAnsi="Arial"/>
                <w:sz w:val="18"/>
                <w:szCs w:val="18"/>
                <w:color w:val="auto"/>
                <w:w w:val="79"/>
              </w:rPr>
              <w:t>3</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1,123</w:t>
            </w:r>
          </w:p>
        </w:tc>
        <w:tc>
          <w:tcPr>
            <w:tcW w:w="100" w:type="dxa"/>
            <w:vAlign w:val="bottom"/>
          </w:tcPr>
          <w:p>
            <w:pPr>
              <w:spacing w:after="0"/>
              <w:rPr>
                <w:sz w:val="24"/>
                <w:szCs w:val="24"/>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14,487</w:t>
            </w:r>
          </w:p>
        </w:tc>
      </w:tr>
      <w:tr>
        <w:trPr>
          <w:trHeight w:val="223"/>
        </w:trPr>
        <w:tc>
          <w:tcPr>
            <w:tcW w:w="1020" w:type="dxa"/>
            <w:vAlign w:val="bottom"/>
          </w:tcPr>
          <w:p>
            <w:pPr>
              <w:spacing w:after="0"/>
              <w:rPr>
                <w:sz w:val="19"/>
                <w:szCs w:val="19"/>
                <w:color w:val="auto"/>
              </w:rPr>
            </w:pPr>
          </w:p>
        </w:tc>
        <w:tc>
          <w:tcPr>
            <w:tcW w:w="13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3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1,123</w:t>
            </w:r>
          </w:p>
        </w:tc>
        <w:tc>
          <w:tcPr>
            <w:tcW w:w="100" w:type="dxa"/>
            <w:vAlign w:val="bottom"/>
          </w:tcPr>
          <w:p>
            <w:pPr>
              <w:spacing w:after="0"/>
              <w:rPr>
                <w:sz w:val="19"/>
                <w:szCs w:val="19"/>
                <w:color w:val="auto"/>
              </w:rPr>
            </w:pPr>
          </w:p>
        </w:tc>
        <w:tc>
          <w:tcPr>
            <w:tcW w:w="13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3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14,487</w:t>
            </w:r>
          </w:p>
        </w:tc>
      </w:tr>
      <w:tr>
        <w:trPr>
          <w:trHeight w:val="20"/>
        </w:trPr>
        <w:tc>
          <w:tcPr>
            <w:tcW w:w="102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r>
        <w:trPr>
          <w:trHeight w:val="614"/>
        </w:trPr>
        <w:tc>
          <w:tcPr>
            <w:tcW w:w="1020" w:type="dxa"/>
            <w:vAlign w:val="bottom"/>
          </w:tcPr>
          <w:p>
            <w:pPr>
              <w:spacing w:after="0"/>
              <w:rPr>
                <w:sz w:val="24"/>
                <w:szCs w:val="24"/>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(15,118)</w:t>
            </w:r>
          </w:p>
        </w:tc>
        <w:tc>
          <w:tcPr>
            <w:tcW w:w="120" w:type="dxa"/>
            <w:vAlign w:val="bottom"/>
          </w:tcPr>
          <w:p>
            <w:pPr>
              <w:spacing w:after="0"/>
              <w:rPr>
                <w:sz w:val="24"/>
                <w:szCs w:val="24"/>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(15,518)</w:t>
            </w:r>
          </w:p>
        </w:tc>
        <w:tc>
          <w:tcPr>
            <w:tcW w:w="100" w:type="dxa"/>
            <w:vAlign w:val="bottom"/>
          </w:tcPr>
          <w:p>
            <w:pPr>
              <w:spacing w:after="0"/>
              <w:rPr>
                <w:sz w:val="24"/>
                <w:szCs w:val="24"/>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(42,158)</w:t>
            </w:r>
          </w:p>
        </w:tc>
        <w:tc>
          <w:tcPr>
            <w:tcW w:w="100" w:type="dxa"/>
            <w:vAlign w:val="bottom"/>
          </w:tcPr>
          <w:p>
            <w:pPr>
              <w:spacing w:after="0"/>
              <w:rPr>
                <w:sz w:val="24"/>
                <w:szCs w:val="24"/>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(43,536)</w:t>
            </w:r>
          </w:p>
        </w:tc>
      </w:tr>
      <w:tr>
        <w:trPr>
          <w:trHeight w:val="229"/>
        </w:trPr>
        <w:tc>
          <w:tcPr>
            <w:tcW w:w="10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(5,420)</w:t>
            </w:r>
          </w:p>
        </w:tc>
        <w:tc>
          <w:tcPr>
            <w:tcW w:w="1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(4,892)</w:t>
            </w:r>
          </w:p>
        </w:tc>
        <w:tc>
          <w:tcPr>
            <w:tcW w:w="1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(14,993)</w:t>
            </w:r>
          </w:p>
        </w:tc>
        <w:tc>
          <w:tcPr>
            <w:tcW w:w="1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(13,553)</w:t>
            </w:r>
          </w:p>
        </w:tc>
      </w:tr>
      <w:tr>
        <w:trPr>
          <w:trHeight w:val="230"/>
        </w:trPr>
        <w:tc>
          <w:tcPr>
            <w:tcW w:w="1020" w:type="dxa"/>
            <w:vAlign w:val="bottom"/>
          </w:tcPr>
          <w:p>
            <w:pPr>
              <w:jc w:val="center"/>
              <w:ind w:right="490"/>
              <w:spacing w:after="0"/>
              <w:rPr>
                <w:sz w:val="20"/>
                <w:szCs w:val="20"/>
                <w:color w:val="auto"/>
              </w:rPr>
            </w:pPr>
            <w:r>
              <w:rPr>
                <w:rFonts w:ascii="Arial" w:cs="Arial" w:eastAsia="Arial" w:hAnsi="Arial"/>
                <w:sz w:val="18"/>
                <w:szCs w:val="18"/>
                <w:color w:val="auto"/>
                <w:w w:val="79"/>
              </w:rPr>
              <w:t>3</w:t>
            </w: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255</w:t>
            </w:r>
          </w:p>
        </w:tc>
        <w:tc>
          <w:tcPr>
            <w:tcW w:w="120" w:type="dxa"/>
            <w:vAlign w:val="bottom"/>
          </w:tcPr>
          <w:p>
            <w:pPr>
              <w:spacing w:after="0"/>
              <w:rPr>
                <w:sz w:val="20"/>
                <w:szCs w:val="20"/>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482</w:t>
            </w:r>
          </w:p>
        </w:tc>
        <w:tc>
          <w:tcPr>
            <w:tcW w:w="100" w:type="dxa"/>
            <w:vAlign w:val="bottom"/>
          </w:tcPr>
          <w:p>
            <w:pPr>
              <w:spacing w:after="0"/>
              <w:rPr>
                <w:sz w:val="20"/>
                <w:szCs w:val="20"/>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928</w:t>
            </w:r>
          </w:p>
        </w:tc>
        <w:tc>
          <w:tcPr>
            <w:tcW w:w="100" w:type="dxa"/>
            <w:vAlign w:val="bottom"/>
          </w:tcPr>
          <w:p>
            <w:pPr>
              <w:spacing w:after="0"/>
              <w:rPr>
                <w:sz w:val="20"/>
                <w:szCs w:val="20"/>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807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-2877185</wp:posOffset>
            </wp:positionH>
            <wp:positionV relativeFrom="paragraph">
              <wp:posOffset>-1019810</wp:posOffset>
            </wp:positionV>
            <wp:extent cx="7132320" cy="14541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-2877185</wp:posOffset>
            </wp:positionH>
            <wp:positionV relativeFrom="paragraph">
              <wp:posOffset>-711200</wp:posOffset>
            </wp:positionV>
            <wp:extent cx="7132320" cy="15430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-2877185</wp:posOffset>
            </wp:positionH>
            <wp:positionV relativeFrom="paragraph">
              <wp:posOffset>-419735</wp:posOffset>
            </wp:positionV>
            <wp:extent cx="7132320" cy="13716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-2877185</wp:posOffset>
            </wp:positionH>
            <wp:positionV relativeFrom="paragraph">
              <wp:posOffset>-145415</wp:posOffset>
            </wp:positionV>
            <wp:extent cx="7132320" cy="1460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1" w:lineRule="exact"/>
        <w:rPr>
          <w:sz w:val="20"/>
          <w:szCs w:val="20"/>
          <w:color w:val="auto"/>
        </w:rPr>
      </w:pPr>
    </w:p>
    <w:p>
      <w:pPr>
        <w:sectPr>
          <w:pgSz w:w="11900" w:h="16838" w:orient="portrait"/>
          <w:cols w:equalWidth="0" w:num="2">
            <w:col w:w="3820" w:space="720"/>
            <w:col w:w="6700"/>
          </w:cols>
          <w:pgMar w:left="320" w:top="580" w:right="339" w:bottom="1440" w:gutter="0" w:footer="0" w:header="0"/>
          <w:type w:val="continuous"/>
        </w:sectPr>
      </w:pPr>
    </w:p>
    <w:tbl>
      <w:tblPr>
        <w:tblLayout w:type="fixed"/>
        <w:tblInd w:w="0" w:type="dxa"/>
        <w:tblCellMar>
          <w:top w:w="0" w:type="dxa"/>
          <w:left w:w="0" w:type="dxa"/>
          <w:bottom w:w="0" w:type="dxa"/>
          <w:right w:w="0" w:type="dxa"/>
        </w:tblCellMar>
      </w:tblPr>
      <w:tr>
        <w:trPr>
          <w:trHeight w:val="263"/>
        </w:trPr>
        <w:tc>
          <w:tcPr>
            <w:tcW w:w="4160" w:type="dxa"/>
            <w:vAlign w:val="bottom"/>
            <w:tcBorders>
              <w:bottom w:val="single" w:sz="8" w:color="D5EAEA"/>
            </w:tcBorders>
          </w:tcPr>
          <w:p>
            <w:pPr>
              <w:spacing w:after="0"/>
              <w:rPr>
                <w:sz w:val="20"/>
                <w:szCs w:val="20"/>
                <w:color w:val="auto"/>
              </w:rPr>
            </w:pPr>
            <w:r>
              <w:rPr>
                <w:rFonts w:ascii="Arial" w:cs="Arial" w:eastAsia="Arial" w:hAnsi="Arial"/>
                <w:sz w:val="18"/>
                <w:szCs w:val="18"/>
                <w:b w:val="1"/>
                <w:bCs w:val="1"/>
                <w:color w:val="auto"/>
              </w:rPr>
              <w:t>Total operating expenses</w:t>
            </w:r>
          </w:p>
        </w:tc>
        <w:tc>
          <w:tcPr>
            <w:tcW w:w="1360" w:type="dxa"/>
            <w:vAlign w:val="bottom"/>
            <w:tcBorders>
              <w:bottom w:val="single" w:sz="8" w:color="D5EAEA"/>
            </w:tcBorders>
          </w:tcPr>
          <w:p>
            <w:pPr>
              <w:spacing w:after="0"/>
              <w:rPr>
                <w:sz w:val="22"/>
                <w:szCs w:val="22"/>
                <w:color w:val="auto"/>
              </w:rPr>
            </w:pPr>
          </w:p>
        </w:tc>
        <w:tc>
          <w:tcPr>
            <w:tcW w:w="40" w:type="dxa"/>
            <w:vAlign w:val="bottom"/>
            <w:tcBorders>
              <w:bottom w:val="single" w:sz="8" w:color="D5EAEA"/>
            </w:tcBorders>
          </w:tcPr>
          <w:p>
            <w:pPr>
              <w:spacing w:after="0"/>
              <w:rPr>
                <w:sz w:val="22"/>
                <w:szCs w:val="22"/>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(20,283)</w:t>
            </w:r>
          </w:p>
        </w:tc>
        <w:tc>
          <w:tcPr>
            <w:tcW w:w="120" w:type="dxa"/>
            <w:vAlign w:val="bottom"/>
            <w:tcBorders>
              <w:bottom w:val="single" w:sz="8" w:color="D5EAEA"/>
            </w:tcBorders>
          </w:tcPr>
          <w:p>
            <w:pPr>
              <w:spacing w:after="0"/>
              <w:rPr>
                <w:sz w:val="22"/>
                <w:szCs w:val="22"/>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(19,928)</w:t>
            </w:r>
          </w:p>
        </w:tc>
        <w:tc>
          <w:tcPr>
            <w:tcW w:w="100" w:type="dxa"/>
            <w:vAlign w:val="bottom"/>
            <w:tcBorders>
              <w:bottom w:val="single" w:sz="8" w:color="D5EAEA"/>
            </w:tcBorders>
          </w:tcPr>
          <w:p>
            <w:pPr>
              <w:spacing w:after="0"/>
              <w:rPr>
                <w:sz w:val="22"/>
                <w:szCs w:val="22"/>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(56,223)</w:t>
            </w:r>
          </w:p>
        </w:tc>
        <w:tc>
          <w:tcPr>
            <w:tcW w:w="100" w:type="dxa"/>
            <w:vAlign w:val="bottom"/>
            <w:tcBorders>
              <w:bottom w:val="single" w:sz="8" w:color="D5EAEA"/>
            </w:tcBorders>
          </w:tcPr>
          <w:p>
            <w:pPr>
              <w:spacing w:after="0"/>
              <w:rPr>
                <w:sz w:val="22"/>
                <w:szCs w:val="22"/>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(56,282)</w:t>
            </w:r>
          </w:p>
        </w:tc>
        <w:tc>
          <w:tcPr>
            <w:tcW w:w="0" w:type="dxa"/>
            <w:vAlign w:val="bottom"/>
          </w:tcPr>
          <w:p>
            <w:pPr>
              <w:spacing w:after="0"/>
              <w:rPr>
                <w:sz w:val="1"/>
                <w:szCs w:val="1"/>
                <w:color w:val="auto"/>
              </w:rPr>
            </w:pPr>
          </w:p>
        </w:tc>
      </w:tr>
      <w:tr>
        <w:trPr>
          <w:trHeight w:val="197"/>
        </w:trPr>
        <w:tc>
          <w:tcPr>
            <w:tcW w:w="4160" w:type="dxa"/>
            <w:vAlign w:val="bottom"/>
            <w:shd w:val="clear" w:color="auto" w:fill="D5EAEA"/>
          </w:tcPr>
          <w:p>
            <w:pPr>
              <w:spacing w:after="0" w:line="195" w:lineRule="exact"/>
              <w:rPr>
                <w:sz w:val="20"/>
                <w:szCs w:val="20"/>
                <w:color w:val="auto"/>
              </w:rPr>
            </w:pPr>
            <w:r>
              <w:rPr>
                <w:rFonts w:ascii="Arial" w:cs="Arial" w:eastAsia="Arial" w:hAnsi="Arial"/>
                <w:sz w:val="18"/>
                <w:szCs w:val="18"/>
                <w:b w:val="1"/>
                <w:bCs w:val="1"/>
                <w:color w:val="auto"/>
              </w:rPr>
              <w:t>Operating loss</w:t>
            </w:r>
          </w:p>
        </w:tc>
        <w:tc>
          <w:tcPr>
            <w:tcW w:w="1360" w:type="dxa"/>
            <w:vAlign w:val="bottom"/>
            <w:shd w:val="clear" w:color="auto" w:fill="D5EAEA"/>
          </w:tcPr>
          <w:p>
            <w:pPr>
              <w:spacing w:after="0"/>
              <w:rPr>
                <w:sz w:val="17"/>
                <w:szCs w:val="17"/>
                <w:color w:val="auto"/>
              </w:rPr>
            </w:pPr>
          </w:p>
        </w:tc>
        <w:tc>
          <w:tcPr>
            <w:tcW w:w="40" w:type="dxa"/>
            <w:vAlign w:val="bottom"/>
            <w:shd w:val="clear" w:color="auto" w:fill="D5EAEA"/>
          </w:tcPr>
          <w:p>
            <w:pPr>
              <w:spacing w:after="0"/>
              <w:rPr>
                <w:sz w:val="17"/>
                <w:szCs w:val="17"/>
                <w:color w:val="auto"/>
              </w:rPr>
            </w:pPr>
          </w:p>
        </w:tc>
        <w:tc>
          <w:tcPr>
            <w:tcW w:w="1340" w:type="dxa"/>
            <w:vAlign w:val="bottom"/>
            <w:tcBorders>
              <w:bottom w:val="single" w:sz="8" w:color="auto"/>
            </w:tcBorders>
            <w:shd w:val="clear" w:color="auto" w:fill="D5EAEA"/>
          </w:tcPr>
          <w:p>
            <w:pPr>
              <w:jc w:val="right"/>
              <w:spacing w:after="0" w:line="196" w:lineRule="exact"/>
              <w:rPr>
                <w:sz w:val="20"/>
                <w:szCs w:val="20"/>
                <w:color w:val="auto"/>
              </w:rPr>
            </w:pPr>
            <w:r>
              <w:rPr>
                <w:rFonts w:ascii="Arial" w:cs="Arial" w:eastAsia="Arial" w:hAnsi="Arial"/>
                <w:sz w:val="18"/>
                <w:szCs w:val="18"/>
                <w:color w:val="auto"/>
              </w:rPr>
              <w:t>(20,283)</w:t>
            </w:r>
          </w:p>
        </w:tc>
        <w:tc>
          <w:tcPr>
            <w:tcW w:w="120" w:type="dxa"/>
            <w:vAlign w:val="bottom"/>
            <w:shd w:val="clear" w:color="auto" w:fill="D5EAEA"/>
          </w:tcPr>
          <w:p>
            <w:pPr>
              <w:spacing w:after="0"/>
              <w:rPr>
                <w:sz w:val="17"/>
                <w:szCs w:val="17"/>
                <w:color w:val="auto"/>
              </w:rPr>
            </w:pPr>
          </w:p>
        </w:tc>
        <w:tc>
          <w:tcPr>
            <w:tcW w:w="1340" w:type="dxa"/>
            <w:vAlign w:val="bottom"/>
            <w:tcBorders>
              <w:bottom w:val="single" w:sz="8" w:color="auto"/>
            </w:tcBorders>
            <w:shd w:val="clear" w:color="auto" w:fill="D5EAEA"/>
          </w:tcPr>
          <w:p>
            <w:pPr>
              <w:jc w:val="right"/>
              <w:spacing w:after="0" w:line="196" w:lineRule="exact"/>
              <w:rPr>
                <w:sz w:val="20"/>
                <w:szCs w:val="20"/>
                <w:color w:val="auto"/>
              </w:rPr>
            </w:pPr>
            <w:r>
              <w:rPr>
                <w:rFonts w:ascii="Arial" w:cs="Arial" w:eastAsia="Arial" w:hAnsi="Arial"/>
                <w:sz w:val="18"/>
                <w:szCs w:val="18"/>
                <w:color w:val="auto"/>
              </w:rPr>
              <w:t>(18,805)</w:t>
            </w:r>
          </w:p>
        </w:tc>
        <w:tc>
          <w:tcPr>
            <w:tcW w:w="100" w:type="dxa"/>
            <w:vAlign w:val="bottom"/>
            <w:shd w:val="clear" w:color="auto" w:fill="D5EAEA"/>
          </w:tcPr>
          <w:p>
            <w:pPr>
              <w:spacing w:after="0"/>
              <w:rPr>
                <w:sz w:val="17"/>
                <w:szCs w:val="17"/>
                <w:color w:val="auto"/>
              </w:rPr>
            </w:pPr>
          </w:p>
        </w:tc>
        <w:tc>
          <w:tcPr>
            <w:tcW w:w="1340" w:type="dxa"/>
            <w:vAlign w:val="bottom"/>
            <w:tcBorders>
              <w:bottom w:val="single" w:sz="8" w:color="auto"/>
            </w:tcBorders>
            <w:shd w:val="clear" w:color="auto" w:fill="D5EAEA"/>
          </w:tcPr>
          <w:p>
            <w:pPr>
              <w:jc w:val="right"/>
              <w:spacing w:after="0" w:line="196" w:lineRule="exact"/>
              <w:rPr>
                <w:sz w:val="20"/>
                <w:szCs w:val="20"/>
                <w:color w:val="auto"/>
              </w:rPr>
            </w:pPr>
            <w:r>
              <w:rPr>
                <w:rFonts w:ascii="Arial" w:cs="Arial" w:eastAsia="Arial" w:hAnsi="Arial"/>
                <w:sz w:val="18"/>
                <w:szCs w:val="18"/>
                <w:color w:val="auto"/>
              </w:rPr>
              <w:t>(56,223)</w:t>
            </w:r>
          </w:p>
        </w:tc>
        <w:tc>
          <w:tcPr>
            <w:tcW w:w="100" w:type="dxa"/>
            <w:vAlign w:val="bottom"/>
            <w:shd w:val="clear" w:color="auto" w:fill="D5EAEA"/>
          </w:tcPr>
          <w:p>
            <w:pPr>
              <w:spacing w:after="0"/>
              <w:rPr>
                <w:sz w:val="17"/>
                <w:szCs w:val="17"/>
                <w:color w:val="auto"/>
              </w:rPr>
            </w:pPr>
          </w:p>
        </w:tc>
        <w:tc>
          <w:tcPr>
            <w:tcW w:w="1340" w:type="dxa"/>
            <w:vAlign w:val="bottom"/>
            <w:tcBorders>
              <w:bottom w:val="single" w:sz="8" w:color="auto"/>
            </w:tcBorders>
            <w:shd w:val="clear" w:color="auto" w:fill="D5EAEA"/>
          </w:tcPr>
          <w:p>
            <w:pPr>
              <w:jc w:val="right"/>
              <w:spacing w:after="0" w:line="196" w:lineRule="exact"/>
              <w:rPr>
                <w:sz w:val="20"/>
                <w:szCs w:val="20"/>
                <w:color w:val="auto"/>
              </w:rPr>
            </w:pPr>
            <w:r>
              <w:rPr>
                <w:rFonts w:ascii="Arial" w:cs="Arial" w:eastAsia="Arial" w:hAnsi="Arial"/>
                <w:sz w:val="18"/>
                <w:szCs w:val="18"/>
                <w:color w:val="auto"/>
              </w:rPr>
              <w:t>(41,795)</w:t>
            </w:r>
          </w:p>
        </w:tc>
        <w:tc>
          <w:tcPr>
            <w:tcW w:w="0" w:type="dxa"/>
            <w:vAlign w:val="bottom"/>
          </w:tcPr>
          <w:p>
            <w:pPr>
              <w:spacing w:after="0"/>
              <w:rPr>
                <w:sz w:val="1"/>
                <w:szCs w:val="1"/>
                <w:color w:val="auto"/>
              </w:rPr>
            </w:pPr>
          </w:p>
        </w:tc>
      </w:tr>
      <w:tr>
        <w:trPr>
          <w:trHeight w:val="209"/>
        </w:trPr>
        <w:tc>
          <w:tcPr>
            <w:tcW w:w="41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60" w:type="dxa"/>
            <w:vAlign w:val="bottom"/>
            <w:shd w:val="clear" w:color="auto" w:fill="D5EAEA"/>
          </w:tcPr>
          <w:p>
            <w:pPr>
              <w:spacing w:after="0"/>
              <w:rPr>
                <w:sz w:val="20"/>
                <w:szCs w:val="20"/>
                <w:color w:val="auto"/>
              </w:rPr>
            </w:pPr>
            <w:r>
              <w:rPr>
                <w:rFonts w:ascii="Arial" w:cs="Arial" w:eastAsia="Arial" w:hAnsi="Arial"/>
                <w:sz w:val="18"/>
                <w:szCs w:val="18"/>
                <w:color w:val="auto"/>
              </w:rPr>
              <w:t>Financial income</w:t>
            </w:r>
          </w:p>
        </w:tc>
        <w:tc>
          <w:tcPr>
            <w:tcW w:w="1360" w:type="dxa"/>
            <w:vAlign w:val="bottom"/>
            <w:shd w:val="clear" w:color="auto" w:fill="D5EAEA"/>
          </w:tcPr>
          <w:p>
            <w:pPr>
              <w:jc w:val="center"/>
              <w:ind w:right="70"/>
              <w:spacing w:after="0"/>
              <w:rPr>
                <w:sz w:val="20"/>
                <w:szCs w:val="20"/>
                <w:color w:val="auto"/>
              </w:rPr>
            </w:pPr>
            <w:r>
              <w:rPr>
                <w:rFonts w:ascii="Arial" w:cs="Arial" w:eastAsia="Arial" w:hAnsi="Arial"/>
                <w:sz w:val="18"/>
                <w:szCs w:val="18"/>
                <w:color w:val="auto"/>
                <w:w w:val="79"/>
              </w:rPr>
              <w:t>9</w:t>
            </w:r>
          </w:p>
        </w:tc>
        <w:tc>
          <w:tcPr>
            <w:tcW w:w="40" w:type="dxa"/>
            <w:vAlign w:val="bottom"/>
            <w:shd w:val="clear" w:color="auto" w:fill="D5EAEA"/>
          </w:tcPr>
          <w:p>
            <w:pPr>
              <w:spacing w:after="0"/>
              <w:rPr>
                <w:sz w:val="18"/>
                <w:szCs w:val="18"/>
                <w:color w:val="auto"/>
              </w:rPr>
            </w:pPr>
          </w:p>
        </w:tc>
        <w:tc>
          <w:tcPr>
            <w:tcW w:w="134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4,424</w:t>
            </w:r>
          </w:p>
        </w:tc>
        <w:tc>
          <w:tcPr>
            <w:tcW w:w="120" w:type="dxa"/>
            <w:vAlign w:val="bottom"/>
            <w:shd w:val="clear" w:color="auto" w:fill="D5EAEA"/>
          </w:tcPr>
          <w:p>
            <w:pPr>
              <w:spacing w:after="0"/>
              <w:rPr>
                <w:sz w:val="18"/>
                <w:szCs w:val="18"/>
                <w:color w:val="auto"/>
              </w:rPr>
            </w:pPr>
          </w:p>
        </w:tc>
        <w:tc>
          <w:tcPr>
            <w:tcW w:w="1440" w:type="dxa"/>
            <w:vAlign w:val="bottom"/>
            <w:gridSpan w:val="2"/>
            <w:shd w:val="clear" w:color="auto" w:fill="D5EAEA"/>
          </w:tcPr>
          <w:p>
            <w:pPr>
              <w:jc w:val="right"/>
              <w:ind w:right="220"/>
              <w:spacing w:after="0"/>
              <w:rPr>
                <w:sz w:val="20"/>
                <w:szCs w:val="20"/>
                <w:color w:val="auto"/>
              </w:rPr>
            </w:pPr>
            <w:r>
              <w:rPr>
                <w:rFonts w:ascii="Arial" w:cs="Arial" w:eastAsia="Arial" w:hAnsi="Arial"/>
                <w:sz w:val="18"/>
                <w:szCs w:val="18"/>
                <w:color w:val="auto"/>
              </w:rPr>
              <w:t>—</w:t>
            </w:r>
          </w:p>
        </w:tc>
        <w:tc>
          <w:tcPr>
            <w:tcW w:w="1340" w:type="dxa"/>
            <w:vAlign w:val="bottom"/>
            <w:shd w:val="clear" w:color="auto" w:fill="D5EAEA"/>
          </w:tcPr>
          <w:p>
            <w:pPr>
              <w:jc w:val="right"/>
              <w:ind w:right="30"/>
              <w:spacing w:after="0"/>
              <w:rPr>
                <w:sz w:val="20"/>
                <w:szCs w:val="20"/>
                <w:color w:val="auto"/>
              </w:rPr>
            </w:pPr>
            <w:r>
              <w:rPr>
                <w:rFonts w:ascii="Arial" w:cs="Arial" w:eastAsia="Arial" w:hAnsi="Arial"/>
                <w:sz w:val="18"/>
                <w:szCs w:val="18"/>
                <w:color w:val="auto"/>
              </w:rPr>
              <w:t>4,424</w:t>
            </w:r>
          </w:p>
        </w:tc>
        <w:tc>
          <w:tcPr>
            <w:tcW w:w="100" w:type="dxa"/>
            <w:vAlign w:val="bottom"/>
            <w:shd w:val="clear" w:color="auto" w:fill="D5EAEA"/>
          </w:tcPr>
          <w:p>
            <w:pPr>
              <w:spacing w:after="0"/>
              <w:rPr>
                <w:sz w:val="18"/>
                <w:szCs w:val="18"/>
                <w:color w:val="auto"/>
              </w:rPr>
            </w:pPr>
          </w:p>
        </w:tc>
        <w:tc>
          <w:tcPr>
            <w:tcW w:w="134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16"/>
        </w:trPr>
        <w:tc>
          <w:tcPr>
            <w:tcW w:w="4160" w:type="dxa"/>
            <w:vAlign w:val="bottom"/>
          </w:tcPr>
          <w:p>
            <w:pPr>
              <w:spacing w:after="0"/>
              <w:rPr>
                <w:sz w:val="20"/>
                <w:szCs w:val="20"/>
                <w:color w:val="auto"/>
              </w:rPr>
            </w:pPr>
            <w:r>
              <w:rPr>
                <w:rFonts w:ascii="Arial" w:cs="Arial" w:eastAsia="Arial" w:hAnsi="Arial"/>
                <w:sz w:val="18"/>
                <w:szCs w:val="18"/>
                <w:color w:val="auto"/>
              </w:rPr>
              <w:t>Financial expense</w:t>
            </w:r>
          </w:p>
        </w:tc>
        <w:tc>
          <w:tcPr>
            <w:tcW w:w="13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(181)</w:t>
            </w:r>
          </w:p>
        </w:tc>
        <w:tc>
          <w:tcPr>
            <w:tcW w:w="1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(46)</w:t>
            </w:r>
          </w:p>
        </w:tc>
        <w:tc>
          <w:tcPr>
            <w:tcW w:w="1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(408)</w:t>
            </w:r>
          </w:p>
        </w:tc>
        <w:tc>
          <w:tcPr>
            <w:tcW w:w="1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(159)</w:t>
            </w:r>
          </w:p>
        </w:tc>
        <w:tc>
          <w:tcPr>
            <w:tcW w:w="0" w:type="dxa"/>
            <w:vAlign w:val="bottom"/>
          </w:tcPr>
          <w:p>
            <w:pPr>
              <w:spacing w:after="0"/>
              <w:rPr>
                <w:sz w:val="1"/>
                <w:szCs w:val="1"/>
                <w:color w:val="auto"/>
              </w:rPr>
            </w:pPr>
          </w:p>
        </w:tc>
      </w:tr>
      <w:tr>
        <w:trPr>
          <w:trHeight w:val="229"/>
        </w:trPr>
        <w:tc>
          <w:tcPr>
            <w:tcW w:w="4160" w:type="dxa"/>
            <w:vAlign w:val="bottom"/>
            <w:shd w:val="clear" w:color="auto" w:fill="D5EAEA"/>
          </w:tcPr>
          <w:p>
            <w:pPr>
              <w:spacing w:after="0"/>
              <w:rPr>
                <w:sz w:val="20"/>
                <w:szCs w:val="20"/>
                <w:color w:val="auto"/>
              </w:rPr>
            </w:pPr>
            <w:r>
              <w:rPr>
                <w:rFonts w:ascii="Arial" w:cs="Arial" w:eastAsia="Arial" w:hAnsi="Arial"/>
                <w:sz w:val="18"/>
                <w:szCs w:val="18"/>
                <w:color w:val="auto"/>
              </w:rPr>
              <w:t>Exchange differences</w:t>
            </w:r>
          </w:p>
        </w:tc>
        <w:tc>
          <w:tcPr>
            <w:tcW w:w="1360" w:type="dxa"/>
            <w:vAlign w:val="bottom"/>
            <w:shd w:val="clear" w:color="auto" w:fill="D5EAEA"/>
          </w:tcPr>
          <w:p>
            <w:pPr>
              <w:spacing w:after="0"/>
              <w:rPr>
                <w:sz w:val="19"/>
                <w:szCs w:val="19"/>
                <w:color w:val="auto"/>
              </w:rPr>
            </w:pPr>
          </w:p>
        </w:tc>
        <w:tc>
          <w:tcPr>
            <w:tcW w:w="40" w:type="dxa"/>
            <w:vAlign w:val="bottom"/>
            <w:shd w:val="clear" w:color="auto" w:fill="D5EAEA"/>
          </w:tcPr>
          <w:p>
            <w:pPr>
              <w:spacing w:after="0"/>
              <w:rPr>
                <w:sz w:val="19"/>
                <w:szCs w:val="19"/>
                <w:color w:val="auto"/>
              </w:rPr>
            </w:pPr>
          </w:p>
        </w:tc>
        <w:tc>
          <w:tcPr>
            <w:tcW w:w="1340" w:type="dxa"/>
            <w:vAlign w:val="bottom"/>
            <w:tcBorders>
              <w:bottom w:val="single" w:sz="8" w:color="auto"/>
            </w:tcBorders>
            <w:shd w:val="clear" w:color="auto" w:fill="D5EAEA"/>
          </w:tcPr>
          <w:p>
            <w:pPr>
              <w:jc w:val="right"/>
              <w:ind w:right="10"/>
              <w:spacing w:after="0"/>
              <w:rPr>
                <w:sz w:val="20"/>
                <w:szCs w:val="20"/>
                <w:color w:val="auto"/>
              </w:rPr>
            </w:pPr>
            <w:r>
              <w:rPr>
                <w:rFonts w:ascii="Arial" w:cs="Arial" w:eastAsia="Arial" w:hAnsi="Arial"/>
                <w:sz w:val="18"/>
                <w:szCs w:val="18"/>
                <w:color w:val="auto"/>
              </w:rPr>
              <w:t>122</w:t>
            </w:r>
          </w:p>
        </w:tc>
        <w:tc>
          <w:tcPr>
            <w:tcW w:w="120" w:type="dxa"/>
            <w:vAlign w:val="bottom"/>
            <w:shd w:val="clear" w:color="auto" w:fill="D5EAEA"/>
          </w:tcPr>
          <w:p>
            <w:pPr>
              <w:spacing w:after="0"/>
              <w:rPr>
                <w:sz w:val="19"/>
                <w:szCs w:val="19"/>
                <w:color w:val="auto"/>
              </w:rPr>
            </w:pPr>
          </w:p>
        </w:tc>
        <w:tc>
          <w:tcPr>
            <w:tcW w:w="1340" w:type="dxa"/>
            <w:vAlign w:val="bottom"/>
            <w:tcBorders>
              <w:bottom w:val="single" w:sz="8" w:color="auto"/>
            </w:tcBorders>
            <w:shd w:val="clear" w:color="auto" w:fill="D5EAEA"/>
          </w:tcPr>
          <w:p>
            <w:pPr>
              <w:jc w:val="right"/>
              <w:spacing w:after="0"/>
              <w:rPr>
                <w:sz w:val="20"/>
                <w:szCs w:val="20"/>
                <w:color w:val="auto"/>
              </w:rPr>
            </w:pPr>
            <w:r>
              <w:rPr>
                <w:rFonts w:ascii="Arial" w:cs="Arial" w:eastAsia="Arial" w:hAnsi="Arial"/>
                <w:sz w:val="18"/>
                <w:szCs w:val="18"/>
                <w:color w:val="auto"/>
              </w:rPr>
              <w:t>(143)</w:t>
            </w:r>
          </w:p>
        </w:tc>
        <w:tc>
          <w:tcPr>
            <w:tcW w:w="100" w:type="dxa"/>
            <w:vAlign w:val="bottom"/>
            <w:shd w:val="clear" w:color="auto" w:fill="D5EAEA"/>
          </w:tcPr>
          <w:p>
            <w:pPr>
              <w:spacing w:after="0"/>
              <w:rPr>
                <w:sz w:val="19"/>
                <w:szCs w:val="19"/>
                <w:color w:val="auto"/>
              </w:rPr>
            </w:pPr>
          </w:p>
        </w:tc>
        <w:tc>
          <w:tcPr>
            <w:tcW w:w="1340" w:type="dxa"/>
            <w:vAlign w:val="bottom"/>
            <w:tcBorders>
              <w:bottom w:val="single" w:sz="8" w:color="auto"/>
            </w:tcBorders>
            <w:shd w:val="clear" w:color="auto" w:fill="D5EAEA"/>
          </w:tcPr>
          <w:p>
            <w:pPr>
              <w:jc w:val="right"/>
              <w:ind w:right="30"/>
              <w:spacing w:after="0"/>
              <w:rPr>
                <w:sz w:val="20"/>
                <w:szCs w:val="20"/>
                <w:color w:val="auto"/>
              </w:rPr>
            </w:pPr>
            <w:r>
              <w:rPr>
                <w:rFonts w:ascii="Arial" w:cs="Arial" w:eastAsia="Arial" w:hAnsi="Arial"/>
                <w:sz w:val="18"/>
                <w:szCs w:val="18"/>
                <w:color w:val="auto"/>
              </w:rPr>
              <w:t>487</w:t>
            </w:r>
          </w:p>
        </w:tc>
        <w:tc>
          <w:tcPr>
            <w:tcW w:w="100" w:type="dxa"/>
            <w:vAlign w:val="bottom"/>
            <w:shd w:val="clear" w:color="auto" w:fill="D5EAEA"/>
          </w:tcPr>
          <w:p>
            <w:pPr>
              <w:spacing w:after="0"/>
              <w:rPr>
                <w:sz w:val="19"/>
                <w:szCs w:val="19"/>
                <w:color w:val="auto"/>
              </w:rPr>
            </w:pPr>
          </w:p>
        </w:tc>
        <w:tc>
          <w:tcPr>
            <w:tcW w:w="1340" w:type="dxa"/>
            <w:vAlign w:val="bottom"/>
            <w:tcBorders>
              <w:bottom w:val="single" w:sz="8" w:color="auto"/>
            </w:tcBorders>
            <w:shd w:val="clear" w:color="auto" w:fill="D5EAEA"/>
          </w:tcPr>
          <w:p>
            <w:pPr>
              <w:jc w:val="right"/>
              <w:spacing w:after="0"/>
              <w:rPr>
                <w:sz w:val="20"/>
                <w:szCs w:val="20"/>
                <w:color w:val="auto"/>
              </w:rPr>
            </w:pPr>
            <w:r>
              <w:rPr>
                <w:rFonts w:ascii="Arial" w:cs="Arial" w:eastAsia="Arial" w:hAnsi="Arial"/>
                <w:sz w:val="18"/>
                <w:szCs w:val="18"/>
                <w:color w:val="auto"/>
              </w:rPr>
              <w:t>(545)</w:t>
            </w:r>
          </w:p>
        </w:tc>
        <w:tc>
          <w:tcPr>
            <w:tcW w:w="0" w:type="dxa"/>
            <w:vAlign w:val="bottom"/>
          </w:tcPr>
          <w:p>
            <w:pPr>
              <w:spacing w:after="0"/>
              <w:rPr>
                <w:sz w:val="1"/>
                <w:szCs w:val="1"/>
                <w:color w:val="auto"/>
              </w:rPr>
            </w:pPr>
          </w:p>
        </w:tc>
      </w:tr>
      <w:tr>
        <w:trPr>
          <w:trHeight w:val="210"/>
        </w:trPr>
        <w:tc>
          <w:tcPr>
            <w:tcW w:w="4160" w:type="dxa"/>
            <w:vAlign w:val="bottom"/>
            <w:tcBorders>
              <w:bottom w:val="single" w:sz="8" w:color="D5EAEA"/>
            </w:tcBorders>
          </w:tcPr>
          <w:p>
            <w:pPr>
              <w:spacing w:after="0"/>
              <w:rPr>
                <w:sz w:val="20"/>
                <w:szCs w:val="20"/>
                <w:color w:val="auto"/>
              </w:rPr>
            </w:pPr>
            <w:r>
              <w:rPr>
                <w:rFonts w:ascii="Arial" w:cs="Arial" w:eastAsia="Arial" w:hAnsi="Arial"/>
                <w:sz w:val="18"/>
                <w:szCs w:val="18"/>
                <w:b w:val="1"/>
                <w:bCs w:val="1"/>
                <w:color w:val="auto"/>
              </w:rPr>
              <w:t>Finance result, net</w:t>
            </w:r>
          </w:p>
        </w:tc>
        <w:tc>
          <w:tcPr>
            <w:tcW w:w="1360" w:type="dxa"/>
            <w:vAlign w:val="bottom"/>
            <w:tcBorders>
              <w:bottom w:val="single" w:sz="8" w:color="D5EAEA"/>
            </w:tcBorders>
          </w:tcPr>
          <w:p>
            <w:pPr>
              <w:jc w:val="center"/>
              <w:ind w:right="70"/>
              <w:spacing w:after="0"/>
              <w:rPr>
                <w:sz w:val="20"/>
                <w:szCs w:val="20"/>
                <w:color w:val="auto"/>
              </w:rPr>
            </w:pPr>
            <w:r>
              <w:rPr>
                <w:rFonts w:ascii="Arial" w:cs="Arial" w:eastAsia="Arial" w:hAnsi="Arial"/>
                <w:sz w:val="18"/>
                <w:szCs w:val="18"/>
                <w:color w:val="auto"/>
                <w:w w:val="79"/>
              </w:rPr>
              <w:t>11</w:t>
            </w:r>
          </w:p>
        </w:tc>
        <w:tc>
          <w:tcPr>
            <w:tcW w:w="40" w:type="dxa"/>
            <w:vAlign w:val="bottom"/>
            <w:tcBorders>
              <w:bottom w:val="single" w:sz="8" w:color="D5EAEA"/>
            </w:tcBorders>
          </w:tcPr>
          <w:p>
            <w:pPr>
              <w:spacing w:after="0"/>
              <w:rPr>
                <w:sz w:val="18"/>
                <w:szCs w:val="18"/>
                <w:color w:val="auto"/>
              </w:rPr>
            </w:pPr>
          </w:p>
        </w:tc>
        <w:tc>
          <w:tcPr>
            <w:tcW w:w="13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4,365</w:t>
            </w:r>
          </w:p>
        </w:tc>
        <w:tc>
          <w:tcPr>
            <w:tcW w:w="120" w:type="dxa"/>
            <w:vAlign w:val="bottom"/>
            <w:tcBorders>
              <w:bottom w:val="single" w:sz="8" w:color="D5EAEA"/>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(189)</w:t>
            </w:r>
          </w:p>
        </w:tc>
        <w:tc>
          <w:tcPr>
            <w:tcW w:w="100" w:type="dxa"/>
            <w:vAlign w:val="bottom"/>
            <w:tcBorders>
              <w:bottom w:val="single" w:sz="8" w:color="D5EAEA"/>
            </w:tcBorders>
          </w:tcPr>
          <w:p>
            <w:pPr>
              <w:spacing w:after="0"/>
              <w:rPr>
                <w:sz w:val="18"/>
                <w:szCs w:val="18"/>
                <w:color w:val="auto"/>
              </w:rPr>
            </w:pPr>
          </w:p>
        </w:tc>
        <w:tc>
          <w:tcPr>
            <w:tcW w:w="13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4,503</w:t>
            </w:r>
          </w:p>
        </w:tc>
        <w:tc>
          <w:tcPr>
            <w:tcW w:w="100" w:type="dxa"/>
            <w:vAlign w:val="bottom"/>
            <w:tcBorders>
              <w:bottom w:val="single" w:sz="8" w:color="D5EAEA"/>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(626)</w:t>
            </w:r>
          </w:p>
        </w:tc>
        <w:tc>
          <w:tcPr>
            <w:tcW w:w="0" w:type="dxa"/>
            <w:vAlign w:val="bottom"/>
          </w:tcPr>
          <w:p>
            <w:pPr>
              <w:spacing w:after="0"/>
              <w:rPr>
                <w:sz w:val="1"/>
                <w:szCs w:val="1"/>
                <w:color w:val="auto"/>
              </w:rPr>
            </w:pPr>
          </w:p>
        </w:tc>
      </w:tr>
      <w:tr>
        <w:trPr>
          <w:trHeight w:val="209"/>
        </w:trPr>
        <w:tc>
          <w:tcPr>
            <w:tcW w:w="4160" w:type="dxa"/>
            <w:vAlign w:val="bottom"/>
            <w:shd w:val="clear" w:color="auto" w:fill="D5EAEA"/>
          </w:tcPr>
          <w:p>
            <w:pPr>
              <w:spacing w:after="0"/>
              <w:rPr>
                <w:sz w:val="18"/>
                <w:szCs w:val="18"/>
                <w:color w:val="auto"/>
              </w:rPr>
            </w:pPr>
          </w:p>
        </w:tc>
        <w:tc>
          <w:tcPr>
            <w:tcW w:w="1360" w:type="dxa"/>
            <w:vAlign w:val="bottom"/>
            <w:shd w:val="clear" w:color="auto" w:fill="D5EAEA"/>
          </w:tcPr>
          <w:p>
            <w:pPr>
              <w:spacing w:after="0"/>
              <w:rPr>
                <w:sz w:val="18"/>
                <w:szCs w:val="18"/>
                <w:color w:val="auto"/>
              </w:rPr>
            </w:pPr>
          </w:p>
        </w:tc>
        <w:tc>
          <w:tcPr>
            <w:tcW w:w="40" w:type="dxa"/>
            <w:vAlign w:val="bottom"/>
            <w:shd w:val="clear" w:color="auto" w:fill="D5EAEA"/>
          </w:tcPr>
          <w:p>
            <w:pPr>
              <w:spacing w:after="0"/>
              <w:rPr>
                <w:sz w:val="18"/>
                <w:szCs w:val="18"/>
                <w:color w:val="auto"/>
              </w:rPr>
            </w:pPr>
          </w:p>
        </w:tc>
        <w:tc>
          <w:tcPr>
            <w:tcW w:w="1340" w:type="dxa"/>
            <w:vAlign w:val="bottom"/>
            <w:shd w:val="clear" w:color="auto" w:fill="D5EAEA"/>
          </w:tcPr>
          <w:p>
            <w:pPr>
              <w:spacing w:after="0"/>
              <w:rPr>
                <w:sz w:val="18"/>
                <w:szCs w:val="18"/>
                <w:color w:val="auto"/>
              </w:rPr>
            </w:pPr>
          </w:p>
        </w:tc>
        <w:tc>
          <w:tcPr>
            <w:tcW w:w="120" w:type="dxa"/>
            <w:vAlign w:val="bottom"/>
            <w:shd w:val="clear" w:color="auto" w:fill="D5EAEA"/>
          </w:tcPr>
          <w:p>
            <w:pPr>
              <w:spacing w:after="0"/>
              <w:rPr>
                <w:sz w:val="18"/>
                <w:szCs w:val="18"/>
                <w:color w:val="auto"/>
              </w:rPr>
            </w:pPr>
          </w:p>
        </w:tc>
        <w:tc>
          <w:tcPr>
            <w:tcW w:w="1340" w:type="dxa"/>
            <w:vAlign w:val="bottom"/>
            <w:shd w:val="clear" w:color="auto" w:fill="D5EAEA"/>
          </w:tcPr>
          <w:p>
            <w:pPr>
              <w:spacing w:after="0"/>
              <w:rPr>
                <w:sz w:val="18"/>
                <w:szCs w:val="18"/>
                <w:color w:val="auto"/>
              </w:rPr>
            </w:pPr>
          </w:p>
        </w:tc>
        <w:tc>
          <w:tcPr>
            <w:tcW w:w="100" w:type="dxa"/>
            <w:vAlign w:val="bottom"/>
            <w:shd w:val="clear" w:color="auto" w:fill="D5EAEA"/>
          </w:tcPr>
          <w:p>
            <w:pPr>
              <w:spacing w:after="0"/>
              <w:rPr>
                <w:sz w:val="18"/>
                <w:szCs w:val="18"/>
                <w:color w:val="auto"/>
              </w:rPr>
            </w:pPr>
          </w:p>
        </w:tc>
        <w:tc>
          <w:tcPr>
            <w:tcW w:w="1340" w:type="dxa"/>
            <w:vAlign w:val="bottom"/>
            <w:shd w:val="clear" w:color="auto" w:fill="D5EAEA"/>
          </w:tcPr>
          <w:p>
            <w:pPr>
              <w:spacing w:after="0"/>
              <w:rPr>
                <w:sz w:val="18"/>
                <w:szCs w:val="18"/>
                <w:color w:val="auto"/>
              </w:rPr>
            </w:pPr>
          </w:p>
        </w:tc>
        <w:tc>
          <w:tcPr>
            <w:tcW w:w="100" w:type="dxa"/>
            <w:vAlign w:val="bottom"/>
            <w:shd w:val="clear" w:color="auto" w:fill="D5EAEA"/>
          </w:tcPr>
          <w:p>
            <w:pPr>
              <w:spacing w:after="0"/>
              <w:rPr>
                <w:sz w:val="18"/>
                <w:szCs w:val="18"/>
                <w:color w:val="auto"/>
              </w:rPr>
            </w:pPr>
          </w:p>
        </w:tc>
        <w:tc>
          <w:tcPr>
            <w:tcW w:w="1340" w:type="dxa"/>
            <w:vAlign w:val="bottom"/>
            <w:shd w:val="clear" w:color="auto" w:fill="D5EAEA"/>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160" w:type="dxa"/>
            <w:vAlign w:val="bottom"/>
            <w:tcBorders>
              <w:bottom w:val="single" w:sz="8" w:color="D5EAEA"/>
            </w:tcBorders>
          </w:tcPr>
          <w:p>
            <w:pPr>
              <w:spacing w:after="0"/>
              <w:rPr>
                <w:sz w:val="20"/>
                <w:szCs w:val="20"/>
                <w:color w:val="auto"/>
              </w:rPr>
            </w:pPr>
            <w:r>
              <w:rPr>
                <w:rFonts w:ascii="Arial" w:cs="Arial" w:eastAsia="Arial" w:hAnsi="Arial"/>
                <w:sz w:val="18"/>
                <w:szCs w:val="18"/>
                <w:b w:val="1"/>
                <w:bCs w:val="1"/>
                <w:color w:val="auto"/>
              </w:rPr>
              <w:t>Loss before tax</w:t>
            </w:r>
          </w:p>
        </w:tc>
        <w:tc>
          <w:tcPr>
            <w:tcW w:w="1360" w:type="dxa"/>
            <w:vAlign w:val="bottom"/>
            <w:tcBorders>
              <w:bottom w:val="single" w:sz="8" w:color="D5EAEA"/>
            </w:tcBorders>
          </w:tcPr>
          <w:p>
            <w:pPr>
              <w:spacing w:after="0"/>
              <w:rPr>
                <w:sz w:val="19"/>
                <w:szCs w:val="19"/>
                <w:color w:val="auto"/>
              </w:rPr>
            </w:pPr>
          </w:p>
        </w:tc>
        <w:tc>
          <w:tcPr>
            <w:tcW w:w="40" w:type="dxa"/>
            <w:vAlign w:val="bottom"/>
            <w:tcBorders>
              <w:bottom w:val="single" w:sz="8" w:color="D5EAEA"/>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(15,918)</w:t>
            </w:r>
          </w:p>
        </w:tc>
        <w:tc>
          <w:tcPr>
            <w:tcW w:w="120" w:type="dxa"/>
            <w:vAlign w:val="bottom"/>
            <w:tcBorders>
              <w:bottom w:val="single" w:sz="8" w:color="D5EAEA"/>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(18,994)</w:t>
            </w:r>
          </w:p>
        </w:tc>
        <w:tc>
          <w:tcPr>
            <w:tcW w:w="100" w:type="dxa"/>
            <w:vAlign w:val="bottom"/>
            <w:tcBorders>
              <w:bottom w:val="single" w:sz="8" w:color="D5EAEA"/>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(51,720)</w:t>
            </w:r>
          </w:p>
        </w:tc>
        <w:tc>
          <w:tcPr>
            <w:tcW w:w="100" w:type="dxa"/>
            <w:vAlign w:val="bottom"/>
            <w:tcBorders>
              <w:bottom w:val="single" w:sz="8" w:color="D5EAEA"/>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(42,421)</w:t>
            </w:r>
          </w:p>
        </w:tc>
        <w:tc>
          <w:tcPr>
            <w:tcW w:w="0" w:type="dxa"/>
            <w:vAlign w:val="bottom"/>
          </w:tcPr>
          <w:p>
            <w:pPr>
              <w:spacing w:after="0"/>
              <w:rPr>
                <w:sz w:val="1"/>
                <w:szCs w:val="1"/>
                <w:color w:val="auto"/>
              </w:rPr>
            </w:pPr>
          </w:p>
        </w:tc>
      </w:tr>
      <w:tr>
        <w:trPr>
          <w:trHeight w:val="210"/>
        </w:trPr>
        <w:tc>
          <w:tcPr>
            <w:tcW w:w="4160" w:type="dxa"/>
            <w:vAlign w:val="bottom"/>
            <w:shd w:val="clear" w:color="auto" w:fill="D5EAEA"/>
          </w:tcPr>
          <w:p>
            <w:pPr>
              <w:spacing w:after="0"/>
              <w:rPr>
                <w:sz w:val="20"/>
                <w:szCs w:val="20"/>
                <w:color w:val="auto"/>
              </w:rPr>
            </w:pPr>
            <w:r>
              <w:rPr>
                <w:rFonts w:ascii="Arial" w:cs="Arial" w:eastAsia="Arial" w:hAnsi="Arial"/>
                <w:sz w:val="18"/>
                <w:szCs w:val="18"/>
                <w:color w:val="auto"/>
              </w:rPr>
              <w:t>Income tax expense</w:t>
            </w:r>
          </w:p>
        </w:tc>
        <w:tc>
          <w:tcPr>
            <w:tcW w:w="1360" w:type="dxa"/>
            <w:vAlign w:val="bottom"/>
            <w:shd w:val="clear" w:color="auto" w:fill="D5EAEA"/>
          </w:tcPr>
          <w:p>
            <w:pPr>
              <w:spacing w:after="0"/>
              <w:rPr>
                <w:sz w:val="18"/>
                <w:szCs w:val="18"/>
                <w:color w:val="auto"/>
              </w:rPr>
            </w:pPr>
          </w:p>
        </w:tc>
        <w:tc>
          <w:tcPr>
            <w:tcW w:w="40" w:type="dxa"/>
            <w:vAlign w:val="bottom"/>
            <w:shd w:val="clear" w:color="auto" w:fill="D5EAEA"/>
          </w:tcPr>
          <w:p>
            <w:pPr>
              <w:spacing w:after="0"/>
              <w:rPr>
                <w:sz w:val="18"/>
                <w:szCs w:val="18"/>
                <w:color w:val="auto"/>
              </w:rPr>
            </w:pPr>
          </w:p>
        </w:tc>
        <w:tc>
          <w:tcPr>
            <w:tcW w:w="1340" w:type="dxa"/>
            <w:vAlign w:val="bottom"/>
            <w:tcBorders>
              <w:bottom w:val="single" w:sz="8" w:color="auto"/>
            </w:tcBorders>
            <w:shd w:val="clear" w:color="auto" w:fill="D5EAEA"/>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shd w:val="clear" w:color="auto" w:fill="D5EAEA"/>
          </w:tcPr>
          <w:p>
            <w:pPr>
              <w:spacing w:after="0"/>
              <w:rPr>
                <w:sz w:val="18"/>
                <w:szCs w:val="18"/>
                <w:color w:val="auto"/>
              </w:rPr>
            </w:pPr>
          </w:p>
        </w:tc>
        <w:tc>
          <w:tcPr>
            <w:tcW w:w="1340" w:type="dxa"/>
            <w:vAlign w:val="bottom"/>
            <w:tcBorders>
              <w:bottom w:val="single" w:sz="8" w:color="auto"/>
            </w:tcBorders>
            <w:shd w:val="clear" w:color="auto" w:fill="D5EAEA"/>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shd w:val="clear" w:color="auto" w:fill="D5EAEA"/>
          </w:tcPr>
          <w:p>
            <w:pPr>
              <w:spacing w:after="0"/>
              <w:rPr>
                <w:sz w:val="18"/>
                <w:szCs w:val="18"/>
                <w:color w:val="auto"/>
              </w:rPr>
            </w:pPr>
          </w:p>
        </w:tc>
        <w:tc>
          <w:tcPr>
            <w:tcW w:w="1340" w:type="dxa"/>
            <w:vAlign w:val="bottom"/>
            <w:tcBorders>
              <w:bottom w:val="single" w:sz="8" w:color="auto"/>
            </w:tcBorders>
            <w:shd w:val="clear" w:color="auto" w:fill="D5EAEA"/>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shd w:val="clear" w:color="auto" w:fill="D5EAEA"/>
          </w:tcPr>
          <w:p>
            <w:pPr>
              <w:spacing w:after="0"/>
              <w:rPr>
                <w:sz w:val="18"/>
                <w:szCs w:val="18"/>
                <w:color w:val="auto"/>
              </w:rPr>
            </w:pPr>
          </w:p>
        </w:tc>
        <w:tc>
          <w:tcPr>
            <w:tcW w:w="1340" w:type="dxa"/>
            <w:vAlign w:val="bottom"/>
            <w:tcBorders>
              <w:bottom w:val="single" w:sz="8" w:color="auto"/>
            </w:tcBorders>
            <w:shd w:val="clear" w:color="auto" w:fill="D5EAEA"/>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4160" w:type="dxa"/>
            <w:vAlign w:val="bottom"/>
            <w:tcBorders>
              <w:bottom w:val="single" w:sz="8" w:color="D5EAEA"/>
            </w:tcBorders>
          </w:tcPr>
          <w:p>
            <w:pPr>
              <w:spacing w:after="0"/>
              <w:rPr>
                <w:sz w:val="20"/>
                <w:szCs w:val="20"/>
                <w:color w:val="auto"/>
              </w:rPr>
            </w:pPr>
            <w:r>
              <w:rPr>
                <w:rFonts w:ascii="Arial" w:cs="Arial" w:eastAsia="Arial" w:hAnsi="Arial"/>
                <w:sz w:val="18"/>
                <w:szCs w:val="18"/>
                <w:b w:val="1"/>
                <w:bCs w:val="1"/>
                <w:color w:val="auto"/>
              </w:rPr>
              <w:t>Loss for the period</w:t>
            </w:r>
          </w:p>
        </w:tc>
        <w:tc>
          <w:tcPr>
            <w:tcW w:w="1360" w:type="dxa"/>
            <w:vAlign w:val="bottom"/>
            <w:tcBorders>
              <w:bottom w:val="single" w:sz="8" w:color="D5EAEA"/>
            </w:tcBorders>
          </w:tcPr>
          <w:p>
            <w:pPr>
              <w:spacing w:after="0"/>
              <w:rPr>
                <w:sz w:val="18"/>
                <w:szCs w:val="18"/>
                <w:color w:val="auto"/>
              </w:rPr>
            </w:pPr>
          </w:p>
        </w:tc>
        <w:tc>
          <w:tcPr>
            <w:tcW w:w="40" w:type="dxa"/>
            <w:vAlign w:val="bottom"/>
            <w:tcBorders>
              <w:bottom w:val="single" w:sz="8" w:color="D5EAEA"/>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(15,918)</w:t>
            </w:r>
          </w:p>
        </w:tc>
        <w:tc>
          <w:tcPr>
            <w:tcW w:w="120" w:type="dxa"/>
            <w:vAlign w:val="bottom"/>
            <w:tcBorders>
              <w:bottom w:val="single" w:sz="8" w:color="D5EAEA"/>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(18,994)</w:t>
            </w:r>
          </w:p>
        </w:tc>
        <w:tc>
          <w:tcPr>
            <w:tcW w:w="100" w:type="dxa"/>
            <w:vAlign w:val="bottom"/>
            <w:tcBorders>
              <w:bottom w:val="single" w:sz="8" w:color="D5EAEA"/>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(51,720)</w:t>
            </w:r>
          </w:p>
        </w:tc>
        <w:tc>
          <w:tcPr>
            <w:tcW w:w="100" w:type="dxa"/>
            <w:vAlign w:val="bottom"/>
            <w:tcBorders>
              <w:bottom w:val="single" w:sz="8" w:color="D5EAEA"/>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(42,421)</w:t>
            </w:r>
          </w:p>
        </w:tc>
        <w:tc>
          <w:tcPr>
            <w:tcW w:w="0" w:type="dxa"/>
            <w:vAlign w:val="bottom"/>
          </w:tcPr>
          <w:p>
            <w:pPr>
              <w:spacing w:after="0"/>
              <w:rPr>
                <w:sz w:val="1"/>
                <w:szCs w:val="1"/>
                <w:color w:val="auto"/>
              </w:rPr>
            </w:pPr>
          </w:p>
        </w:tc>
      </w:tr>
      <w:tr>
        <w:trPr>
          <w:trHeight w:val="209"/>
        </w:trPr>
        <w:tc>
          <w:tcPr>
            <w:tcW w:w="4160" w:type="dxa"/>
            <w:vAlign w:val="bottom"/>
            <w:shd w:val="clear" w:color="auto" w:fill="D5EAEA"/>
          </w:tcPr>
          <w:p>
            <w:pPr>
              <w:spacing w:after="0"/>
              <w:rPr>
                <w:sz w:val="18"/>
                <w:szCs w:val="18"/>
                <w:color w:val="auto"/>
              </w:rPr>
            </w:pPr>
          </w:p>
        </w:tc>
        <w:tc>
          <w:tcPr>
            <w:tcW w:w="1360" w:type="dxa"/>
            <w:vAlign w:val="bottom"/>
            <w:shd w:val="clear" w:color="auto" w:fill="D5EAEA"/>
          </w:tcPr>
          <w:p>
            <w:pPr>
              <w:spacing w:after="0"/>
              <w:rPr>
                <w:sz w:val="18"/>
                <w:szCs w:val="18"/>
                <w:color w:val="auto"/>
              </w:rPr>
            </w:pPr>
          </w:p>
        </w:tc>
        <w:tc>
          <w:tcPr>
            <w:tcW w:w="40" w:type="dxa"/>
            <w:vAlign w:val="bottom"/>
            <w:shd w:val="clear" w:color="auto" w:fill="D5EAEA"/>
          </w:tcPr>
          <w:p>
            <w:pPr>
              <w:spacing w:after="0"/>
              <w:rPr>
                <w:sz w:val="18"/>
                <w:szCs w:val="18"/>
                <w:color w:val="auto"/>
              </w:rPr>
            </w:pPr>
          </w:p>
        </w:tc>
        <w:tc>
          <w:tcPr>
            <w:tcW w:w="1340" w:type="dxa"/>
            <w:vAlign w:val="bottom"/>
            <w:shd w:val="clear" w:color="auto" w:fill="D5EAEA"/>
          </w:tcPr>
          <w:p>
            <w:pPr>
              <w:spacing w:after="0"/>
              <w:rPr>
                <w:sz w:val="18"/>
                <w:szCs w:val="18"/>
                <w:color w:val="auto"/>
              </w:rPr>
            </w:pPr>
          </w:p>
        </w:tc>
        <w:tc>
          <w:tcPr>
            <w:tcW w:w="120" w:type="dxa"/>
            <w:vAlign w:val="bottom"/>
            <w:shd w:val="clear" w:color="auto" w:fill="D5EAEA"/>
          </w:tcPr>
          <w:p>
            <w:pPr>
              <w:spacing w:after="0"/>
              <w:rPr>
                <w:sz w:val="18"/>
                <w:szCs w:val="18"/>
                <w:color w:val="auto"/>
              </w:rPr>
            </w:pPr>
          </w:p>
        </w:tc>
        <w:tc>
          <w:tcPr>
            <w:tcW w:w="1340" w:type="dxa"/>
            <w:vAlign w:val="bottom"/>
            <w:shd w:val="clear" w:color="auto" w:fill="D5EAEA"/>
          </w:tcPr>
          <w:p>
            <w:pPr>
              <w:spacing w:after="0"/>
              <w:rPr>
                <w:sz w:val="18"/>
                <w:szCs w:val="18"/>
                <w:color w:val="auto"/>
              </w:rPr>
            </w:pPr>
          </w:p>
        </w:tc>
        <w:tc>
          <w:tcPr>
            <w:tcW w:w="100" w:type="dxa"/>
            <w:vAlign w:val="bottom"/>
            <w:shd w:val="clear" w:color="auto" w:fill="D5EAEA"/>
          </w:tcPr>
          <w:p>
            <w:pPr>
              <w:spacing w:after="0"/>
              <w:rPr>
                <w:sz w:val="18"/>
                <w:szCs w:val="18"/>
                <w:color w:val="auto"/>
              </w:rPr>
            </w:pPr>
          </w:p>
        </w:tc>
        <w:tc>
          <w:tcPr>
            <w:tcW w:w="1340" w:type="dxa"/>
            <w:vAlign w:val="bottom"/>
            <w:shd w:val="clear" w:color="auto" w:fill="D5EAEA"/>
          </w:tcPr>
          <w:p>
            <w:pPr>
              <w:spacing w:after="0"/>
              <w:rPr>
                <w:sz w:val="18"/>
                <w:szCs w:val="18"/>
                <w:color w:val="auto"/>
              </w:rPr>
            </w:pPr>
          </w:p>
        </w:tc>
        <w:tc>
          <w:tcPr>
            <w:tcW w:w="100" w:type="dxa"/>
            <w:vAlign w:val="bottom"/>
            <w:shd w:val="clear" w:color="auto" w:fill="D5EAEA"/>
          </w:tcPr>
          <w:p>
            <w:pPr>
              <w:spacing w:after="0"/>
              <w:rPr>
                <w:sz w:val="18"/>
                <w:szCs w:val="18"/>
                <w:color w:val="auto"/>
              </w:rPr>
            </w:pPr>
          </w:p>
        </w:tc>
        <w:tc>
          <w:tcPr>
            <w:tcW w:w="1340" w:type="dxa"/>
            <w:vAlign w:val="bottom"/>
            <w:shd w:val="clear" w:color="auto" w:fill="D5EAEA"/>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60" w:type="dxa"/>
            <w:vAlign w:val="bottom"/>
          </w:tcPr>
          <w:p>
            <w:pPr>
              <w:spacing w:after="0"/>
              <w:rPr>
                <w:sz w:val="20"/>
                <w:szCs w:val="20"/>
                <w:color w:val="auto"/>
              </w:rPr>
            </w:pPr>
            <w:r>
              <w:rPr>
                <w:rFonts w:ascii="Arial" w:cs="Arial" w:eastAsia="Arial" w:hAnsi="Arial"/>
                <w:sz w:val="18"/>
                <w:szCs w:val="18"/>
                <w:color w:val="auto"/>
              </w:rPr>
              <w:t>Loss per share:</w:t>
            </w:r>
          </w:p>
        </w:tc>
        <w:tc>
          <w:tcPr>
            <w:tcW w:w="1360" w:type="dxa"/>
            <w:vAlign w:val="bottom"/>
          </w:tcPr>
          <w:p>
            <w:pPr>
              <w:jc w:val="center"/>
              <w:ind w:right="70"/>
              <w:spacing w:after="0"/>
              <w:rPr>
                <w:sz w:val="20"/>
                <w:szCs w:val="20"/>
                <w:color w:val="auto"/>
              </w:rPr>
            </w:pPr>
            <w:r>
              <w:rPr>
                <w:rFonts w:ascii="Arial" w:cs="Arial" w:eastAsia="Arial" w:hAnsi="Arial"/>
                <w:sz w:val="18"/>
                <w:szCs w:val="18"/>
                <w:color w:val="auto"/>
                <w:w w:val="79"/>
              </w:rPr>
              <w:t>4</w:t>
            </w:r>
          </w:p>
        </w:tc>
        <w:tc>
          <w:tcPr>
            <w:tcW w:w="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4160" w:type="dxa"/>
            <w:vAlign w:val="bottom"/>
            <w:shd w:val="clear" w:color="auto" w:fill="D5EAEA"/>
          </w:tcPr>
          <w:p>
            <w:pPr>
              <w:spacing w:after="0" w:line="201" w:lineRule="exact"/>
              <w:rPr>
                <w:sz w:val="20"/>
                <w:szCs w:val="20"/>
                <w:color w:val="auto"/>
              </w:rPr>
            </w:pPr>
            <w:r>
              <w:rPr>
                <w:rFonts w:ascii="Arial" w:cs="Arial" w:eastAsia="Arial" w:hAnsi="Arial"/>
                <w:sz w:val="18"/>
                <w:szCs w:val="18"/>
                <w:color w:val="auto"/>
              </w:rPr>
              <w:t>Basic and diluted loss for the period attributable to</w:t>
            </w:r>
          </w:p>
        </w:tc>
        <w:tc>
          <w:tcPr>
            <w:tcW w:w="1360" w:type="dxa"/>
            <w:vAlign w:val="bottom"/>
            <w:shd w:val="clear" w:color="auto" w:fill="D5EAEA"/>
          </w:tcPr>
          <w:p>
            <w:pPr>
              <w:spacing w:after="0"/>
              <w:rPr>
                <w:sz w:val="17"/>
                <w:szCs w:val="17"/>
                <w:color w:val="auto"/>
              </w:rPr>
            </w:pPr>
          </w:p>
        </w:tc>
        <w:tc>
          <w:tcPr>
            <w:tcW w:w="40" w:type="dxa"/>
            <w:vAlign w:val="bottom"/>
            <w:shd w:val="clear" w:color="auto" w:fill="D5EAEA"/>
          </w:tcPr>
          <w:p>
            <w:pPr>
              <w:spacing w:after="0"/>
              <w:rPr>
                <w:sz w:val="17"/>
                <w:szCs w:val="17"/>
                <w:color w:val="auto"/>
              </w:rPr>
            </w:pPr>
          </w:p>
        </w:tc>
        <w:tc>
          <w:tcPr>
            <w:tcW w:w="1340" w:type="dxa"/>
            <w:vAlign w:val="bottom"/>
            <w:shd w:val="clear" w:color="auto" w:fill="D5EAEA"/>
          </w:tcPr>
          <w:p>
            <w:pPr>
              <w:spacing w:after="0"/>
              <w:rPr>
                <w:sz w:val="17"/>
                <w:szCs w:val="17"/>
                <w:color w:val="auto"/>
              </w:rPr>
            </w:pPr>
          </w:p>
        </w:tc>
        <w:tc>
          <w:tcPr>
            <w:tcW w:w="120" w:type="dxa"/>
            <w:vAlign w:val="bottom"/>
            <w:shd w:val="clear" w:color="auto" w:fill="D5EAEA"/>
          </w:tcPr>
          <w:p>
            <w:pPr>
              <w:spacing w:after="0"/>
              <w:rPr>
                <w:sz w:val="17"/>
                <w:szCs w:val="17"/>
                <w:color w:val="auto"/>
              </w:rPr>
            </w:pPr>
          </w:p>
        </w:tc>
        <w:tc>
          <w:tcPr>
            <w:tcW w:w="1340" w:type="dxa"/>
            <w:vAlign w:val="bottom"/>
            <w:shd w:val="clear" w:color="auto" w:fill="D5EAEA"/>
          </w:tcPr>
          <w:p>
            <w:pPr>
              <w:spacing w:after="0"/>
              <w:rPr>
                <w:sz w:val="17"/>
                <w:szCs w:val="17"/>
                <w:color w:val="auto"/>
              </w:rPr>
            </w:pPr>
          </w:p>
        </w:tc>
        <w:tc>
          <w:tcPr>
            <w:tcW w:w="100" w:type="dxa"/>
            <w:vAlign w:val="bottom"/>
            <w:shd w:val="clear" w:color="auto" w:fill="D5EAEA"/>
          </w:tcPr>
          <w:p>
            <w:pPr>
              <w:spacing w:after="0"/>
              <w:rPr>
                <w:sz w:val="17"/>
                <w:szCs w:val="17"/>
                <w:color w:val="auto"/>
              </w:rPr>
            </w:pPr>
          </w:p>
        </w:tc>
        <w:tc>
          <w:tcPr>
            <w:tcW w:w="1340" w:type="dxa"/>
            <w:vAlign w:val="bottom"/>
            <w:shd w:val="clear" w:color="auto" w:fill="D5EAEA"/>
          </w:tcPr>
          <w:p>
            <w:pPr>
              <w:spacing w:after="0"/>
              <w:rPr>
                <w:sz w:val="17"/>
                <w:szCs w:val="17"/>
                <w:color w:val="auto"/>
              </w:rPr>
            </w:pPr>
          </w:p>
        </w:tc>
        <w:tc>
          <w:tcPr>
            <w:tcW w:w="100" w:type="dxa"/>
            <w:vAlign w:val="bottom"/>
            <w:shd w:val="clear" w:color="auto" w:fill="D5EAEA"/>
          </w:tcPr>
          <w:p>
            <w:pPr>
              <w:spacing w:after="0"/>
              <w:rPr>
                <w:sz w:val="17"/>
                <w:szCs w:val="17"/>
                <w:color w:val="auto"/>
              </w:rPr>
            </w:pPr>
          </w:p>
        </w:tc>
        <w:tc>
          <w:tcPr>
            <w:tcW w:w="1340" w:type="dxa"/>
            <w:vAlign w:val="bottom"/>
            <w:shd w:val="clear" w:color="auto" w:fill="D5EAEA"/>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160" w:type="dxa"/>
            <w:vAlign w:val="bottom"/>
            <w:shd w:val="clear" w:color="auto" w:fill="D5EAEA"/>
          </w:tcPr>
          <w:p>
            <w:pPr>
              <w:spacing w:after="0"/>
              <w:rPr>
                <w:sz w:val="20"/>
                <w:szCs w:val="20"/>
                <w:color w:val="auto"/>
              </w:rPr>
            </w:pPr>
            <w:r>
              <w:rPr>
                <w:rFonts w:ascii="Arial" w:cs="Arial" w:eastAsia="Arial" w:hAnsi="Arial"/>
                <w:sz w:val="18"/>
                <w:szCs w:val="18"/>
                <w:color w:val="auto"/>
              </w:rPr>
              <w:t>equity holders</w:t>
            </w:r>
          </w:p>
        </w:tc>
        <w:tc>
          <w:tcPr>
            <w:tcW w:w="1360" w:type="dxa"/>
            <w:vAlign w:val="bottom"/>
            <w:shd w:val="clear" w:color="auto" w:fill="D5EAEA"/>
          </w:tcPr>
          <w:p>
            <w:pPr>
              <w:spacing w:after="0"/>
              <w:rPr>
                <w:sz w:val="20"/>
                <w:szCs w:val="20"/>
                <w:color w:val="auto"/>
              </w:rPr>
            </w:pPr>
          </w:p>
        </w:tc>
        <w:tc>
          <w:tcPr>
            <w:tcW w:w="40" w:type="dxa"/>
            <w:vAlign w:val="bottom"/>
            <w:shd w:val="clear" w:color="auto" w:fill="D5EAEA"/>
          </w:tcPr>
          <w:p>
            <w:pPr>
              <w:spacing w:after="0"/>
              <w:rPr>
                <w:sz w:val="20"/>
                <w:szCs w:val="20"/>
                <w:color w:val="auto"/>
              </w:rPr>
            </w:pPr>
          </w:p>
        </w:tc>
        <w:tc>
          <w:tcPr>
            <w:tcW w:w="1340" w:type="dxa"/>
            <w:vAlign w:val="bottom"/>
            <w:shd w:val="clear" w:color="auto" w:fill="D5EAEA"/>
          </w:tcPr>
          <w:p>
            <w:pPr>
              <w:jc w:val="right"/>
              <w:spacing w:after="0"/>
              <w:rPr>
                <w:sz w:val="20"/>
                <w:szCs w:val="20"/>
                <w:color w:val="auto"/>
              </w:rPr>
            </w:pPr>
            <w:r>
              <w:rPr>
                <w:rFonts w:ascii="Arial" w:cs="Arial" w:eastAsia="Arial" w:hAnsi="Arial"/>
                <w:sz w:val="18"/>
                <w:szCs w:val="18"/>
                <w:color w:val="auto"/>
              </w:rPr>
              <w:t>(0.22)</w:t>
            </w:r>
          </w:p>
        </w:tc>
        <w:tc>
          <w:tcPr>
            <w:tcW w:w="120" w:type="dxa"/>
            <w:vAlign w:val="bottom"/>
            <w:shd w:val="clear" w:color="auto" w:fill="D5EAEA"/>
          </w:tcPr>
          <w:p>
            <w:pPr>
              <w:spacing w:after="0"/>
              <w:rPr>
                <w:sz w:val="20"/>
                <w:szCs w:val="20"/>
                <w:color w:val="auto"/>
              </w:rPr>
            </w:pPr>
          </w:p>
        </w:tc>
        <w:tc>
          <w:tcPr>
            <w:tcW w:w="1340" w:type="dxa"/>
            <w:vAlign w:val="bottom"/>
            <w:shd w:val="clear" w:color="auto" w:fill="D5EAEA"/>
          </w:tcPr>
          <w:p>
            <w:pPr>
              <w:jc w:val="right"/>
              <w:spacing w:after="0"/>
              <w:rPr>
                <w:sz w:val="20"/>
                <w:szCs w:val="20"/>
                <w:color w:val="auto"/>
              </w:rPr>
            </w:pPr>
            <w:r>
              <w:rPr>
                <w:rFonts w:ascii="Arial" w:cs="Arial" w:eastAsia="Arial" w:hAnsi="Arial"/>
                <w:sz w:val="18"/>
                <w:szCs w:val="18"/>
                <w:color w:val="auto"/>
              </w:rPr>
              <w:t>(0.26)</w:t>
            </w:r>
          </w:p>
        </w:tc>
        <w:tc>
          <w:tcPr>
            <w:tcW w:w="100" w:type="dxa"/>
            <w:vAlign w:val="bottom"/>
            <w:shd w:val="clear" w:color="auto" w:fill="D5EAEA"/>
          </w:tcPr>
          <w:p>
            <w:pPr>
              <w:spacing w:after="0"/>
              <w:rPr>
                <w:sz w:val="20"/>
                <w:szCs w:val="20"/>
                <w:color w:val="auto"/>
              </w:rPr>
            </w:pPr>
          </w:p>
        </w:tc>
        <w:tc>
          <w:tcPr>
            <w:tcW w:w="1340" w:type="dxa"/>
            <w:vAlign w:val="bottom"/>
            <w:shd w:val="clear" w:color="auto" w:fill="D5EAEA"/>
          </w:tcPr>
          <w:p>
            <w:pPr>
              <w:jc w:val="right"/>
              <w:spacing w:after="0"/>
              <w:rPr>
                <w:sz w:val="20"/>
                <w:szCs w:val="20"/>
                <w:color w:val="auto"/>
              </w:rPr>
            </w:pPr>
            <w:r>
              <w:rPr>
                <w:rFonts w:ascii="Arial" w:cs="Arial" w:eastAsia="Arial" w:hAnsi="Arial"/>
                <w:sz w:val="18"/>
                <w:szCs w:val="18"/>
                <w:color w:val="auto"/>
              </w:rPr>
              <w:t>(0.71)</w:t>
            </w:r>
          </w:p>
        </w:tc>
        <w:tc>
          <w:tcPr>
            <w:tcW w:w="100" w:type="dxa"/>
            <w:vAlign w:val="bottom"/>
            <w:shd w:val="clear" w:color="auto" w:fill="D5EAEA"/>
          </w:tcPr>
          <w:p>
            <w:pPr>
              <w:spacing w:after="0"/>
              <w:rPr>
                <w:sz w:val="20"/>
                <w:szCs w:val="20"/>
                <w:color w:val="auto"/>
              </w:rPr>
            </w:pPr>
          </w:p>
        </w:tc>
        <w:tc>
          <w:tcPr>
            <w:tcW w:w="1340" w:type="dxa"/>
            <w:vAlign w:val="bottom"/>
            <w:shd w:val="clear" w:color="auto" w:fill="D5EAEA"/>
          </w:tcPr>
          <w:p>
            <w:pPr>
              <w:jc w:val="right"/>
              <w:spacing w:after="0"/>
              <w:rPr>
                <w:sz w:val="20"/>
                <w:szCs w:val="20"/>
                <w:color w:val="auto"/>
              </w:rPr>
            </w:pPr>
            <w:r>
              <w:rPr>
                <w:rFonts w:ascii="Arial" w:cs="Arial" w:eastAsia="Arial" w:hAnsi="Arial"/>
                <w:sz w:val="18"/>
                <w:szCs w:val="18"/>
                <w:color w:val="auto"/>
              </w:rPr>
              <w:t>(0.59)</w:t>
            </w:r>
          </w:p>
        </w:tc>
        <w:tc>
          <w:tcPr>
            <w:tcW w:w="0" w:type="dxa"/>
            <w:vAlign w:val="bottom"/>
          </w:tcPr>
          <w:p>
            <w:pPr>
              <w:spacing w:after="0"/>
              <w:rPr>
                <w:sz w:val="1"/>
                <w:szCs w:val="1"/>
                <w:color w:val="auto"/>
              </w:rPr>
            </w:pPr>
          </w:p>
        </w:tc>
      </w:tr>
      <w:tr>
        <w:trPr>
          <w:trHeight w:val="441"/>
        </w:trPr>
        <w:tc>
          <w:tcPr>
            <w:tcW w:w="5560" w:type="dxa"/>
            <w:vAlign w:val="bottom"/>
            <w:gridSpan w:val="3"/>
          </w:tcPr>
          <w:p>
            <w:pPr>
              <w:spacing w:after="0"/>
              <w:rPr>
                <w:sz w:val="20"/>
                <w:szCs w:val="20"/>
                <w:color w:val="auto"/>
              </w:rPr>
            </w:pPr>
            <w:r>
              <w:rPr>
                <w:rFonts w:ascii="Arial" w:cs="Arial" w:eastAsia="Arial" w:hAnsi="Arial"/>
                <w:sz w:val="18"/>
                <w:szCs w:val="18"/>
                <w:b w:val="1"/>
                <w:bCs w:val="1"/>
                <w:color w:val="auto"/>
                <w:w w:val="91"/>
              </w:rPr>
              <w:t>Condensed Consolidated Statements of Comprehensive Income/(Loss)</w:t>
            </w:r>
          </w:p>
        </w:tc>
        <w:tc>
          <w:tcPr>
            <w:tcW w:w="2900" w:type="dxa"/>
            <w:vAlign w:val="bottom"/>
            <w:gridSpan w:val="4"/>
          </w:tcPr>
          <w:p>
            <w:pPr>
              <w:jc w:val="center"/>
              <w:ind w:right="200"/>
              <w:spacing w:after="0"/>
              <w:rPr>
                <w:sz w:val="20"/>
                <w:szCs w:val="20"/>
                <w:color w:val="auto"/>
              </w:rPr>
            </w:pPr>
            <w:r>
              <w:rPr>
                <w:rFonts w:ascii="Arial" w:cs="Arial" w:eastAsia="Arial" w:hAnsi="Arial"/>
                <w:sz w:val="18"/>
                <w:szCs w:val="18"/>
                <w:b w:val="1"/>
                <w:bCs w:val="1"/>
                <w:color w:val="auto"/>
                <w:w w:val="92"/>
              </w:rPr>
              <w:t>For the Three Months</w:t>
            </w:r>
          </w:p>
        </w:tc>
        <w:tc>
          <w:tcPr>
            <w:tcW w:w="2780" w:type="dxa"/>
            <w:vAlign w:val="bottom"/>
            <w:gridSpan w:val="3"/>
          </w:tcPr>
          <w:p>
            <w:pPr>
              <w:jc w:val="right"/>
              <w:ind w:right="530"/>
              <w:spacing w:after="0"/>
              <w:rPr>
                <w:sz w:val="20"/>
                <w:szCs w:val="20"/>
                <w:color w:val="auto"/>
              </w:rPr>
            </w:pPr>
            <w:r>
              <w:rPr>
                <w:rFonts w:ascii="Arial" w:cs="Arial" w:eastAsia="Arial" w:hAnsi="Arial"/>
                <w:sz w:val="18"/>
                <w:szCs w:val="18"/>
                <w:b w:val="1"/>
                <w:bCs w:val="1"/>
                <w:color w:val="auto"/>
              </w:rPr>
              <w:t>For the Nine Months</w:t>
            </w:r>
          </w:p>
        </w:tc>
        <w:tc>
          <w:tcPr>
            <w:tcW w:w="0" w:type="dxa"/>
            <w:vAlign w:val="bottom"/>
          </w:tcPr>
          <w:p>
            <w:pPr>
              <w:spacing w:after="0"/>
              <w:rPr>
                <w:sz w:val="1"/>
                <w:szCs w:val="1"/>
                <w:color w:val="auto"/>
              </w:rPr>
            </w:pPr>
          </w:p>
        </w:tc>
      </w:tr>
      <w:tr>
        <w:trPr>
          <w:trHeight w:val="234"/>
        </w:trPr>
        <w:tc>
          <w:tcPr>
            <w:tcW w:w="4160" w:type="dxa"/>
            <w:vAlign w:val="bottom"/>
          </w:tcPr>
          <w:p>
            <w:pPr>
              <w:spacing w:after="0"/>
              <w:rPr>
                <w:sz w:val="20"/>
                <w:szCs w:val="20"/>
                <w:color w:val="auto"/>
              </w:rPr>
            </w:pPr>
            <w:r>
              <w:rPr>
                <w:rFonts w:ascii="Arial" w:cs="Arial" w:eastAsia="Arial" w:hAnsi="Arial"/>
                <w:sz w:val="18"/>
                <w:szCs w:val="18"/>
                <w:b w:val="1"/>
                <w:bCs w:val="1"/>
                <w:color w:val="auto"/>
              </w:rPr>
              <w:t>(Unaudited)</w:t>
            </w:r>
          </w:p>
        </w:tc>
        <w:tc>
          <w:tcPr>
            <w:tcW w:w="13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900" w:type="dxa"/>
            <w:vAlign w:val="bottom"/>
            <w:gridSpan w:val="4"/>
          </w:tcPr>
          <w:p>
            <w:pPr>
              <w:jc w:val="center"/>
              <w:ind w:right="140"/>
              <w:spacing w:after="0"/>
              <w:rPr>
                <w:sz w:val="20"/>
                <w:szCs w:val="20"/>
                <w:color w:val="auto"/>
              </w:rPr>
            </w:pPr>
            <w:r>
              <w:rPr>
                <w:rFonts w:ascii="Arial" w:cs="Arial" w:eastAsia="Arial" w:hAnsi="Arial"/>
                <w:sz w:val="18"/>
                <w:szCs w:val="18"/>
                <w:b w:val="1"/>
                <w:bCs w:val="1"/>
                <w:color w:val="auto"/>
                <w:w w:val="88"/>
              </w:rPr>
              <w:t>ended September 30,</w:t>
            </w:r>
          </w:p>
        </w:tc>
        <w:tc>
          <w:tcPr>
            <w:tcW w:w="2780" w:type="dxa"/>
            <w:vAlign w:val="bottom"/>
            <w:gridSpan w:val="3"/>
          </w:tcPr>
          <w:p>
            <w:pPr>
              <w:jc w:val="right"/>
              <w:ind w:right="490"/>
              <w:spacing w:after="0"/>
              <w:rPr>
                <w:sz w:val="20"/>
                <w:szCs w:val="20"/>
                <w:color w:val="auto"/>
              </w:rPr>
            </w:pPr>
            <w:r>
              <w:rPr>
                <w:rFonts w:ascii="Arial" w:cs="Arial" w:eastAsia="Arial" w:hAnsi="Arial"/>
                <w:sz w:val="18"/>
                <w:szCs w:val="18"/>
                <w:b w:val="1"/>
                <w:bCs w:val="1"/>
                <w:color w:val="auto"/>
              </w:rPr>
              <w:t>ended September 30,</w:t>
            </w:r>
          </w:p>
        </w:tc>
        <w:tc>
          <w:tcPr>
            <w:tcW w:w="0" w:type="dxa"/>
            <w:vAlign w:val="bottom"/>
          </w:tcPr>
          <w:p>
            <w:pPr>
              <w:spacing w:after="0"/>
              <w:rPr>
                <w:sz w:val="1"/>
                <w:szCs w:val="1"/>
                <w:color w:val="auto"/>
              </w:rPr>
            </w:pPr>
          </w:p>
        </w:tc>
      </w:tr>
      <w:tr>
        <w:trPr>
          <w:trHeight w:val="223"/>
        </w:trPr>
        <w:tc>
          <w:tcPr>
            <w:tcW w:w="4160" w:type="dxa"/>
            <w:vAlign w:val="bottom"/>
            <w:tcBorders>
              <w:bottom w:val="single" w:sz="8" w:color="D5EAEA"/>
            </w:tcBorders>
          </w:tcPr>
          <w:p>
            <w:pPr>
              <w:spacing w:after="0"/>
              <w:rPr>
                <w:sz w:val="20"/>
                <w:szCs w:val="20"/>
                <w:color w:val="auto"/>
              </w:rPr>
            </w:pPr>
            <w:r>
              <w:rPr>
                <w:rFonts w:ascii="Arial" w:cs="Arial" w:eastAsia="Arial" w:hAnsi="Arial"/>
                <w:sz w:val="18"/>
                <w:szCs w:val="18"/>
                <w:b w:val="1"/>
                <w:bCs w:val="1"/>
                <w:color w:val="auto"/>
              </w:rPr>
              <w:t>(in CHF thousands)</w:t>
            </w:r>
          </w:p>
        </w:tc>
        <w:tc>
          <w:tcPr>
            <w:tcW w:w="1360" w:type="dxa"/>
            <w:vAlign w:val="bottom"/>
            <w:tcBorders>
              <w:bottom w:val="single" w:sz="8" w:color="D5EAEA"/>
            </w:tcBorders>
          </w:tcPr>
          <w:p>
            <w:pPr>
              <w:spacing w:after="0"/>
              <w:rPr>
                <w:sz w:val="19"/>
                <w:szCs w:val="19"/>
                <w:color w:val="auto"/>
              </w:rPr>
            </w:pPr>
          </w:p>
        </w:tc>
        <w:tc>
          <w:tcPr>
            <w:tcW w:w="40" w:type="dxa"/>
            <w:vAlign w:val="bottom"/>
            <w:tcBorders>
              <w:top w:val="single" w:sz="8" w:color="auto"/>
              <w:bottom w:val="single" w:sz="8" w:color="auto"/>
            </w:tcBorders>
          </w:tcPr>
          <w:p>
            <w:pPr>
              <w:spacing w:after="0"/>
              <w:rPr>
                <w:sz w:val="19"/>
                <w:szCs w:val="19"/>
                <w:color w:val="auto"/>
              </w:rPr>
            </w:pPr>
          </w:p>
        </w:tc>
        <w:tc>
          <w:tcPr>
            <w:tcW w:w="134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2021</w:t>
            </w:r>
          </w:p>
        </w:tc>
        <w:tc>
          <w:tcPr>
            <w:tcW w:w="120" w:type="dxa"/>
            <w:vAlign w:val="bottom"/>
            <w:tcBorders>
              <w:top w:val="single" w:sz="8" w:color="auto"/>
              <w:bottom w:val="single" w:sz="8" w:color="D5EAEA"/>
            </w:tcBorders>
          </w:tcPr>
          <w:p>
            <w:pPr>
              <w:spacing w:after="0"/>
              <w:rPr>
                <w:sz w:val="19"/>
                <w:szCs w:val="19"/>
                <w:color w:val="auto"/>
              </w:rPr>
            </w:pPr>
          </w:p>
        </w:tc>
        <w:tc>
          <w:tcPr>
            <w:tcW w:w="134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D5EAEA"/>
            </w:tcBorders>
          </w:tcPr>
          <w:p>
            <w:pPr>
              <w:spacing w:after="0"/>
              <w:rPr>
                <w:sz w:val="19"/>
                <w:szCs w:val="19"/>
                <w:color w:val="auto"/>
              </w:rPr>
            </w:pPr>
          </w:p>
        </w:tc>
        <w:tc>
          <w:tcPr>
            <w:tcW w:w="134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top w:val="single" w:sz="8" w:color="auto"/>
              <w:bottom w:val="single" w:sz="8" w:color="D5EAEA"/>
            </w:tcBorders>
          </w:tcPr>
          <w:p>
            <w:pPr>
              <w:spacing w:after="0"/>
              <w:rPr>
                <w:sz w:val="19"/>
                <w:szCs w:val="19"/>
                <w:color w:val="auto"/>
              </w:rPr>
            </w:pPr>
          </w:p>
        </w:tc>
        <w:tc>
          <w:tcPr>
            <w:tcW w:w="1340" w:type="dxa"/>
            <w:vAlign w:val="bottom"/>
            <w:tcBorders>
              <w:top w:val="single" w:sz="8" w:color="auto"/>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2020</w:t>
            </w:r>
          </w:p>
        </w:tc>
        <w:tc>
          <w:tcPr>
            <w:tcW w:w="0" w:type="dxa"/>
            <w:vAlign w:val="bottom"/>
          </w:tcPr>
          <w:p>
            <w:pPr>
              <w:spacing w:after="0"/>
              <w:rPr>
                <w:sz w:val="1"/>
                <w:szCs w:val="1"/>
                <w:color w:val="auto"/>
              </w:rPr>
            </w:pPr>
          </w:p>
        </w:tc>
      </w:tr>
      <w:tr>
        <w:trPr>
          <w:trHeight w:val="210"/>
        </w:trPr>
        <w:tc>
          <w:tcPr>
            <w:tcW w:w="4160" w:type="dxa"/>
            <w:vAlign w:val="bottom"/>
            <w:shd w:val="clear" w:color="auto" w:fill="D5EAEA"/>
          </w:tcPr>
          <w:p>
            <w:pPr>
              <w:spacing w:after="0"/>
              <w:rPr>
                <w:sz w:val="18"/>
                <w:szCs w:val="18"/>
                <w:color w:val="auto"/>
              </w:rPr>
            </w:pPr>
          </w:p>
        </w:tc>
        <w:tc>
          <w:tcPr>
            <w:tcW w:w="1360" w:type="dxa"/>
            <w:vAlign w:val="bottom"/>
            <w:shd w:val="clear" w:color="auto" w:fill="D5EAEA"/>
          </w:tcPr>
          <w:p>
            <w:pPr>
              <w:spacing w:after="0"/>
              <w:rPr>
                <w:sz w:val="18"/>
                <w:szCs w:val="18"/>
                <w:color w:val="auto"/>
              </w:rPr>
            </w:pPr>
          </w:p>
        </w:tc>
        <w:tc>
          <w:tcPr>
            <w:tcW w:w="40" w:type="dxa"/>
            <w:vAlign w:val="bottom"/>
            <w:shd w:val="clear" w:color="auto" w:fill="D5EAEA"/>
          </w:tcPr>
          <w:p>
            <w:pPr>
              <w:spacing w:after="0"/>
              <w:rPr>
                <w:sz w:val="18"/>
                <w:szCs w:val="18"/>
                <w:color w:val="auto"/>
              </w:rPr>
            </w:pPr>
          </w:p>
        </w:tc>
        <w:tc>
          <w:tcPr>
            <w:tcW w:w="1340" w:type="dxa"/>
            <w:vAlign w:val="bottom"/>
            <w:shd w:val="clear" w:color="auto" w:fill="D5EAEA"/>
          </w:tcPr>
          <w:p>
            <w:pPr>
              <w:spacing w:after="0"/>
              <w:rPr>
                <w:sz w:val="18"/>
                <w:szCs w:val="18"/>
                <w:color w:val="auto"/>
              </w:rPr>
            </w:pPr>
          </w:p>
        </w:tc>
        <w:tc>
          <w:tcPr>
            <w:tcW w:w="120" w:type="dxa"/>
            <w:vAlign w:val="bottom"/>
            <w:shd w:val="clear" w:color="auto" w:fill="D5EAEA"/>
          </w:tcPr>
          <w:p>
            <w:pPr>
              <w:spacing w:after="0"/>
              <w:rPr>
                <w:sz w:val="18"/>
                <w:szCs w:val="18"/>
                <w:color w:val="auto"/>
              </w:rPr>
            </w:pPr>
          </w:p>
        </w:tc>
        <w:tc>
          <w:tcPr>
            <w:tcW w:w="1340" w:type="dxa"/>
            <w:vAlign w:val="bottom"/>
            <w:shd w:val="clear" w:color="auto" w:fill="D5EAEA"/>
          </w:tcPr>
          <w:p>
            <w:pPr>
              <w:spacing w:after="0"/>
              <w:rPr>
                <w:sz w:val="18"/>
                <w:szCs w:val="18"/>
                <w:color w:val="auto"/>
              </w:rPr>
            </w:pPr>
          </w:p>
        </w:tc>
        <w:tc>
          <w:tcPr>
            <w:tcW w:w="100" w:type="dxa"/>
            <w:vAlign w:val="bottom"/>
            <w:shd w:val="clear" w:color="auto" w:fill="D5EAEA"/>
          </w:tcPr>
          <w:p>
            <w:pPr>
              <w:spacing w:after="0"/>
              <w:rPr>
                <w:sz w:val="18"/>
                <w:szCs w:val="18"/>
                <w:color w:val="auto"/>
              </w:rPr>
            </w:pPr>
          </w:p>
        </w:tc>
        <w:tc>
          <w:tcPr>
            <w:tcW w:w="1340" w:type="dxa"/>
            <w:vAlign w:val="bottom"/>
            <w:shd w:val="clear" w:color="auto" w:fill="D5EAEA"/>
          </w:tcPr>
          <w:p>
            <w:pPr>
              <w:spacing w:after="0"/>
              <w:rPr>
                <w:sz w:val="18"/>
                <w:szCs w:val="18"/>
                <w:color w:val="auto"/>
              </w:rPr>
            </w:pPr>
          </w:p>
        </w:tc>
        <w:tc>
          <w:tcPr>
            <w:tcW w:w="100" w:type="dxa"/>
            <w:vAlign w:val="bottom"/>
            <w:shd w:val="clear" w:color="auto" w:fill="D5EAEA"/>
          </w:tcPr>
          <w:p>
            <w:pPr>
              <w:spacing w:after="0"/>
              <w:rPr>
                <w:sz w:val="18"/>
                <w:szCs w:val="18"/>
                <w:color w:val="auto"/>
              </w:rPr>
            </w:pPr>
          </w:p>
        </w:tc>
        <w:tc>
          <w:tcPr>
            <w:tcW w:w="1340" w:type="dxa"/>
            <w:vAlign w:val="bottom"/>
            <w:shd w:val="clear" w:color="auto" w:fill="D5EAEA"/>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60" w:type="dxa"/>
            <w:vAlign w:val="bottom"/>
          </w:tcPr>
          <w:p>
            <w:pPr>
              <w:spacing w:after="0"/>
              <w:rPr>
                <w:sz w:val="20"/>
                <w:szCs w:val="20"/>
                <w:color w:val="auto"/>
              </w:rPr>
            </w:pPr>
            <w:r>
              <w:rPr>
                <w:rFonts w:ascii="Arial" w:cs="Arial" w:eastAsia="Arial" w:hAnsi="Arial"/>
                <w:sz w:val="18"/>
                <w:szCs w:val="18"/>
                <w:color w:val="auto"/>
              </w:rPr>
              <w:t>Loss for the period</w:t>
            </w:r>
          </w:p>
        </w:tc>
        <w:tc>
          <w:tcPr>
            <w:tcW w:w="13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(15,918)</w:t>
            </w:r>
          </w:p>
        </w:tc>
        <w:tc>
          <w:tcPr>
            <w:tcW w:w="1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(18,994)</w:t>
            </w:r>
          </w:p>
        </w:tc>
        <w:tc>
          <w:tcPr>
            <w:tcW w:w="1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(51,720)</w:t>
            </w:r>
          </w:p>
        </w:tc>
        <w:tc>
          <w:tcPr>
            <w:tcW w:w="1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(42,421)</w:t>
            </w:r>
          </w:p>
        </w:tc>
        <w:tc>
          <w:tcPr>
            <w:tcW w:w="0" w:type="dxa"/>
            <w:vAlign w:val="bottom"/>
          </w:tcPr>
          <w:p>
            <w:pPr>
              <w:spacing w:after="0"/>
              <w:rPr>
                <w:sz w:val="1"/>
                <w:szCs w:val="1"/>
                <w:color w:val="auto"/>
              </w:rPr>
            </w:pPr>
          </w:p>
        </w:tc>
      </w:tr>
      <w:tr>
        <w:trPr>
          <w:trHeight w:val="202"/>
        </w:trPr>
        <w:tc>
          <w:tcPr>
            <w:tcW w:w="5560" w:type="dxa"/>
            <w:vAlign w:val="bottom"/>
            <w:gridSpan w:val="3"/>
            <w:shd w:val="clear" w:color="auto" w:fill="D5EAEA"/>
          </w:tcPr>
          <w:p>
            <w:pPr>
              <w:spacing w:after="0" w:line="201" w:lineRule="exact"/>
              <w:rPr>
                <w:sz w:val="20"/>
                <w:szCs w:val="20"/>
                <w:color w:val="auto"/>
              </w:rPr>
            </w:pPr>
            <w:r>
              <w:rPr>
                <w:rFonts w:ascii="Arial" w:cs="Arial" w:eastAsia="Arial" w:hAnsi="Arial"/>
                <w:sz w:val="18"/>
                <w:szCs w:val="18"/>
                <w:color w:val="auto"/>
                <w:w w:val="92"/>
              </w:rPr>
              <w:t>Items that may be reclassified to income or loss in subsequent periods (net</w:t>
            </w:r>
          </w:p>
        </w:tc>
        <w:tc>
          <w:tcPr>
            <w:tcW w:w="1340" w:type="dxa"/>
            <w:vAlign w:val="bottom"/>
            <w:shd w:val="clear" w:color="auto" w:fill="D5EAEA"/>
          </w:tcPr>
          <w:p>
            <w:pPr>
              <w:spacing w:after="0"/>
              <w:rPr>
                <w:sz w:val="17"/>
                <w:szCs w:val="17"/>
                <w:color w:val="auto"/>
              </w:rPr>
            </w:pPr>
          </w:p>
        </w:tc>
        <w:tc>
          <w:tcPr>
            <w:tcW w:w="120" w:type="dxa"/>
            <w:vAlign w:val="bottom"/>
            <w:shd w:val="clear" w:color="auto" w:fill="D5EAEA"/>
          </w:tcPr>
          <w:p>
            <w:pPr>
              <w:spacing w:after="0"/>
              <w:rPr>
                <w:sz w:val="17"/>
                <w:szCs w:val="17"/>
                <w:color w:val="auto"/>
              </w:rPr>
            </w:pPr>
          </w:p>
        </w:tc>
        <w:tc>
          <w:tcPr>
            <w:tcW w:w="1340" w:type="dxa"/>
            <w:vAlign w:val="bottom"/>
            <w:shd w:val="clear" w:color="auto" w:fill="D5EAEA"/>
          </w:tcPr>
          <w:p>
            <w:pPr>
              <w:spacing w:after="0"/>
              <w:rPr>
                <w:sz w:val="17"/>
                <w:szCs w:val="17"/>
                <w:color w:val="auto"/>
              </w:rPr>
            </w:pPr>
          </w:p>
        </w:tc>
        <w:tc>
          <w:tcPr>
            <w:tcW w:w="100" w:type="dxa"/>
            <w:vAlign w:val="bottom"/>
            <w:shd w:val="clear" w:color="auto" w:fill="D5EAEA"/>
          </w:tcPr>
          <w:p>
            <w:pPr>
              <w:spacing w:after="0"/>
              <w:rPr>
                <w:sz w:val="17"/>
                <w:szCs w:val="17"/>
                <w:color w:val="auto"/>
              </w:rPr>
            </w:pPr>
          </w:p>
        </w:tc>
        <w:tc>
          <w:tcPr>
            <w:tcW w:w="1340" w:type="dxa"/>
            <w:vAlign w:val="bottom"/>
            <w:shd w:val="clear" w:color="auto" w:fill="D5EAEA"/>
          </w:tcPr>
          <w:p>
            <w:pPr>
              <w:spacing w:after="0"/>
              <w:rPr>
                <w:sz w:val="17"/>
                <w:szCs w:val="17"/>
                <w:color w:val="auto"/>
              </w:rPr>
            </w:pPr>
          </w:p>
        </w:tc>
        <w:tc>
          <w:tcPr>
            <w:tcW w:w="100" w:type="dxa"/>
            <w:vAlign w:val="bottom"/>
            <w:shd w:val="clear" w:color="auto" w:fill="D5EAEA"/>
          </w:tcPr>
          <w:p>
            <w:pPr>
              <w:spacing w:after="0"/>
              <w:rPr>
                <w:sz w:val="17"/>
                <w:szCs w:val="17"/>
                <w:color w:val="auto"/>
              </w:rPr>
            </w:pPr>
          </w:p>
        </w:tc>
        <w:tc>
          <w:tcPr>
            <w:tcW w:w="1340" w:type="dxa"/>
            <w:vAlign w:val="bottom"/>
            <w:shd w:val="clear" w:color="auto" w:fill="D5EAEA"/>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160" w:type="dxa"/>
            <w:vAlign w:val="bottom"/>
            <w:shd w:val="clear" w:color="auto" w:fill="D5EAEA"/>
          </w:tcPr>
          <w:p>
            <w:pPr>
              <w:spacing w:after="0"/>
              <w:rPr>
                <w:sz w:val="20"/>
                <w:szCs w:val="20"/>
                <w:color w:val="auto"/>
              </w:rPr>
            </w:pPr>
            <w:r>
              <w:rPr>
                <w:rFonts w:ascii="Arial" w:cs="Arial" w:eastAsia="Arial" w:hAnsi="Arial"/>
                <w:sz w:val="18"/>
                <w:szCs w:val="18"/>
                <w:color w:val="auto"/>
              </w:rPr>
              <w:t>of tax):</w:t>
            </w:r>
          </w:p>
        </w:tc>
        <w:tc>
          <w:tcPr>
            <w:tcW w:w="1360" w:type="dxa"/>
            <w:vAlign w:val="bottom"/>
            <w:shd w:val="clear" w:color="auto" w:fill="D5EAEA"/>
          </w:tcPr>
          <w:p>
            <w:pPr>
              <w:spacing w:after="0"/>
              <w:rPr>
                <w:sz w:val="20"/>
                <w:szCs w:val="20"/>
                <w:color w:val="auto"/>
              </w:rPr>
            </w:pPr>
          </w:p>
        </w:tc>
        <w:tc>
          <w:tcPr>
            <w:tcW w:w="40" w:type="dxa"/>
            <w:vAlign w:val="bottom"/>
            <w:shd w:val="clear" w:color="auto" w:fill="D5EAEA"/>
          </w:tcPr>
          <w:p>
            <w:pPr>
              <w:spacing w:after="0"/>
              <w:rPr>
                <w:sz w:val="20"/>
                <w:szCs w:val="20"/>
                <w:color w:val="auto"/>
              </w:rPr>
            </w:pPr>
          </w:p>
        </w:tc>
        <w:tc>
          <w:tcPr>
            <w:tcW w:w="1340" w:type="dxa"/>
            <w:vAlign w:val="bottom"/>
            <w:shd w:val="clear" w:color="auto" w:fill="D5EAEA"/>
          </w:tcPr>
          <w:p>
            <w:pPr>
              <w:spacing w:after="0"/>
              <w:rPr>
                <w:sz w:val="20"/>
                <w:szCs w:val="20"/>
                <w:color w:val="auto"/>
              </w:rPr>
            </w:pPr>
          </w:p>
        </w:tc>
        <w:tc>
          <w:tcPr>
            <w:tcW w:w="120" w:type="dxa"/>
            <w:vAlign w:val="bottom"/>
            <w:shd w:val="clear" w:color="auto" w:fill="D5EAEA"/>
          </w:tcPr>
          <w:p>
            <w:pPr>
              <w:spacing w:after="0"/>
              <w:rPr>
                <w:sz w:val="20"/>
                <w:szCs w:val="20"/>
                <w:color w:val="auto"/>
              </w:rPr>
            </w:pPr>
          </w:p>
        </w:tc>
        <w:tc>
          <w:tcPr>
            <w:tcW w:w="1340" w:type="dxa"/>
            <w:vAlign w:val="bottom"/>
            <w:shd w:val="clear" w:color="auto" w:fill="D5EAEA"/>
          </w:tcPr>
          <w:p>
            <w:pPr>
              <w:spacing w:after="0"/>
              <w:rPr>
                <w:sz w:val="20"/>
                <w:szCs w:val="20"/>
                <w:color w:val="auto"/>
              </w:rPr>
            </w:pPr>
          </w:p>
        </w:tc>
        <w:tc>
          <w:tcPr>
            <w:tcW w:w="100" w:type="dxa"/>
            <w:vAlign w:val="bottom"/>
            <w:shd w:val="clear" w:color="auto" w:fill="D5EAEA"/>
          </w:tcPr>
          <w:p>
            <w:pPr>
              <w:spacing w:after="0"/>
              <w:rPr>
                <w:sz w:val="20"/>
                <w:szCs w:val="20"/>
                <w:color w:val="auto"/>
              </w:rPr>
            </w:pPr>
          </w:p>
        </w:tc>
        <w:tc>
          <w:tcPr>
            <w:tcW w:w="1340" w:type="dxa"/>
            <w:vAlign w:val="bottom"/>
            <w:shd w:val="clear" w:color="auto" w:fill="D5EAEA"/>
          </w:tcPr>
          <w:p>
            <w:pPr>
              <w:spacing w:after="0"/>
              <w:rPr>
                <w:sz w:val="20"/>
                <w:szCs w:val="20"/>
                <w:color w:val="auto"/>
              </w:rPr>
            </w:pPr>
          </w:p>
        </w:tc>
        <w:tc>
          <w:tcPr>
            <w:tcW w:w="100" w:type="dxa"/>
            <w:vAlign w:val="bottom"/>
            <w:shd w:val="clear" w:color="auto" w:fill="D5EAEA"/>
          </w:tcPr>
          <w:p>
            <w:pPr>
              <w:spacing w:after="0"/>
              <w:rPr>
                <w:sz w:val="20"/>
                <w:szCs w:val="20"/>
                <w:color w:val="auto"/>
              </w:rPr>
            </w:pPr>
          </w:p>
        </w:tc>
        <w:tc>
          <w:tcPr>
            <w:tcW w:w="1340" w:type="dxa"/>
            <w:vAlign w:val="bottom"/>
            <w:shd w:val="clear" w:color="auto" w:fill="D5EAEA"/>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160" w:type="dxa"/>
            <w:vAlign w:val="bottom"/>
          </w:tcPr>
          <w:p>
            <w:pPr>
              <w:spacing w:after="0"/>
              <w:rPr>
                <w:sz w:val="20"/>
                <w:szCs w:val="20"/>
                <w:color w:val="auto"/>
              </w:rPr>
            </w:pPr>
            <w:r>
              <w:rPr>
                <w:rFonts w:ascii="Arial" w:cs="Arial" w:eastAsia="Arial" w:hAnsi="Arial"/>
                <w:sz w:val="18"/>
                <w:szCs w:val="18"/>
                <w:color w:val="auto"/>
              </w:rPr>
              <w:t>Currency translation differences</w:t>
            </w:r>
          </w:p>
        </w:tc>
        <w:tc>
          <w:tcPr>
            <w:tcW w:w="13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5560" w:type="dxa"/>
            <w:vAlign w:val="bottom"/>
            <w:gridSpan w:val="3"/>
            <w:shd w:val="clear" w:color="auto" w:fill="D5EAEA"/>
          </w:tcPr>
          <w:p>
            <w:pPr>
              <w:spacing w:after="0" w:line="201" w:lineRule="exact"/>
              <w:rPr>
                <w:sz w:val="20"/>
                <w:szCs w:val="20"/>
                <w:color w:val="auto"/>
              </w:rPr>
            </w:pPr>
            <w:r>
              <w:rPr>
                <w:rFonts w:ascii="Arial" w:cs="Arial" w:eastAsia="Arial" w:hAnsi="Arial"/>
                <w:sz w:val="18"/>
                <w:szCs w:val="18"/>
                <w:color w:val="auto"/>
                <w:w w:val="95"/>
              </w:rPr>
              <w:t>Items that will not be reclassified to income or loss in subsequent periods</w:t>
            </w:r>
          </w:p>
        </w:tc>
        <w:tc>
          <w:tcPr>
            <w:tcW w:w="1340" w:type="dxa"/>
            <w:vAlign w:val="bottom"/>
            <w:shd w:val="clear" w:color="auto" w:fill="D5EAEA"/>
          </w:tcPr>
          <w:p>
            <w:pPr>
              <w:spacing w:after="0"/>
              <w:rPr>
                <w:sz w:val="17"/>
                <w:szCs w:val="17"/>
                <w:color w:val="auto"/>
              </w:rPr>
            </w:pPr>
          </w:p>
        </w:tc>
        <w:tc>
          <w:tcPr>
            <w:tcW w:w="120" w:type="dxa"/>
            <w:vAlign w:val="bottom"/>
            <w:shd w:val="clear" w:color="auto" w:fill="D5EAEA"/>
          </w:tcPr>
          <w:p>
            <w:pPr>
              <w:spacing w:after="0"/>
              <w:rPr>
                <w:sz w:val="17"/>
                <w:szCs w:val="17"/>
                <w:color w:val="auto"/>
              </w:rPr>
            </w:pPr>
          </w:p>
        </w:tc>
        <w:tc>
          <w:tcPr>
            <w:tcW w:w="1340" w:type="dxa"/>
            <w:vAlign w:val="bottom"/>
            <w:shd w:val="clear" w:color="auto" w:fill="D5EAEA"/>
          </w:tcPr>
          <w:p>
            <w:pPr>
              <w:spacing w:after="0"/>
              <w:rPr>
                <w:sz w:val="17"/>
                <w:szCs w:val="17"/>
                <w:color w:val="auto"/>
              </w:rPr>
            </w:pPr>
          </w:p>
        </w:tc>
        <w:tc>
          <w:tcPr>
            <w:tcW w:w="100" w:type="dxa"/>
            <w:vAlign w:val="bottom"/>
            <w:shd w:val="clear" w:color="auto" w:fill="D5EAEA"/>
          </w:tcPr>
          <w:p>
            <w:pPr>
              <w:spacing w:after="0"/>
              <w:rPr>
                <w:sz w:val="17"/>
                <w:szCs w:val="17"/>
                <w:color w:val="auto"/>
              </w:rPr>
            </w:pPr>
          </w:p>
        </w:tc>
        <w:tc>
          <w:tcPr>
            <w:tcW w:w="1340" w:type="dxa"/>
            <w:vAlign w:val="bottom"/>
            <w:shd w:val="clear" w:color="auto" w:fill="D5EAEA"/>
          </w:tcPr>
          <w:p>
            <w:pPr>
              <w:spacing w:after="0"/>
              <w:rPr>
                <w:sz w:val="17"/>
                <w:szCs w:val="17"/>
                <w:color w:val="auto"/>
              </w:rPr>
            </w:pPr>
          </w:p>
        </w:tc>
        <w:tc>
          <w:tcPr>
            <w:tcW w:w="100" w:type="dxa"/>
            <w:vAlign w:val="bottom"/>
            <w:shd w:val="clear" w:color="auto" w:fill="D5EAEA"/>
          </w:tcPr>
          <w:p>
            <w:pPr>
              <w:spacing w:after="0"/>
              <w:rPr>
                <w:sz w:val="17"/>
                <w:szCs w:val="17"/>
                <w:color w:val="auto"/>
              </w:rPr>
            </w:pPr>
          </w:p>
        </w:tc>
        <w:tc>
          <w:tcPr>
            <w:tcW w:w="1340" w:type="dxa"/>
            <w:vAlign w:val="bottom"/>
            <w:shd w:val="clear" w:color="auto" w:fill="D5EAEA"/>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160" w:type="dxa"/>
            <w:vAlign w:val="bottom"/>
            <w:shd w:val="clear" w:color="auto" w:fill="D5EAEA"/>
          </w:tcPr>
          <w:p>
            <w:pPr>
              <w:spacing w:after="0"/>
              <w:rPr>
                <w:sz w:val="20"/>
                <w:szCs w:val="20"/>
                <w:color w:val="auto"/>
              </w:rPr>
            </w:pPr>
            <w:r>
              <w:rPr>
                <w:rFonts w:ascii="Arial" w:cs="Arial" w:eastAsia="Arial" w:hAnsi="Arial"/>
                <w:sz w:val="18"/>
                <w:szCs w:val="18"/>
                <w:color w:val="auto"/>
              </w:rPr>
              <w:t>(net of tax):</w:t>
            </w:r>
          </w:p>
        </w:tc>
        <w:tc>
          <w:tcPr>
            <w:tcW w:w="1360" w:type="dxa"/>
            <w:vAlign w:val="bottom"/>
            <w:shd w:val="clear" w:color="auto" w:fill="D5EAEA"/>
          </w:tcPr>
          <w:p>
            <w:pPr>
              <w:spacing w:after="0"/>
              <w:rPr>
                <w:sz w:val="20"/>
                <w:szCs w:val="20"/>
                <w:color w:val="auto"/>
              </w:rPr>
            </w:pPr>
          </w:p>
        </w:tc>
        <w:tc>
          <w:tcPr>
            <w:tcW w:w="40" w:type="dxa"/>
            <w:vAlign w:val="bottom"/>
            <w:shd w:val="clear" w:color="auto" w:fill="D5EAEA"/>
          </w:tcPr>
          <w:p>
            <w:pPr>
              <w:spacing w:after="0"/>
              <w:rPr>
                <w:sz w:val="20"/>
                <w:szCs w:val="20"/>
                <w:color w:val="auto"/>
              </w:rPr>
            </w:pPr>
          </w:p>
        </w:tc>
        <w:tc>
          <w:tcPr>
            <w:tcW w:w="1340" w:type="dxa"/>
            <w:vAlign w:val="bottom"/>
            <w:shd w:val="clear" w:color="auto" w:fill="D5EAEA"/>
          </w:tcPr>
          <w:p>
            <w:pPr>
              <w:spacing w:after="0"/>
              <w:rPr>
                <w:sz w:val="20"/>
                <w:szCs w:val="20"/>
                <w:color w:val="auto"/>
              </w:rPr>
            </w:pPr>
          </w:p>
        </w:tc>
        <w:tc>
          <w:tcPr>
            <w:tcW w:w="120" w:type="dxa"/>
            <w:vAlign w:val="bottom"/>
            <w:shd w:val="clear" w:color="auto" w:fill="D5EAEA"/>
          </w:tcPr>
          <w:p>
            <w:pPr>
              <w:spacing w:after="0"/>
              <w:rPr>
                <w:sz w:val="20"/>
                <w:szCs w:val="20"/>
                <w:color w:val="auto"/>
              </w:rPr>
            </w:pPr>
          </w:p>
        </w:tc>
        <w:tc>
          <w:tcPr>
            <w:tcW w:w="1340" w:type="dxa"/>
            <w:vAlign w:val="bottom"/>
            <w:shd w:val="clear" w:color="auto" w:fill="D5EAEA"/>
          </w:tcPr>
          <w:p>
            <w:pPr>
              <w:spacing w:after="0"/>
              <w:rPr>
                <w:sz w:val="20"/>
                <w:szCs w:val="20"/>
                <w:color w:val="auto"/>
              </w:rPr>
            </w:pPr>
          </w:p>
        </w:tc>
        <w:tc>
          <w:tcPr>
            <w:tcW w:w="100" w:type="dxa"/>
            <w:vAlign w:val="bottom"/>
            <w:shd w:val="clear" w:color="auto" w:fill="D5EAEA"/>
          </w:tcPr>
          <w:p>
            <w:pPr>
              <w:spacing w:after="0"/>
              <w:rPr>
                <w:sz w:val="20"/>
                <w:szCs w:val="20"/>
                <w:color w:val="auto"/>
              </w:rPr>
            </w:pPr>
          </w:p>
        </w:tc>
        <w:tc>
          <w:tcPr>
            <w:tcW w:w="1340" w:type="dxa"/>
            <w:vAlign w:val="bottom"/>
            <w:shd w:val="clear" w:color="auto" w:fill="D5EAEA"/>
          </w:tcPr>
          <w:p>
            <w:pPr>
              <w:spacing w:after="0"/>
              <w:rPr>
                <w:sz w:val="20"/>
                <w:szCs w:val="20"/>
                <w:color w:val="auto"/>
              </w:rPr>
            </w:pPr>
          </w:p>
        </w:tc>
        <w:tc>
          <w:tcPr>
            <w:tcW w:w="100" w:type="dxa"/>
            <w:vAlign w:val="bottom"/>
            <w:shd w:val="clear" w:color="auto" w:fill="D5EAEA"/>
          </w:tcPr>
          <w:p>
            <w:pPr>
              <w:spacing w:after="0"/>
              <w:rPr>
                <w:sz w:val="20"/>
                <w:szCs w:val="20"/>
                <w:color w:val="auto"/>
              </w:rPr>
            </w:pPr>
          </w:p>
        </w:tc>
        <w:tc>
          <w:tcPr>
            <w:tcW w:w="1340" w:type="dxa"/>
            <w:vAlign w:val="bottom"/>
            <w:shd w:val="clear" w:color="auto" w:fill="D5EAEA"/>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160" w:type="dxa"/>
            <w:vAlign w:val="bottom"/>
          </w:tcPr>
          <w:p>
            <w:pPr>
              <w:spacing w:after="0"/>
              <w:rPr>
                <w:sz w:val="20"/>
                <w:szCs w:val="20"/>
                <w:color w:val="auto"/>
              </w:rPr>
            </w:pPr>
            <w:r>
              <w:rPr>
                <w:rFonts w:ascii="Arial" w:cs="Arial" w:eastAsia="Arial" w:hAnsi="Arial"/>
                <w:sz w:val="18"/>
                <w:szCs w:val="18"/>
                <w:color w:val="auto"/>
              </w:rPr>
              <w:t>Re-measurement losses on defined-benefit plans</w:t>
            </w:r>
          </w:p>
        </w:tc>
        <w:tc>
          <w:tcPr>
            <w:tcW w:w="13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4160" w:type="dxa"/>
            <w:vAlign w:val="bottom"/>
            <w:tcBorders>
              <w:top w:val="single" w:sz="8" w:color="D5EAEA"/>
              <w:bottom w:val="single" w:sz="8" w:color="D5EAEA"/>
            </w:tcBorders>
            <w:shd w:val="clear" w:color="auto" w:fill="D5EAEA"/>
          </w:tcPr>
          <w:p>
            <w:pPr>
              <w:spacing w:after="0"/>
              <w:rPr>
                <w:sz w:val="20"/>
                <w:szCs w:val="20"/>
                <w:color w:val="auto"/>
              </w:rPr>
            </w:pPr>
            <w:r>
              <w:rPr>
                <w:rFonts w:ascii="Arial" w:cs="Arial" w:eastAsia="Arial" w:hAnsi="Arial"/>
                <w:sz w:val="18"/>
                <w:szCs w:val="18"/>
                <w:color w:val="auto"/>
              </w:rPr>
              <w:t>Other comprehensive income/(loss)</w:t>
            </w:r>
          </w:p>
        </w:tc>
        <w:tc>
          <w:tcPr>
            <w:tcW w:w="1360" w:type="dxa"/>
            <w:vAlign w:val="bottom"/>
            <w:tcBorders>
              <w:top w:val="single" w:sz="8" w:color="D5EAEA"/>
              <w:bottom w:val="single" w:sz="8" w:color="D5EAEA"/>
            </w:tcBorders>
            <w:shd w:val="clear" w:color="auto" w:fill="D5EAEA"/>
          </w:tcPr>
          <w:p>
            <w:pPr>
              <w:spacing w:after="0"/>
              <w:rPr>
                <w:sz w:val="19"/>
                <w:szCs w:val="19"/>
                <w:color w:val="auto"/>
              </w:rPr>
            </w:pPr>
          </w:p>
        </w:tc>
        <w:tc>
          <w:tcPr>
            <w:tcW w:w="40" w:type="dxa"/>
            <w:vAlign w:val="bottom"/>
            <w:tcBorders>
              <w:top w:val="single" w:sz="8" w:color="auto"/>
              <w:bottom w:val="single" w:sz="8" w:color="auto"/>
            </w:tcBorders>
            <w:shd w:val="clear" w:color="auto" w:fill="D5EAEA"/>
          </w:tcPr>
          <w:p>
            <w:pPr>
              <w:spacing w:after="0"/>
              <w:rPr>
                <w:sz w:val="19"/>
                <w:szCs w:val="19"/>
                <w:color w:val="auto"/>
              </w:rPr>
            </w:pPr>
          </w:p>
        </w:tc>
        <w:tc>
          <w:tcPr>
            <w:tcW w:w="1340" w:type="dxa"/>
            <w:vAlign w:val="bottom"/>
            <w:tcBorders>
              <w:top w:val="single" w:sz="8" w:color="auto"/>
              <w:bottom w:val="single" w:sz="8" w:color="auto"/>
            </w:tcBorders>
            <w:shd w:val="clear" w:color="auto" w:fill="D5EAEA"/>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D5EAEA"/>
              <w:bottom w:val="single" w:sz="8" w:color="D5EAEA"/>
            </w:tcBorders>
            <w:shd w:val="clear" w:color="auto" w:fill="D5EAEA"/>
          </w:tcPr>
          <w:p>
            <w:pPr>
              <w:spacing w:after="0"/>
              <w:rPr>
                <w:sz w:val="19"/>
                <w:szCs w:val="19"/>
                <w:color w:val="auto"/>
              </w:rPr>
            </w:pPr>
          </w:p>
        </w:tc>
        <w:tc>
          <w:tcPr>
            <w:tcW w:w="1340" w:type="dxa"/>
            <w:vAlign w:val="bottom"/>
            <w:tcBorders>
              <w:top w:val="single" w:sz="8" w:color="auto"/>
              <w:bottom w:val="single" w:sz="8" w:color="auto"/>
            </w:tcBorders>
            <w:shd w:val="clear" w:color="auto" w:fill="D5EAEA"/>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D5EAEA"/>
              <w:bottom w:val="single" w:sz="8" w:color="D5EAEA"/>
            </w:tcBorders>
            <w:shd w:val="clear" w:color="auto" w:fill="D5EAEA"/>
          </w:tcPr>
          <w:p>
            <w:pPr>
              <w:spacing w:after="0"/>
              <w:rPr>
                <w:sz w:val="19"/>
                <w:szCs w:val="19"/>
                <w:color w:val="auto"/>
              </w:rPr>
            </w:pPr>
          </w:p>
        </w:tc>
        <w:tc>
          <w:tcPr>
            <w:tcW w:w="1340" w:type="dxa"/>
            <w:vAlign w:val="bottom"/>
            <w:tcBorders>
              <w:top w:val="single" w:sz="8" w:color="auto"/>
              <w:bottom w:val="single" w:sz="8" w:color="auto"/>
            </w:tcBorders>
            <w:shd w:val="clear" w:color="auto" w:fill="D5EAEA"/>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D5EAEA"/>
              <w:bottom w:val="single" w:sz="8" w:color="D5EAEA"/>
            </w:tcBorders>
            <w:shd w:val="clear" w:color="auto" w:fill="D5EAEA"/>
          </w:tcPr>
          <w:p>
            <w:pPr>
              <w:spacing w:after="0"/>
              <w:rPr>
                <w:sz w:val="19"/>
                <w:szCs w:val="19"/>
                <w:color w:val="auto"/>
              </w:rPr>
            </w:pPr>
          </w:p>
        </w:tc>
        <w:tc>
          <w:tcPr>
            <w:tcW w:w="1340" w:type="dxa"/>
            <w:vAlign w:val="bottom"/>
            <w:tcBorders>
              <w:top w:val="single" w:sz="8" w:color="auto"/>
              <w:bottom w:val="single" w:sz="8" w:color="auto"/>
            </w:tcBorders>
            <w:shd w:val="clear" w:color="auto" w:fill="D5EAEA"/>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4160" w:type="dxa"/>
            <w:vAlign w:val="bottom"/>
            <w:vMerge w:val="restart"/>
          </w:tcPr>
          <w:p>
            <w:pPr>
              <w:spacing w:after="0"/>
              <w:rPr>
                <w:sz w:val="20"/>
                <w:szCs w:val="20"/>
                <w:color w:val="auto"/>
              </w:rPr>
            </w:pPr>
            <w:r>
              <w:rPr>
                <w:rFonts w:ascii="Arial" w:cs="Arial" w:eastAsia="Arial" w:hAnsi="Arial"/>
                <w:sz w:val="18"/>
                <w:szCs w:val="18"/>
                <w:color w:val="auto"/>
              </w:rPr>
              <w:t>Total comprehensive loss, net of tax</w:t>
            </w:r>
          </w:p>
        </w:tc>
        <w:tc>
          <w:tcPr>
            <w:tcW w:w="13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160" w:type="dxa"/>
            <w:vAlign w:val="bottom"/>
            <w:vMerge w:val="continue"/>
          </w:tcPr>
          <w:p>
            <w:pPr>
              <w:spacing w:after="0"/>
              <w:rPr>
                <w:sz w:val="17"/>
                <w:szCs w:val="17"/>
                <w:color w:val="auto"/>
              </w:rPr>
            </w:pPr>
          </w:p>
        </w:tc>
        <w:tc>
          <w:tcPr>
            <w:tcW w:w="1360" w:type="dxa"/>
            <w:vAlign w:val="bottom"/>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(15,918)</w:t>
            </w:r>
          </w:p>
        </w:tc>
        <w:tc>
          <w:tcPr>
            <w:tcW w:w="120" w:type="dxa"/>
            <w:vAlign w:val="bottom"/>
          </w:tcPr>
          <w:p>
            <w:pPr>
              <w:spacing w:after="0"/>
              <w:rPr>
                <w:sz w:val="17"/>
                <w:szCs w:val="17"/>
                <w:color w:val="auto"/>
              </w:rPr>
            </w:pPr>
          </w:p>
        </w:tc>
        <w:tc>
          <w:tcPr>
            <w:tcW w:w="13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(18,994)</w:t>
            </w:r>
          </w:p>
        </w:tc>
        <w:tc>
          <w:tcPr>
            <w:tcW w:w="100" w:type="dxa"/>
            <w:vAlign w:val="bottom"/>
          </w:tcPr>
          <w:p>
            <w:pPr>
              <w:spacing w:after="0"/>
              <w:rPr>
                <w:sz w:val="17"/>
                <w:szCs w:val="17"/>
                <w:color w:val="auto"/>
              </w:rPr>
            </w:pPr>
          </w:p>
        </w:tc>
        <w:tc>
          <w:tcPr>
            <w:tcW w:w="13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(51,720)</w:t>
            </w:r>
          </w:p>
        </w:tc>
        <w:tc>
          <w:tcPr>
            <w:tcW w:w="100" w:type="dxa"/>
            <w:vAlign w:val="bottom"/>
          </w:tcPr>
          <w:p>
            <w:pPr>
              <w:spacing w:after="0"/>
              <w:rPr>
                <w:sz w:val="17"/>
                <w:szCs w:val="17"/>
                <w:color w:val="auto"/>
              </w:rPr>
            </w:pPr>
          </w:p>
        </w:tc>
        <w:tc>
          <w:tcPr>
            <w:tcW w:w="13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(42,421)</w:t>
            </w:r>
          </w:p>
        </w:tc>
        <w:tc>
          <w:tcPr>
            <w:tcW w:w="0" w:type="dxa"/>
            <w:vAlign w:val="bottom"/>
          </w:tcPr>
          <w:p>
            <w:pPr>
              <w:spacing w:after="0"/>
              <w:rPr>
                <w:sz w:val="1"/>
                <w:szCs w:val="1"/>
                <w:color w:val="auto"/>
              </w:rPr>
            </w:pPr>
          </w:p>
        </w:tc>
      </w:tr>
      <w:tr>
        <w:trPr>
          <w:trHeight w:val="20"/>
        </w:trPr>
        <w:tc>
          <w:tcPr>
            <w:tcW w:w="41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accompanying notes form an integral part of these Interim Condensed Consolidated Financial Statements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349250</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type w:val="continuous"/>
        </w:sectPr>
      </w:pPr>
    </w:p>
    <w:bookmarkStart w:id="6" w:name="page7"/>
    <w:bookmarkEnd w:id="6"/>
    <w:p>
      <w:pPr>
        <w:spacing w:after="0"/>
        <w:rPr>
          <w:sz w:val="20"/>
          <w:szCs w:val="20"/>
          <w:color w:val="auto"/>
        </w:rPr>
      </w:pPr>
      <w:r>
        <w:rPr>
          <w:rFonts w:ascii="Arial" w:cs="Arial" w:eastAsia="Arial" w:hAnsi="Arial"/>
          <w:sz w:val="18"/>
          <w:szCs w:val="18"/>
          <w:b w:val="1"/>
          <w:bCs w:val="1"/>
          <w:color w:val="auto"/>
        </w:rPr>
        <w:t>Condensed Consolidated Statements of Changes in Equity (Unaudited)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CHF thousands)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6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Share</w:t>
            </w:r>
          </w:p>
        </w:tc>
        <w:tc>
          <w:tcPr>
            <w:tcW w:w="14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7"/>
              </w:rPr>
              <w:t>Share</w:t>
            </w: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0"/>
              </w:rPr>
              <w:t>Accumulated</w:t>
            </w:r>
          </w:p>
        </w:tc>
        <w:tc>
          <w:tcPr>
            <w:tcW w:w="1340" w:type="dxa"/>
            <w:vAlign w:val="bottom"/>
          </w:tcPr>
          <w:p>
            <w:pPr>
              <w:spacing w:after="0"/>
              <w:rPr>
                <w:sz w:val="18"/>
                <w:szCs w:val="18"/>
                <w:color w:val="auto"/>
              </w:rPr>
            </w:pPr>
          </w:p>
        </w:tc>
      </w:tr>
      <w:tr>
        <w:trPr>
          <w:trHeight w:val="234"/>
        </w:trPr>
        <w:tc>
          <w:tcPr>
            <w:tcW w:w="2620" w:type="dxa"/>
            <w:vAlign w:val="bottom"/>
          </w:tcPr>
          <w:p>
            <w:pPr>
              <w:spacing w:after="0"/>
              <w:rPr>
                <w:sz w:val="20"/>
                <w:szCs w:val="20"/>
                <w:color w:val="auto"/>
              </w:rPr>
            </w:pPr>
          </w:p>
        </w:tc>
        <w:tc>
          <w:tcPr>
            <w:tcW w:w="150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7"/>
              </w:rPr>
              <w:t>Notes</w:t>
            </w:r>
          </w:p>
        </w:tc>
        <w:tc>
          <w:tcPr>
            <w:tcW w:w="14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1"/>
              </w:rPr>
              <w:t>capital</w:t>
            </w:r>
          </w:p>
        </w:tc>
        <w:tc>
          <w:tcPr>
            <w:tcW w:w="14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4"/>
              </w:rPr>
              <w:t>premium</w:t>
            </w:r>
          </w:p>
        </w:tc>
        <w:tc>
          <w:tcPr>
            <w:tcW w:w="1440" w:type="dxa"/>
            <w:vAlign w:val="bottom"/>
            <w:gridSpan w:val="2"/>
          </w:tcPr>
          <w:p>
            <w:pPr>
              <w:ind w:left="60"/>
              <w:spacing w:after="0"/>
              <w:rPr>
                <w:sz w:val="20"/>
                <w:szCs w:val="20"/>
                <w:color w:val="auto"/>
              </w:rPr>
            </w:pPr>
            <w:r>
              <w:rPr>
                <w:rFonts w:ascii="Arial" w:cs="Arial" w:eastAsia="Arial" w:hAnsi="Arial"/>
                <w:sz w:val="18"/>
                <w:szCs w:val="18"/>
                <w:b w:val="1"/>
                <w:bCs w:val="1"/>
                <w:color w:val="auto"/>
                <w:w w:val="97"/>
              </w:rPr>
              <w:t>Treasury shares</w:t>
            </w:r>
          </w:p>
        </w:tc>
        <w:tc>
          <w:tcPr>
            <w:tcW w:w="14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74"/>
              </w:rPr>
              <w:t>losses</w:t>
            </w:r>
          </w:p>
        </w:tc>
        <w:tc>
          <w:tcPr>
            <w:tcW w:w="1340" w:type="dxa"/>
            <w:vAlign w:val="bottom"/>
          </w:tcPr>
          <w:p>
            <w:pPr>
              <w:jc w:val="right"/>
              <w:ind w:right="390"/>
              <w:spacing w:after="0"/>
              <w:rPr>
                <w:sz w:val="20"/>
                <w:szCs w:val="20"/>
                <w:color w:val="auto"/>
              </w:rPr>
            </w:pPr>
            <w:r>
              <w:rPr>
                <w:rFonts w:ascii="Arial" w:cs="Arial" w:eastAsia="Arial" w:hAnsi="Arial"/>
                <w:sz w:val="18"/>
                <w:szCs w:val="18"/>
                <w:b w:val="1"/>
                <w:bCs w:val="1"/>
                <w:color w:val="auto"/>
              </w:rPr>
              <w:t>Total</w:t>
            </w:r>
          </w:p>
        </w:tc>
      </w:tr>
      <w:tr>
        <w:trPr>
          <w:trHeight w:val="210"/>
        </w:trPr>
        <w:tc>
          <w:tcPr>
            <w:tcW w:w="2620" w:type="dxa"/>
            <w:vAlign w:val="bottom"/>
            <w:tcBorders>
              <w:top w:val="single" w:sz="8" w:color="D5EAEA"/>
            </w:tcBorders>
            <w:shd w:val="clear" w:color="auto" w:fill="D5EAEA"/>
          </w:tcPr>
          <w:p>
            <w:pPr>
              <w:spacing w:after="0"/>
              <w:rPr>
                <w:sz w:val="20"/>
                <w:szCs w:val="20"/>
                <w:color w:val="auto"/>
              </w:rPr>
            </w:pPr>
            <w:r>
              <w:rPr>
                <w:rFonts w:ascii="Arial" w:cs="Arial" w:eastAsia="Arial" w:hAnsi="Arial"/>
                <w:sz w:val="18"/>
                <w:szCs w:val="18"/>
                <w:b w:val="1"/>
                <w:bCs w:val="1"/>
                <w:color w:val="auto"/>
              </w:rPr>
              <w:t>Balance as of January 1, 2020</w:t>
            </w:r>
          </w:p>
        </w:tc>
        <w:tc>
          <w:tcPr>
            <w:tcW w:w="1380" w:type="dxa"/>
            <w:vAlign w:val="bottom"/>
            <w:tcBorders>
              <w:top w:val="single" w:sz="8" w:color="auto"/>
            </w:tcBorders>
            <w:shd w:val="clear" w:color="auto" w:fill="D5EAEA"/>
          </w:tcPr>
          <w:p>
            <w:pPr>
              <w:spacing w:after="0"/>
              <w:rPr>
                <w:sz w:val="18"/>
                <w:szCs w:val="18"/>
                <w:color w:val="auto"/>
              </w:rPr>
            </w:pPr>
          </w:p>
        </w:tc>
        <w:tc>
          <w:tcPr>
            <w:tcW w:w="120" w:type="dxa"/>
            <w:vAlign w:val="bottom"/>
            <w:tcBorders>
              <w:top w:val="single" w:sz="8" w:color="D5EAEA"/>
            </w:tcBorders>
            <w:shd w:val="clear" w:color="auto" w:fill="D5EAEA"/>
          </w:tcPr>
          <w:p>
            <w:pPr>
              <w:spacing w:after="0"/>
              <w:rPr>
                <w:sz w:val="18"/>
                <w:szCs w:val="18"/>
                <w:color w:val="auto"/>
              </w:rPr>
            </w:pPr>
          </w:p>
        </w:tc>
        <w:tc>
          <w:tcPr>
            <w:tcW w:w="1340" w:type="dxa"/>
            <w:vAlign w:val="bottom"/>
            <w:tcBorders>
              <w:top w:val="single" w:sz="8" w:color="auto"/>
              <w:bottom w:val="single" w:sz="8" w:color="auto"/>
            </w:tcBorders>
            <w:shd w:val="clear" w:color="auto" w:fill="D5EAEA"/>
          </w:tcPr>
          <w:p>
            <w:pPr>
              <w:jc w:val="right"/>
              <w:ind w:right="10"/>
              <w:spacing w:after="0"/>
              <w:rPr>
                <w:sz w:val="20"/>
                <w:szCs w:val="20"/>
                <w:color w:val="auto"/>
              </w:rPr>
            </w:pPr>
            <w:r>
              <w:rPr>
                <w:rFonts w:ascii="Arial" w:cs="Arial" w:eastAsia="Arial" w:hAnsi="Arial"/>
                <w:sz w:val="18"/>
                <w:szCs w:val="18"/>
                <w:color w:val="auto"/>
              </w:rPr>
              <w:t>1,437</w:t>
            </w:r>
          </w:p>
        </w:tc>
        <w:tc>
          <w:tcPr>
            <w:tcW w:w="100" w:type="dxa"/>
            <w:vAlign w:val="bottom"/>
            <w:tcBorders>
              <w:top w:val="single" w:sz="8" w:color="D5EAEA"/>
            </w:tcBorders>
            <w:shd w:val="clear" w:color="auto" w:fill="D5EAEA"/>
          </w:tcPr>
          <w:p>
            <w:pPr>
              <w:spacing w:after="0"/>
              <w:rPr>
                <w:sz w:val="18"/>
                <w:szCs w:val="18"/>
                <w:color w:val="auto"/>
              </w:rPr>
            </w:pPr>
          </w:p>
        </w:tc>
        <w:tc>
          <w:tcPr>
            <w:tcW w:w="1340" w:type="dxa"/>
            <w:vAlign w:val="bottom"/>
            <w:tcBorders>
              <w:top w:val="single" w:sz="8" w:color="auto"/>
              <w:bottom w:val="single" w:sz="8" w:color="auto"/>
            </w:tcBorders>
            <w:shd w:val="clear" w:color="auto" w:fill="D5EAEA"/>
          </w:tcPr>
          <w:p>
            <w:pPr>
              <w:jc w:val="right"/>
              <w:ind w:right="10"/>
              <w:spacing w:after="0"/>
              <w:rPr>
                <w:sz w:val="20"/>
                <w:szCs w:val="20"/>
                <w:color w:val="auto"/>
              </w:rPr>
            </w:pPr>
            <w:r>
              <w:rPr>
                <w:rFonts w:ascii="Arial" w:cs="Arial" w:eastAsia="Arial" w:hAnsi="Arial"/>
                <w:sz w:val="18"/>
                <w:szCs w:val="18"/>
                <w:color w:val="auto"/>
              </w:rPr>
              <w:t>346,526</w:t>
            </w:r>
          </w:p>
        </w:tc>
        <w:tc>
          <w:tcPr>
            <w:tcW w:w="120" w:type="dxa"/>
            <w:vAlign w:val="bottom"/>
            <w:tcBorders>
              <w:top w:val="single" w:sz="8" w:color="D5EAEA"/>
            </w:tcBorders>
            <w:shd w:val="clear" w:color="auto" w:fill="D5EAEA"/>
          </w:tcPr>
          <w:p>
            <w:pPr>
              <w:spacing w:after="0"/>
              <w:rPr>
                <w:sz w:val="18"/>
                <w:szCs w:val="18"/>
                <w:color w:val="auto"/>
              </w:rPr>
            </w:pPr>
          </w:p>
        </w:tc>
        <w:tc>
          <w:tcPr>
            <w:tcW w:w="1340" w:type="dxa"/>
            <w:vAlign w:val="bottom"/>
            <w:tcBorders>
              <w:top w:val="single" w:sz="8" w:color="auto"/>
              <w:bottom w:val="single" w:sz="8" w:color="auto"/>
            </w:tcBorders>
            <w:shd w:val="clear" w:color="auto" w:fill="D5EAEA"/>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D5EAEA"/>
            </w:tcBorders>
            <w:shd w:val="clear" w:color="auto" w:fill="D5EAEA"/>
          </w:tcPr>
          <w:p>
            <w:pPr>
              <w:spacing w:after="0"/>
              <w:rPr>
                <w:sz w:val="18"/>
                <w:szCs w:val="18"/>
                <w:color w:val="auto"/>
              </w:rPr>
            </w:pPr>
          </w:p>
        </w:tc>
        <w:tc>
          <w:tcPr>
            <w:tcW w:w="1340" w:type="dxa"/>
            <w:vAlign w:val="bottom"/>
            <w:tcBorders>
              <w:top w:val="single" w:sz="8" w:color="auto"/>
              <w:bottom w:val="single" w:sz="8" w:color="auto"/>
            </w:tcBorders>
            <w:shd w:val="clear" w:color="auto" w:fill="D5EAEA"/>
          </w:tcPr>
          <w:p>
            <w:pPr>
              <w:jc w:val="right"/>
              <w:spacing w:after="0"/>
              <w:rPr>
                <w:sz w:val="20"/>
                <w:szCs w:val="20"/>
                <w:color w:val="auto"/>
              </w:rPr>
            </w:pPr>
            <w:r>
              <w:rPr>
                <w:rFonts w:ascii="Arial" w:cs="Arial" w:eastAsia="Arial" w:hAnsi="Arial"/>
                <w:sz w:val="18"/>
                <w:szCs w:val="18"/>
                <w:color w:val="auto"/>
              </w:rPr>
              <w:t>(75,521)</w:t>
            </w:r>
          </w:p>
        </w:tc>
        <w:tc>
          <w:tcPr>
            <w:tcW w:w="100" w:type="dxa"/>
            <w:vAlign w:val="bottom"/>
            <w:tcBorders>
              <w:top w:val="single" w:sz="8" w:color="D5EAEA"/>
            </w:tcBorders>
            <w:shd w:val="clear" w:color="auto" w:fill="D5EAEA"/>
          </w:tcPr>
          <w:p>
            <w:pPr>
              <w:spacing w:after="0"/>
              <w:rPr>
                <w:sz w:val="18"/>
                <w:szCs w:val="18"/>
                <w:color w:val="auto"/>
              </w:rPr>
            </w:pPr>
          </w:p>
        </w:tc>
        <w:tc>
          <w:tcPr>
            <w:tcW w:w="1340" w:type="dxa"/>
            <w:vAlign w:val="bottom"/>
            <w:tcBorders>
              <w:top w:val="single" w:sz="8" w:color="auto"/>
              <w:bottom w:val="single" w:sz="8" w:color="auto"/>
            </w:tcBorders>
            <w:shd w:val="clear" w:color="auto" w:fill="D5EAEA"/>
          </w:tcPr>
          <w:p>
            <w:pPr>
              <w:jc w:val="right"/>
              <w:ind w:right="10"/>
              <w:spacing w:after="0"/>
              <w:rPr>
                <w:sz w:val="20"/>
                <w:szCs w:val="20"/>
                <w:color w:val="auto"/>
              </w:rPr>
            </w:pPr>
            <w:r>
              <w:rPr>
                <w:rFonts w:ascii="Arial" w:cs="Arial" w:eastAsia="Arial" w:hAnsi="Arial"/>
                <w:sz w:val="18"/>
                <w:szCs w:val="18"/>
                <w:color w:val="auto"/>
              </w:rPr>
              <w:t>272,442</w:t>
            </w:r>
          </w:p>
        </w:tc>
      </w:tr>
      <w:tr>
        <w:trPr>
          <w:trHeight w:val="209"/>
        </w:trPr>
        <w:tc>
          <w:tcPr>
            <w:tcW w:w="2620" w:type="dxa"/>
            <w:vAlign w:val="bottom"/>
          </w:tcPr>
          <w:p>
            <w:pPr>
              <w:spacing w:after="0"/>
              <w:rPr>
                <w:sz w:val="20"/>
                <w:szCs w:val="20"/>
                <w:color w:val="auto"/>
              </w:rPr>
            </w:pPr>
            <w:r>
              <w:rPr>
                <w:rFonts w:ascii="Arial" w:cs="Arial" w:eastAsia="Arial" w:hAnsi="Arial"/>
                <w:sz w:val="18"/>
                <w:szCs w:val="18"/>
                <w:color w:val="auto"/>
              </w:rPr>
              <w:t>Net loss for the period</w:t>
            </w: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18"/>
                <w:szCs w:val="18"/>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18"/>
                <w:szCs w:val="18"/>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(42,421)</w:t>
            </w:r>
          </w:p>
        </w:tc>
        <w:tc>
          <w:tcPr>
            <w:tcW w:w="1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(42,421)</w:t>
            </w:r>
          </w:p>
        </w:tc>
      </w:tr>
      <w:tr>
        <w:trPr>
          <w:trHeight w:val="202"/>
        </w:trPr>
        <w:tc>
          <w:tcPr>
            <w:tcW w:w="2620" w:type="dxa"/>
            <w:vAlign w:val="bottom"/>
            <w:shd w:val="clear" w:color="auto" w:fill="D5EAEA"/>
          </w:tcPr>
          <w:p>
            <w:pPr>
              <w:spacing w:after="0" w:line="201" w:lineRule="exact"/>
              <w:rPr>
                <w:sz w:val="20"/>
                <w:szCs w:val="20"/>
                <w:color w:val="auto"/>
              </w:rPr>
            </w:pPr>
            <w:r>
              <w:rPr>
                <w:rFonts w:ascii="Arial" w:cs="Arial" w:eastAsia="Arial" w:hAnsi="Arial"/>
                <w:sz w:val="18"/>
                <w:szCs w:val="18"/>
                <w:color w:val="auto"/>
              </w:rPr>
              <w:t>Other comprehensive</w:t>
            </w:r>
          </w:p>
        </w:tc>
        <w:tc>
          <w:tcPr>
            <w:tcW w:w="1380" w:type="dxa"/>
            <w:vAlign w:val="bottom"/>
            <w:shd w:val="clear" w:color="auto" w:fill="D5EAEA"/>
          </w:tcPr>
          <w:p>
            <w:pPr>
              <w:spacing w:after="0"/>
              <w:rPr>
                <w:sz w:val="17"/>
                <w:szCs w:val="17"/>
                <w:color w:val="auto"/>
              </w:rPr>
            </w:pPr>
          </w:p>
        </w:tc>
        <w:tc>
          <w:tcPr>
            <w:tcW w:w="120" w:type="dxa"/>
            <w:vAlign w:val="bottom"/>
            <w:shd w:val="clear" w:color="auto" w:fill="D5EAEA"/>
          </w:tcPr>
          <w:p>
            <w:pPr>
              <w:spacing w:after="0"/>
              <w:rPr>
                <w:sz w:val="17"/>
                <w:szCs w:val="17"/>
                <w:color w:val="auto"/>
              </w:rPr>
            </w:pPr>
          </w:p>
        </w:tc>
        <w:tc>
          <w:tcPr>
            <w:tcW w:w="1340" w:type="dxa"/>
            <w:vAlign w:val="bottom"/>
            <w:shd w:val="clear" w:color="auto" w:fill="D5EAEA"/>
          </w:tcPr>
          <w:p>
            <w:pPr>
              <w:spacing w:after="0"/>
              <w:rPr>
                <w:sz w:val="17"/>
                <w:szCs w:val="17"/>
                <w:color w:val="auto"/>
              </w:rPr>
            </w:pPr>
          </w:p>
        </w:tc>
        <w:tc>
          <w:tcPr>
            <w:tcW w:w="100" w:type="dxa"/>
            <w:vAlign w:val="bottom"/>
            <w:shd w:val="clear" w:color="auto" w:fill="D5EAEA"/>
          </w:tcPr>
          <w:p>
            <w:pPr>
              <w:spacing w:after="0"/>
              <w:rPr>
                <w:sz w:val="17"/>
                <w:szCs w:val="17"/>
                <w:color w:val="auto"/>
              </w:rPr>
            </w:pPr>
          </w:p>
        </w:tc>
        <w:tc>
          <w:tcPr>
            <w:tcW w:w="1340" w:type="dxa"/>
            <w:vAlign w:val="bottom"/>
            <w:shd w:val="clear" w:color="auto" w:fill="D5EAEA"/>
          </w:tcPr>
          <w:p>
            <w:pPr>
              <w:spacing w:after="0"/>
              <w:rPr>
                <w:sz w:val="17"/>
                <w:szCs w:val="17"/>
                <w:color w:val="auto"/>
              </w:rPr>
            </w:pPr>
          </w:p>
        </w:tc>
        <w:tc>
          <w:tcPr>
            <w:tcW w:w="120" w:type="dxa"/>
            <w:vAlign w:val="bottom"/>
            <w:shd w:val="clear" w:color="auto" w:fill="D5EAEA"/>
          </w:tcPr>
          <w:p>
            <w:pPr>
              <w:spacing w:after="0"/>
              <w:rPr>
                <w:sz w:val="17"/>
                <w:szCs w:val="17"/>
                <w:color w:val="auto"/>
              </w:rPr>
            </w:pPr>
          </w:p>
        </w:tc>
        <w:tc>
          <w:tcPr>
            <w:tcW w:w="1340" w:type="dxa"/>
            <w:vAlign w:val="bottom"/>
            <w:shd w:val="clear" w:color="auto" w:fill="D5EAEA"/>
          </w:tcPr>
          <w:p>
            <w:pPr>
              <w:spacing w:after="0"/>
              <w:rPr>
                <w:sz w:val="17"/>
                <w:szCs w:val="17"/>
                <w:color w:val="auto"/>
              </w:rPr>
            </w:pPr>
          </w:p>
        </w:tc>
        <w:tc>
          <w:tcPr>
            <w:tcW w:w="100" w:type="dxa"/>
            <w:vAlign w:val="bottom"/>
            <w:shd w:val="clear" w:color="auto" w:fill="D5EAEA"/>
          </w:tcPr>
          <w:p>
            <w:pPr>
              <w:spacing w:after="0"/>
              <w:rPr>
                <w:sz w:val="17"/>
                <w:szCs w:val="17"/>
                <w:color w:val="auto"/>
              </w:rPr>
            </w:pPr>
          </w:p>
        </w:tc>
        <w:tc>
          <w:tcPr>
            <w:tcW w:w="1340" w:type="dxa"/>
            <w:vAlign w:val="bottom"/>
            <w:shd w:val="clear" w:color="auto" w:fill="D5EAEA"/>
          </w:tcPr>
          <w:p>
            <w:pPr>
              <w:spacing w:after="0"/>
              <w:rPr>
                <w:sz w:val="17"/>
                <w:szCs w:val="17"/>
                <w:color w:val="auto"/>
              </w:rPr>
            </w:pPr>
          </w:p>
        </w:tc>
        <w:tc>
          <w:tcPr>
            <w:tcW w:w="100" w:type="dxa"/>
            <w:vAlign w:val="bottom"/>
            <w:shd w:val="clear" w:color="auto" w:fill="D5EAEA"/>
          </w:tcPr>
          <w:p>
            <w:pPr>
              <w:spacing w:after="0"/>
              <w:rPr>
                <w:sz w:val="17"/>
                <w:szCs w:val="17"/>
                <w:color w:val="auto"/>
              </w:rPr>
            </w:pPr>
          </w:p>
        </w:tc>
        <w:tc>
          <w:tcPr>
            <w:tcW w:w="1340" w:type="dxa"/>
            <w:vAlign w:val="bottom"/>
            <w:shd w:val="clear" w:color="auto" w:fill="D5EAEA"/>
          </w:tcPr>
          <w:p>
            <w:pPr>
              <w:spacing w:after="0"/>
              <w:rPr>
                <w:sz w:val="17"/>
                <w:szCs w:val="17"/>
                <w:color w:val="auto"/>
              </w:rPr>
            </w:pPr>
          </w:p>
        </w:tc>
      </w:tr>
      <w:tr>
        <w:trPr>
          <w:trHeight w:val="244"/>
        </w:trPr>
        <w:tc>
          <w:tcPr>
            <w:tcW w:w="2620" w:type="dxa"/>
            <w:vAlign w:val="bottom"/>
            <w:shd w:val="clear" w:color="auto" w:fill="D5EAEA"/>
          </w:tcPr>
          <w:p>
            <w:pPr>
              <w:spacing w:after="0"/>
              <w:rPr>
                <w:sz w:val="20"/>
                <w:szCs w:val="20"/>
                <w:color w:val="auto"/>
              </w:rPr>
            </w:pPr>
            <w:r>
              <w:rPr>
                <w:rFonts w:ascii="Arial" w:cs="Arial" w:eastAsia="Arial" w:hAnsi="Arial"/>
                <w:sz w:val="18"/>
                <w:szCs w:val="18"/>
                <w:color w:val="auto"/>
              </w:rPr>
              <w:t>income/(loss)</w:t>
            </w:r>
          </w:p>
        </w:tc>
        <w:tc>
          <w:tcPr>
            <w:tcW w:w="1380" w:type="dxa"/>
            <w:vAlign w:val="bottom"/>
            <w:shd w:val="clear" w:color="auto" w:fill="D5EAEA"/>
          </w:tcPr>
          <w:p>
            <w:pPr>
              <w:spacing w:after="0"/>
              <w:rPr>
                <w:sz w:val="21"/>
                <w:szCs w:val="21"/>
                <w:color w:val="auto"/>
              </w:rPr>
            </w:pPr>
          </w:p>
        </w:tc>
        <w:tc>
          <w:tcPr>
            <w:tcW w:w="120" w:type="dxa"/>
            <w:vAlign w:val="bottom"/>
            <w:shd w:val="clear" w:color="auto" w:fill="D5EAEA"/>
          </w:tcPr>
          <w:p>
            <w:pPr>
              <w:spacing w:after="0"/>
              <w:rPr>
                <w:sz w:val="21"/>
                <w:szCs w:val="21"/>
                <w:color w:val="auto"/>
              </w:rPr>
            </w:pPr>
          </w:p>
        </w:tc>
        <w:tc>
          <w:tcPr>
            <w:tcW w:w="1440" w:type="dxa"/>
            <w:vAlign w:val="bottom"/>
            <w:gridSpan w:val="2"/>
            <w:shd w:val="clear" w:color="auto" w:fill="D5EAEA"/>
          </w:tcPr>
          <w:p>
            <w:pPr>
              <w:jc w:val="right"/>
              <w:ind w:right="200"/>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D5EAEA"/>
          </w:tcPr>
          <w:p>
            <w:pPr>
              <w:jc w:val="right"/>
              <w:ind w:right="220"/>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D5EAEA"/>
          </w:tcPr>
          <w:p>
            <w:pPr>
              <w:jc w:val="right"/>
              <w:ind w:right="220"/>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D5EAEA"/>
          </w:tcPr>
          <w:p>
            <w:pPr>
              <w:jc w:val="right"/>
              <w:ind w:right="220"/>
              <w:spacing w:after="0"/>
              <w:rPr>
                <w:sz w:val="20"/>
                <w:szCs w:val="20"/>
                <w:color w:val="auto"/>
              </w:rPr>
            </w:pPr>
            <w:r>
              <w:rPr>
                <w:rFonts w:ascii="Arial" w:cs="Arial" w:eastAsia="Arial" w:hAnsi="Arial"/>
                <w:sz w:val="18"/>
                <w:szCs w:val="18"/>
                <w:color w:val="auto"/>
              </w:rPr>
              <w:t>—</w:t>
            </w:r>
          </w:p>
        </w:tc>
        <w:tc>
          <w:tcPr>
            <w:tcW w:w="134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w:t>
            </w:r>
          </w:p>
        </w:tc>
      </w:tr>
      <w:tr>
        <w:trPr>
          <w:trHeight w:val="210"/>
        </w:trPr>
        <w:tc>
          <w:tcPr>
            <w:tcW w:w="2620" w:type="dxa"/>
            <w:vAlign w:val="bottom"/>
            <w:tcBorders>
              <w:bottom w:val="single" w:sz="8" w:color="D5EAEA"/>
            </w:tcBorders>
          </w:tcPr>
          <w:p>
            <w:pPr>
              <w:spacing w:after="0"/>
              <w:rPr>
                <w:sz w:val="20"/>
                <w:szCs w:val="20"/>
                <w:color w:val="auto"/>
              </w:rPr>
            </w:pPr>
            <w:r>
              <w:rPr>
                <w:rFonts w:ascii="Arial" w:cs="Arial" w:eastAsia="Arial" w:hAnsi="Arial"/>
                <w:sz w:val="18"/>
                <w:szCs w:val="18"/>
                <w:color w:val="auto"/>
              </w:rPr>
              <w:t>Total comprehensive loss</w:t>
            </w:r>
          </w:p>
        </w:tc>
        <w:tc>
          <w:tcPr>
            <w:tcW w:w="1380" w:type="dxa"/>
            <w:vAlign w:val="bottom"/>
            <w:tcBorders>
              <w:bottom w:val="single" w:sz="8" w:color="D5EAEA"/>
            </w:tcBorders>
          </w:tcPr>
          <w:p>
            <w:pPr>
              <w:spacing w:after="0"/>
              <w:rPr>
                <w:sz w:val="18"/>
                <w:szCs w:val="18"/>
                <w:color w:val="auto"/>
              </w:rPr>
            </w:pPr>
          </w:p>
        </w:tc>
        <w:tc>
          <w:tcPr>
            <w:tcW w:w="120" w:type="dxa"/>
            <w:vAlign w:val="bottom"/>
            <w:tcBorders>
              <w:bottom w:val="single" w:sz="8" w:color="D5EAEA"/>
            </w:tcBorders>
          </w:tcPr>
          <w:p>
            <w:pPr>
              <w:spacing w:after="0"/>
              <w:rPr>
                <w:sz w:val="18"/>
                <w:szCs w:val="18"/>
                <w:color w:val="auto"/>
              </w:rPr>
            </w:pPr>
          </w:p>
        </w:tc>
        <w:tc>
          <w:tcPr>
            <w:tcW w:w="13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D5EAEA"/>
            </w:tcBorders>
          </w:tcPr>
          <w:p>
            <w:pPr>
              <w:spacing w:after="0"/>
              <w:rPr>
                <w:sz w:val="18"/>
                <w:szCs w:val="18"/>
                <w:color w:val="auto"/>
              </w:rPr>
            </w:pPr>
          </w:p>
        </w:tc>
        <w:tc>
          <w:tcPr>
            <w:tcW w:w="13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D5EAEA"/>
            </w:tcBorders>
          </w:tcPr>
          <w:p>
            <w:pPr>
              <w:spacing w:after="0"/>
              <w:rPr>
                <w:sz w:val="18"/>
                <w:szCs w:val="18"/>
                <w:color w:val="auto"/>
              </w:rPr>
            </w:pPr>
          </w:p>
        </w:tc>
        <w:tc>
          <w:tcPr>
            <w:tcW w:w="13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D5EAEA"/>
            </w:tcBorders>
          </w:tcPr>
          <w:p>
            <w:pPr>
              <w:spacing w:after="0"/>
              <w:rPr>
                <w:sz w:val="18"/>
                <w:szCs w:val="18"/>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(42,421)</w:t>
            </w:r>
          </w:p>
        </w:tc>
        <w:tc>
          <w:tcPr>
            <w:tcW w:w="100" w:type="dxa"/>
            <w:vAlign w:val="bottom"/>
            <w:tcBorders>
              <w:bottom w:val="single" w:sz="8" w:color="D5EAEA"/>
            </w:tcBorders>
          </w:tcPr>
          <w:p>
            <w:pPr>
              <w:spacing w:after="0"/>
              <w:rPr>
                <w:sz w:val="18"/>
                <w:szCs w:val="18"/>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(42,421)</w:t>
            </w:r>
          </w:p>
        </w:tc>
      </w:tr>
      <w:tr>
        <w:trPr>
          <w:trHeight w:val="209"/>
        </w:trPr>
        <w:tc>
          <w:tcPr>
            <w:tcW w:w="2620" w:type="dxa"/>
            <w:vAlign w:val="bottom"/>
            <w:shd w:val="clear" w:color="auto" w:fill="D5EAEA"/>
          </w:tcPr>
          <w:p>
            <w:pPr>
              <w:spacing w:after="0"/>
              <w:rPr>
                <w:sz w:val="18"/>
                <w:szCs w:val="18"/>
                <w:color w:val="auto"/>
              </w:rPr>
            </w:pPr>
          </w:p>
        </w:tc>
        <w:tc>
          <w:tcPr>
            <w:tcW w:w="1380" w:type="dxa"/>
            <w:vAlign w:val="bottom"/>
            <w:shd w:val="clear" w:color="auto" w:fill="D5EAEA"/>
          </w:tcPr>
          <w:p>
            <w:pPr>
              <w:spacing w:after="0"/>
              <w:rPr>
                <w:sz w:val="18"/>
                <w:szCs w:val="18"/>
                <w:color w:val="auto"/>
              </w:rPr>
            </w:pPr>
          </w:p>
        </w:tc>
        <w:tc>
          <w:tcPr>
            <w:tcW w:w="120" w:type="dxa"/>
            <w:vAlign w:val="bottom"/>
            <w:shd w:val="clear" w:color="auto" w:fill="D5EAEA"/>
          </w:tcPr>
          <w:p>
            <w:pPr>
              <w:spacing w:after="0"/>
              <w:rPr>
                <w:sz w:val="18"/>
                <w:szCs w:val="18"/>
                <w:color w:val="auto"/>
              </w:rPr>
            </w:pPr>
          </w:p>
        </w:tc>
        <w:tc>
          <w:tcPr>
            <w:tcW w:w="1340" w:type="dxa"/>
            <w:vAlign w:val="bottom"/>
            <w:shd w:val="clear" w:color="auto" w:fill="D5EAEA"/>
          </w:tcPr>
          <w:p>
            <w:pPr>
              <w:spacing w:after="0"/>
              <w:rPr>
                <w:sz w:val="18"/>
                <w:szCs w:val="18"/>
                <w:color w:val="auto"/>
              </w:rPr>
            </w:pPr>
          </w:p>
        </w:tc>
        <w:tc>
          <w:tcPr>
            <w:tcW w:w="100" w:type="dxa"/>
            <w:vAlign w:val="bottom"/>
            <w:shd w:val="clear" w:color="auto" w:fill="D5EAEA"/>
          </w:tcPr>
          <w:p>
            <w:pPr>
              <w:spacing w:after="0"/>
              <w:rPr>
                <w:sz w:val="18"/>
                <w:szCs w:val="18"/>
                <w:color w:val="auto"/>
              </w:rPr>
            </w:pPr>
          </w:p>
        </w:tc>
        <w:tc>
          <w:tcPr>
            <w:tcW w:w="1340" w:type="dxa"/>
            <w:vAlign w:val="bottom"/>
            <w:shd w:val="clear" w:color="auto" w:fill="D5EAEA"/>
          </w:tcPr>
          <w:p>
            <w:pPr>
              <w:spacing w:after="0"/>
              <w:rPr>
                <w:sz w:val="18"/>
                <w:szCs w:val="18"/>
                <w:color w:val="auto"/>
              </w:rPr>
            </w:pPr>
          </w:p>
        </w:tc>
        <w:tc>
          <w:tcPr>
            <w:tcW w:w="120" w:type="dxa"/>
            <w:vAlign w:val="bottom"/>
            <w:shd w:val="clear" w:color="auto" w:fill="D5EAEA"/>
          </w:tcPr>
          <w:p>
            <w:pPr>
              <w:spacing w:after="0"/>
              <w:rPr>
                <w:sz w:val="18"/>
                <w:szCs w:val="18"/>
                <w:color w:val="auto"/>
              </w:rPr>
            </w:pPr>
          </w:p>
        </w:tc>
        <w:tc>
          <w:tcPr>
            <w:tcW w:w="1340" w:type="dxa"/>
            <w:vAlign w:val="bottom"/>
            <w:shd w:val="clear" w:color="auto" w:fill="D5EAEA"/>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shd w:val="clear" w:color="auto" w:fill="D5EAEA"/>
          </w:tcPr>
          <w:p>
            <w:pPr>
              <w:spacing w:after="0"/>
              <w:rPr>
                <w:sz w:val="18"/>
                <w:szCs w:val="18"/>
                <w:color w:val="auto"/>
              </w:rPr>
            </w:pPr>
          </w:p>
        </w:tc>
        <w:tc>
          <w:tcPr>
            <w:tcW w:w="1340" w:type="dxa"/>
            <w:vAlign w:val="bottom"/>
            <w:shd w:val="clear" w:color="auto" w:fill="D5EAEA"/>
          </w:tcPr>
          <w:p>
            <w:pPr>
              <w:spacing w:after="0"/>
              <w:rPr>
                <w:sz w:val="18"/>
                <w:szCs w:val="18"/>
                <w:color w:val="auto"/>
              </w:rPr>
            </w:pPr>
          </w:p>
        </w:tc>
        <w:tc>
          <w:tcPr>
            <w:tcW w:w="100" w:type="dxa"/>
            <w:vAlign w:val="bottom"/>
            <w:shd w:val="clear" w:color="auto" w:fill="D5EAEA"/>
          </w:tcPr>
          <w:p>
            <w:pPr>
              <w:spacing w:after="0"/>
              <w:rPr>
                <w:sz w:val="18"/>
                <w:szCs w:val="18"/>
                <w:color w:val="auto"/>
              </w:rPr>
            </w:pPr>
          </w:p>
        </w:tc>
        <w:tc>
          <w:tcPr>
            <w:tcW w:w="1340" w:type="dxa"/>
            <w:vAlign w:val="bottom"/>
            <w:shd w:val="clear" w:color="auto" w:fill="D5EAEA"/>
          </w:tcPr>
          <w:p>
            <w:pPr>
              <w:spacing w:after="0"/>
              <w:rPr>
                <w:sz w:val="18"/>
                <w:szCs w:val="18"/>
                <w:color w:val="auto"/>
              </w:rPr>
            </w:pPr>
          </w:p>
        </w:tc>
      </w:tr>
      <w:tr>
        <w:trPr>
          <w:trHeight w:val="216"/>
        </w:trPr>
        <w:tc>
          <w:tcPr>
            <w:tcW w:w="2620" w:type="dxa"/>
            <w:vAlign w:val="bottom"/>
          </w:tcPr>
          <w:p>
            <w:pPr>
              <w:spacing w:after="0"/>
              <w:rPr>
                <w:sz w:val="20"/>
                <w:szCs w:val="20"/>
                <w:color w:val="auto"/>
              </w:rPr>
            </w:pPr>
            <w:r>
              <w:rPr>
                <w:rFonts w:ascii="Arial" w:cs="Arial" w:eastAsia="Arial" w:hAnsi="Arial"/>
                <w:sz w:val="18"/>
                <w:szCs w:val="18"/>
                <w:color w:val="auto"/>
              </w:rPr>
              <w:t>Share-based payments</w:t>
            </w: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3,079</w:t>
            </w:r>
          </w:p>
        </w:tc>
        <w:tc>
          <w:tcPr>
            <w:tcW w:w="100" w:type="dxa"/>
            <w:vAlign w:val="bottom"/>
          </w:tcPr>
          <w:p>
            <w:pPr>
              <w:spacing w:after="0"/>
              <w:rPr>
                <w:sz w:val="18"/>
                <w:szCs w:val="18"/>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3,079</w:t>
            </w:r>
          </w:p>
        </w:tc>
      </w:tr>
      <w:tr>
        <w:trPr>
          <w:trHeight w:val="202"/>
        </w:trPr>
        <w:tc>
          <w:tcPr>
            <w:tcW w:w="2620" w:type="dxa"/>
            <w:vAlign w:val="bottom"/>
            <w:shd w:val="clear" w:color="auto" w:fill="D5EAEA"/>
          </w:tcPr>
          <w:p>
            <w:pPr>
              <w:spacing w:after="0" w:line="201" w:lineRule="exact"/>
              <w:rPr>
                <w:sz w:val="20"/>
                <w:szCs w:val="20"/>
                <w:color w:val="auto"/>
              </w:rPr>
            </w:pPr>
            <w:r>
              <w:rPr>
                <w:rFonts w:ascii="Arial" w:cs="Arial" w:eastAsia="Arial" w:hAnsi="Arial"/>
                <w:sz w:val="18"/>
                <w:szCs w:val="18"/>
                <w:color w:val="auto"/>
              </w:rPr>
              <w:t>Issuance of shares, net of</w:t>
            </w:r>
          </w:p>
        </w:tc>
        <w:tc>
          <w:tcPr>
            <w:tcW w:w="1380" w:type="dxa"/>
            <w:vAlign w:val="bottom"/>
            <w:shd w:val="clear" w:color="auto" w:fill="D5EAEA"/>
          </w:tcPr>
          <w:p>
            <w:pPr>
              <w:spacing w:after="0"/>
              <w:rPr>
                <w:sz w:val="17"/>
                <w:szCs w:val="17"/>
                <w:color w:val="auto"/>
              </w:rPr>
            </w:pPr>
          </w:p>
        </w:tc>
        <w:tc>
          <w:tcPr>
            <w:tcW w:w="120" w:type="dxa"/>
            <w:vAlign w:val="bottom"/>
            <w:shd w:val="clear" w:color="auto" w:fill="D5EAEA"/>
          </w:tcPr>
          <w:p>
            <w:pPr>
              <w:spacing w:after="0"/>
              <w:rPr>
                <w:sz w:val="17"/>
                <w:szCs w:val="17"/>
                <w:color w:val="auto"/>
              </w:rPr>
            </w:pPr>
          </w:p>
        </w:tc>
        <w:tc>
          <w:tcPr>
            <w:tcW w:w="1340" w:type="dxa"/>
            <w:vAlign w:val="bottom"/>
            <w:shd w:val="clear" w:color="auto" w:fill="D5EAEA"/>
          </w:tcPr>
          <w:p>
            <w:pPr>
              <w:spacing w:after="0"/>
              <w:rPr>
                <w:sz w:val="17"/>
                <w:szCs w:val="17"/>
                <w:color w:val="auto"/>
              </w:rPr>
            </w:pPr>
          </w:p>
        </w:tc>
        <w:tc>
          <w:tcPr>
            <w:tcW w:w="100" w:type="dxa"/>
            <w:vAlign w:val="bottom"/>
            <w:shd w:val="clear" w:color="auto" w:fill="D5EAEA"/>
          </w:tcPr>
          <w:p>
            <w:pPr>
              <w:spacing w:after="0"/>
              <w:rPr>
                <w:sz w:val="17"/>
                <w:szCs w:val="17"/>
                <w:color w:val="auto"/>
              </w:rPr>
            </w:pPr>
          </w:p>
        </w:tc>
        <w:tc>
          <w:tcPr>
            <w:tcW w:w="1340" w:type="dxa"/>
            <w:vAlign w:val="bottom"/>
            <w:shd w:val="clear" w:color="auto" w:fill="D5EAEA"/>
          </w:tcPr>
          <w:p>
            <w:pPr>
              <w:spacing w:after="0"/>
              <w:rPr>
                <w:sz w:val="17"/>
                <w:szCs w:val="17"/>
                <w:color w:val="auto"/>
              </w:rPr>
            </w:pPr>
          </w:p>
        </w:tc>
        <w:tc>
          <w:tcPr>
            <w:tcW w:w="120" w:type="dxa"/>
            <w:vAlign w:val="bottom"/>
            <w:shd w:val="clear" w:color="auto" w:fill="D5EAEA"/>
          </w:tcPr>
          <w:p>
            <w:pPr>
              <w:spacing w:after="0"/>
              <w:rPr>
                <w:sz w:val="17"/>
                <w:szCs w:val="17"/>
                <w:color w:val="auto"/>
              </w:rPr>
            </w:pPr>
          </w:p>
        </w:tc>
        <w:tc>
          <w:tcPr>
            <w:tcW w:w="1340" w:type="dxa"/>
            <w:vAlign w:val="bottom"/>
            <w:shd w:val="clear" w:color="auto" w:fill="D5EAEA"/>
          </w:tcPr>
          <w:p>
            <w:pPr>
              <w:spacing w:after="0"/>
              <w:rPr>
                <w:sz w:val="17"/>
                <w:szCs w:val="17"/>
                <w:color w:val="auto"/>
              </w:rPr>
            </w:pPr>
          </w:p>
        </w:tc>
        <w:tc>
          <w:tcPr>
            <w:tcW w:w="100" w:type="dxa"/>
            <w:vAlign w:val="bottom"/>
            <w:shd w:val="clear" w:color="auto" w:fill="D5EAEA"/>
          </w:tcPr>
          <w:p>
            <w:pPr>
              <w:spacing w:after="0"/>
              <w:rPr>
                <w:sz w:val="17"/>
                <w:szCs w:val="17"/>
                <w:color w:val="auto"/>
              </w:rPr>
            </w:pPr>
          </w:p>
        </w:tc>
        <w:tc>
          <w:tcPr>
            <w:tcW w:w="1340" w:type="dxa"/>
            <w:vAlign w:val="bottom"/>
            <w:shd w:val="clear" w:color="auto" w:fill="D5EAEA"/>
          </w:tcPr>
          <w:p>
            <w:pPr>
              <w:spacing w:after="0"/>
              <w:rPr>
                <w:sz w:val="17"/>
                <w:szCs w:val="17"/>
                <w:color w:val="auto"/>
              </w:rPr>
            </w:pPr>
          </w:p>
        </w:tc>
        <w:tc>
          <w:tcPr>
            <w:tcW w:w="100" w:type="dxa"/>
            <w:vAlign w:val="bottom"/>
            <w:shd w:val="clear" w:color="auto" w:fill="D5EAEA"/>
          </w:tcPr>
          <w:p>
            <w:pPr>
              <w:spacing w:after="0"/>
              <w:rPr>
                <w:sz w:val="17"/>
                <w:szCs w:val="17"/>
                <w:color w:val="auto"/>
              </w:rPr>
            </w:pPr>
          </w:p>
        </w:tc>
        <w:tc>
          <w:tcPr>
            <w:tcW w:w="1340" w:type="dxa"/>
            <w:vAlign w:val="bottom"/>
            <w:shd w:val="clear" w:color="auto" w:fill="D5EAEA"/>
          </w:tcPr>
          <w:p>
            <w:pPr>
              <w:spacing w:after="0"/>
              <w:rPr>
                <w:sz w:val="17"/>
                <w:szCs w:val="17"/>
                <w:color w:val="auto"/>
              </w:rPr>
            </w:pPr>
          </w:p>
        </w:tc>
      </w:tr>
      <w:tr>
        <w:trPr>
          <w:trHeight w:val="230"/>
        </w:trPr>
        <w:tc>
          <w:tcPr>
            <w:tcW w:w="2620" w:type="dxa"/>
            <w:vAlign w:val="bottom"/>
            <w:shd w:val="clear" w:color="auto" w:fill="D5EAEA"/>
          </w:tcPr>
          <w:p>
            <w:pPr>
              <w:spacing w:after="0"/>
              <w:rPr>
                <w:sz w:val="20"/>
                <w:szCs w:val="20"/>
                <w:color w:val="auto"/>
              </w:rPr>
            </w:pPr>
            <w:r>
              <w:rPr>
                <w:rFonts w:ascii="Arial" w:cs="Arial" w:eastAsia="Arial" w:hAnsi="Arial"/>
                <w:sz w:val="18"/>
                <w:szCs w:val="18"/>
                <w:color w:val="auto"/>
              </w:rPr>
              <w:t>transaction costs:</w:t>
            </w:r>
          </w:p>
        </w:tc>
        <w:tc>
          <w:tcPr>
            <w:tcW w:w="1380" w:type="dxa"/>
            <w:vAlign w:val="bottom"/>
            <w:shd w:val="clear" w:color="auto" w:fill="D5EAEA"/>
          </w:tcPr>
          <w:p>
            <w:pPr>
              <w:spacing w:after="0"/>
              <w:rPr>
                <w:sz w:val="20"/>
                <w:szCs w:val="20"/>
                <w:color w:val="auto"/>
              </w:rPr>
            </w:pPr>
          </w:p>
        </w:tc>
        <w:tc>
          <w:tcPr>
            <w:tcW w:w="120" w:type="dxa"/>
            <w:vAlign w:val="bottom"/>
            <w:shd w:val="clear" w:color="auto" w:fill="D5EAEA"/>
          </w:tcPr>
          <w:p>
            <w:pPr>
              <w:spacing w:after="0"/>
              <w:rPr>
                <w:sz w:val="20"/>
                <w:szCs w:val="20"/>
                <w:color w:val="auto"/>
              </w:rPr>
            </w:pPr>
          </w:p>
        </w:tc>
        <w:tc>
          <w:tcPr>
            <w:tcW w:w="1340" w:type="dxa"/>
            <w:vAlign w:val="bottom"/>
            <w:shd w:val="clear" w:color="auto" w:fill="D5EAEA"/>
          </w:tcPr>
          <w:p>
            <w:pPr>
              <w:spacing w:after="0"/>
              <w:rPr>
                <w:sz w:val="20"/>
                <w:szCs w:val="20"/>
                <w:color w:val="auto"/>
              </w:rPr>
            </w:pPr>
          </w:p>
        </w:tc>
        <w:tc>
          <w:tcPr>
            <w:tcW w:w="100" w:type="dxa"/>
            <w:vAlign w:val="bottom"/>
            <w:shd w:val="clear" w:color="auto" w:fill="D5EAEA"/>
          </w:tcPr>
          <w:p>
            <w:pPr>
              <w:spacing w:after="0"/>
              <w:rPr>
                <w:sz w:val="20"/>
                <w:szCs w:val="20"/>
                <w:color w:val="auto"/>
              </w:rPr>
            </w:pPr>
          </w:p>
        </w:tc>
        <w:tc>
          <w:tcPr>
            <w:tcW w:w="1340" w:type="dxa"/>
            <w:vAlign w:val="bottom"/>
            <w:shd w:val="clear" w:color="auto" w:fill="D5EAEA"/>
          </w:tcPr>
          <w:p>
            <w:pPr>
              <w:spacing w:after="0"/>
              <w:rPr>
                <w:sz w:val="20"/>
                <w:szCs w:val="20"/>
                <w:color w:val="auto"/>
              </w:rPr>
            </w:pPr>
          </w:p>
        </w:tc>
        <w:tc>
          <w:tcPr>
            <w:tcW w:w="120" w:type="dxa"/>
            <w:vAlign w:val="bottom"/>
            <w:shd w:val="clear" w:color="auto" w:fill="D5EAEA"/>
          </w:tcPr>
          <w:p>
            <w:pPr>
              <w:spacing w:after="0"/>
              <w:rPr>
                <w:sz w:val="20"/>
                <w:szCs w:val="20"/>
                <w:color w:val="auto"/>
              </w:rPr>
            </w:pPr>
          </w:p>
        </w:tc>
        <w:tc>
          <w:tcPr>
            <w:tcW w:w="1340" w:type="dxa"/>
            <w:vAlign w:val="bottom"/>
            <w:shd w:val="clear" w:color="auto" w:fill="D5EAEA"/>
          </w:tcPr>
          <w:p>
            <w:pPr>
              <w:spacing w:after="0"/>
              <w:rPr>
                <w:sz w:val="20"/>
                <w:szCs w:val="20"/>
                <w:color w:val="auto"/>
              </w:rPr>
            </w:pPr>
          </w:p>
        </w:tc>
        <w:tc>
          <w:tcPr>
            <w:tcW w:w="100" w:type="dxa"/>
            <w:vAlign w:val="bottom"/>
            <w:shd w:val="clear" w:color="auto" w:fill="D5EAEA"/>
          </w:tcPr>
          <w:p>
            <w:pPr>
              <w:spacing w:after="0"/>
              <w:rPr>
                <w:sz w:val="20"/>
                <w:szCs w:val="20"/>
                <w:color w:val="auto"/>
              </w:rPr>
            </w:pPr>
          </w:p>
        </w:tc>
        <w:tc>
          <w:tcPr>
            <w:tcW w:w="1340" w:type="dxa"/>
            <w:vAlign w:val="bottom"/>
            <w:shd w:val="clear" w:color="auto" w:fill="D5EAEA"/>
          </w:tcPr>
          <w:p>
            <w:pPr>
              <w:spacing w:after="0"/>
              <w:rPr>
                <w:sz w:val="20"/>
                <w:szCs w:val="20"/>
                <w:color w:val="auto"/>
              </w:rPr>
            </w:pPr>
          </w:p>
        </w:tc>
        <w:tc>
          <w:tcPr>
            <w:tcW w:w="100" w:type="dxa"/>
            <w:vAlign w:val="bottom"/>
            <w:shd w:val="clear" w:color="auto" w:fill="D5EAEA"/>
          </w:tcPr>
          <w:p>
            <w:pPr>
              <w:spacing w:after="0"/>
              <w:rPr>
                <w:sz w:val="20"/>
                <w:szCs w:val="20"/>
                <w:color w:val="auto"/>
              </w:rPr>
            </w:pPr>
          </w:p>
        </w:tc>
        <w:tc>
          <w:tcPr>
            <w:tcW w:w="1340" w:type="dxa"/>
            <w:vAlign w:val="bottom"/>
            <w:shd w:val="clear" w:color="auto" w:fill="D5EAEA"/>
          </w:tcPr>
          <w:p>
            <w:pPr>
              <w:spacing w:after="0"/>
              <w:rPr>
                <w:sz w:val="20"/>
                <w:szCs w:val="20"/>
                <w:color w:val="auto"/>
              </w:rPr>
            </w:pPr>
          </w:p>
        </w:tc>
      </w:tr>
      <w:tr>
        <w:trPr>
          <w:trHeight w:val="202"/>
        </w:trPr>
        <w:tc>
          <w:tcPr>
            <w:tcW w:w="2620" w:type="dxa"/>
            <w:vAlign w:val="bottom"/>
          </w:tcPr>
          <w:p>
            <w:pPr>
              <w:ind w:left="140"/>
              <w:spacing w:after="0" w:line="201" w:lineRule="exact"/>
              <w:rPr>
                <w:sz w:val="20"/>
                <w:szCs w:val="20"/>
                <w:color w:val="auto"/>
              </w:rPr>
            </w:pPr>
            <w:r>
              <w:rPr>
                <w:rFonts w:ascii="Arial" w:cs="Arial" w:eastAsia="Arial" w:hAnsi="Arial"/>
                <w:sz w:val="18"/>
                <w:szCs w:val="18"/>
                <w:color w:val="auto"/>
              </w:rPr>
              <w:t>held as treasury shares, net of</w:t>
            </w: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tcPr>
          <w:p>
            <w:pPr>
              <w:spacing w:after="0"/>
              <w:rPr>
                <w:sz w:val="17"/>
                <w:szCs w:val="17"/>
                <w:color w:val="auto"/>
              </w:rPr>
            </w:pPr>
          </w:p>
        </w:tc>
      </w:tr>
      <w:tr>
        <w:trPr>
          <w:trHeight w:val="230"/>
        </w:trPr>
        <w:tc>
          <w:tcPr>
            <w:tcW w:w="2620" w:type="dxa"/>
            <w:vAlign w:val="bottom"/>
          </w:tcPr>
          <w:p>
            <w:pPr>
              <w:ind w:left="140"/>
              <w:spacing w:after="0"/>
              <w:rPr>
                <w:sz w:val="20"/>
                <w:szCs w:val="20"/>
                <w:color w:val="auto"/>
              </w:rPr>
            </w:pPr>
            <w:r>
              <w:rPr>
                <w:rFonts w:ascii="Arial" w:cs="Arial" w:eastAsia="Arial" w:hAnsi="Arial"/>
                <w:sz w:val="18"/>
                <w:szCs w:val="18"/>
                <w:color w:val="auto"/>
              </w:rPr>
              <w:t>transaction costs</w:t>
            </w:r>
          </w:p>
        </w:tc>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20"/>
                <w:szCs w:val="20"/>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20"/>
                <w:szCs w:val="20"/>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16"/>
        </w:trPr>
        <w:tc>
          <w:tcPr>
            <w:tcW w:w="2620" w:type="dxa"/>
            <w:vAlign w:val="bottom"/>
            <w:shd w:val="clear" w:color="auto" w:fill="D5EAEA"/>
          </w:tcPr>
          <w:p>
            <w:pPr>
              <w:ind w:left="140"/>
              <w:spacing w:after="0"/>
              <w:rPr>
                <w:sz w:val="20"/>
                <w:szCs w:val="20"/>
                <w:color w:val="auto"/>
              </w:rPr>
            </w:pPr>
            <w:r>
              <w:rPr>
                <w:rFonts w:ascii="Arial" w:cs="Arial" w:eastAsia="Arial" w:hAnsi="Arial"/>
                <w:sz w:val="18"/>
                <w:szCs w:val="18"/>
                <w:color w:val="auto"/>
              </w:rPr>
              <w:t>restricted share awards</w:t>
            </w:r>
          </w:p>
        </w:tc>
        <w:tc>
          <w:tcPr>
            <w:tcW w:w="1380" w:type="dxa"/>
            <w:vAlign w:val="bottom"/>
            <w:shd w:val="clear" w:color="auto" w:fill="D5EAEA"/>
          </w:tcPr>
          <w:p>
            <w:pPr>
              <w:spacing w:after="0"/>
              <w:rPr>
                <w:sz w:val="18"/>
                <w:szCs w:val="18"/>
                <w:color w:val="auto"/>
              </w:rPr>
            </w:pPr>
          </w:p>
        </w:tc>
        <w:tc>
          <w:tcPr>
            <w:tcW w:w="120" w:type="dxa"/>
            <w:vAlign w:val="bottom"/>
            <w:shd w:val="clear" w:color="auto" w:fill="D5EAEA"/>
          </w:tcPr>
          <w:p>
            <w:pPr>
              <w:spacing w:after="0"/>
              <w:rPr>
                <w:sz w:val="18"/>
                <w:szCs w:val="18"/>
                <w:color w:val="auto"/>
              </w:rPr>
            </w:pPr>
          </w:p>
        </w:tc>
        <w:tc>
          <w:tcPr>
            <w:tcW w:w="1440" w:type="dxa"/>
            <w:vAlign w:val="bottom"/>
            <w:gridSpan w:val="2"/>
            <w:shd w:val="clear" w:color="auto" w:fill="D5EAEA"/>
          </w:tcPr>
          <w:p>
            <w:pPr>
              <w:jc w:val="right"/>
              <w:ind w:right="200"/>
              <w:spacing w:after="0"/>
              <w:rPr>
                <w:sz w:val="20"/>
                <w:szCs w:val="20"/>
                <w:color w:val="auto"/>
              </w:rPr>
            </w:pPr>
            <w:r>
              <w:rPr>
                <w:rFonts w:ascii="Arial" w:cs="Arial" w:eastAsia="Arial" w:hAnsi="Arial"/>
                <w:sz w:val="18"/>
                <w:szCs w:val="18"/>
                <w:color w:val="auto"/>
              </w:rPr>
              <w:t>—</w:t>
            </w:r>
          </w:p>
        </w:tc>
        <w:tc>
          <w:tcPr>
            <w:tcW w:w="134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175</w:t>
            </w:r>
          </w:p>
        </w:tc>
        <w:tc>
          <w:tcPr>
            <w:tcW w:w="120" w:type="dxa"/>
            <w:vAlign w:val="bottom"/>
            <w:shd w:val="clear" w:color="auto" w:fill="D5EAEA"/>
          </w:tcPr>
          <w:p>
            <w:pPr>
              <w:spacing w:after="0"/>
              <w:rPr>
                <w:sz w:val="18"/>
                <w:szCs w:val="18"/>
                <w:color w:val="auto"/>
              </w:rPr>
            </w:pPr>
          </w:p>
        </w:tc>
        <w:tc>
          <w:tcPr>
            <w:tcW w:w="1440" w:type="dxa"/>
            <w:vAlign w:val="bottom"/>
            <w:gridSpan w:val="2"/>
            <w:shd w:val="clear" w:color="auto" w:fill="D5EAEA"/>
          </w:tcPr>
          <w:p>
            <w:pPr>
              <w:jc w:val="right"/>
              <w:ind w:right="220"/>
              <w:spacing w:after="0"/>
              <w:rPr>
                <w:sz w:val="20"/>
                <w:szCs w:val="20"/>
                <w:color w:val="auto"/>
              </w:rPr>
            </w:pPr>
            <w:r>
              <w:rPr>
                <w:rFonts w:ascii="Arial" w:cs="Arial" w:eastAsia="Arial" w:hAnsi="Arial"/>
                <w:sz w:val="18"/>
                <w:szCs w:val="18"/>
                <w:color w:val="auto"/>
              </w:rPr>
              <w:t>—</w:t>
            </w:r>
          </w:p>
        </w:tc>
        <w:tc>
          <w:tcPr>
            <w:tcW w:w="1340" w:type="dxa"/>
            <w:vAlign w:val="bottom"/>
            <w:shd w:val="clear" w:color="auto" w:fill="D5EAEA"/>
          </w:tcPr>
          <w:p>
            <w:pPr>
              <w:jc w:val="right"/>
              <w:spacing w:after="0"/>
              <w:rPr>
                <w:sz w:val="20"/>
                <w:szCs w:val="20"/>
                <w:color w:val="auto"/>
              </w:rPr>
            </w:pPr>
            <w:r>
              <w:rPr>
                <w:rFonts w:ascii="Arial" w:cs="Arial" w:eastAsia="Arial" w:hAnsi="Arial"/>
                <w:sz w:val="18"/>
                <w:szCs w:val="18"/>
                <w:color w:val="auto"/>
              </w:rPr>
              <w:t>(175)</w:t>
            </w:r>
          </w:p>
        </w:tc>
        <w:tc>
          <w:tcPr>
            <w:tcW w:w="100" w:type="dxa"/>
            <w:vAlign w:val="bottom"/>
            <w:shd w:val="clear" w:color="auto" w:fill="D5EAEA"/>
          </w:tcPr>
          <w:p>
            <w:pPr>
              <w:spacing w:after="0"/>
              <w:rPr>
                <w:sz w:val="18"/>
                <w:szCs w:val="18"/>
                <w:color w:val="auto"/>
              </w:rPr>
            </w:pPr>
          </w:p>
        </w:tc>
        <w:tc>
          <w:tcPr>
            <w:tcW w:w="134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w:t>
            </w:r>
          </w:p>
        </w:tc>
      </w:tr>
      <w:tr>
        <w:trPr>
          <w:trHeight w:val="230"/>
        </w:trPr>
        <w:tc>
          <w:tcPr>
            <w:tcW w:w="2620" w:type="dxa"/>
            <w:vAlign w:val="bottom"/>
          </w:tcPr>
          <w:p>
            <w:pPr>
              <w:ind w:left="140"/>
              <w:spacing w:after="0"/>
              <w:rPr>
                <w:sz w:val="20"/>
                <w:szCs w:val="20"/>
                <w:color w:val="auto"/>
              </w:rPr>
            </w:pPr>
            <w:r>
              <w:rPr>
                <w:rFonts w:ascii="Arial" w:cs="Arial" w:eastAsia="Arial" w:hAnsi="Arial"/>
                <w:sz w:val="18"/>
                <w:szCs w:val="18"/>
                <w:color w:val="auto"/>
              </w:rPr>
              <w:t>exercise of options</w:t>
            </w:r>
          </w:p>
        </w:tc>
        <w:tc>
          <w:tcPr>
            <w:tcW w:w="1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141</w:t>
            </w:r>
          </w:p>
        </w:tc>
        <w:tc>
          <w:tcPr>
            <w:tcW w:w="120" w:type="dxa"/>
            <w:vAlign w:val="bottom"/>
          </w:tcPr>
          <w:p>
            <w:pPr>
              <w:spacing w:after="0"/>
              <w:rPr>
                <w:sz w:val="19"/>
                <w:szCs w:val="19"/>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143</w:t>
            </w:r>
          </w:p>
        </w:tc>
      </w:tr>
      <w:tr>
        <w:trPr>
          <w:trHeight w:val="178"/>
        </w:trPr>
        <w:tc>
          <w:tcPr>
            <w:tcW w:w="2620" w:type="dxa"/>
            <w:vAlign w:val="bottom"/>
            <w:tcBorders>
              <w:top w:val="single" w:sz="8" w:color="D5EAEA"/>
            </w:tcBorders>
            <w:shd w:val="clear" w:color="auto" w:fill="D5EAEA"/>
          </w:tcPr>
          <w:p>
            <w:pPr>
              <w:spacing w:after="0" w:line="177" w:lineRule="exact"/>
              <w:rPr>
                <w:sz w:val="20"/>
                <w:szCs w:val="20"/>
                <w:color w:val="auto"/>
              </w:rPr>
            </w:pPr>
            <w:r>
              <w:rPr>
                <w:rFonts w:ascii="Arial" w:cs="Arial" w:eastAsia="Arial" w:hAnsi="Arial"/>
                <w:sz w:val="18"/>
                <w:szCs w:val="18"/>
                <w:b w:val="1"/>
                <w:bCs w:val="1"/>
                <w:color w:val="auto"/>
              </w:rPr>
              <w:t>Balance as of September 30,</w:t>
            </w:r>
          </w:p>
        </w:tc>
        <w:tc>
          <w:tcPr>
            <w:tcW w:w="1380" w:type="dxa"/>
            <w:vAlign w:val="bottom"/>
            <w:tcBorders>
              <w:top w:val="single" w:sz="8" w:color="D5EAEA"/>
            </w:tcBorders>
            <w:shd w:val="clear" w:color="auto" w:fill="D5EAEA"/>
          </w:tcPr>
          <w:p>
            <w:pPr>
              <w:spacing w:after="0"/>
              <w:rPr>
                <w:sz w:val="15"/>
                <w:szCs w:val="15"/>
                <w:color w:val="auto"/>
              </w:rPr>
            </w:pPr>
          </w:p>
        </w:tc>
        <w:tc>
          <w:tcPr>
            <w:tcW w:w="120" w:type="dxa"/>
            <w:vAlign w:val="bottom"/>
            <w:tcBorders>
              <w:top w:val="single" w:sz="8" w:color="D5EAEA"/>
            </w:tcBorders>
            <w:shd w:val="clear" w:color="auto" w:fill="D5EAEA"/>
          </w:tcPr>
          <w:p>
            <w:pPr>
              <w:spacing w:after="0"/>
              <w:rPr>
                <w:sz w:val="15"/>
                <w:szCs w:val="15"/>
                <w:color w:val="auto"/>
              </w:rPr>
            </w:pPr>
          </w:p>
        </w:tc>
        <w:tc>
          <w:tcPr>
            <w:tcW w:w="1340" w:type="dxa"/>
            <w:vAlign w:val="bottom"/>
            <w:tcBorders>
              <w:top w:val="single" w:sz="8" w:color="auto"/>
            </w:tcBorders>
            <w:shd w:val="clear" w:color="auto" w:fill="D5EAEA"/>
          </w:tcPr>
          <w:p>
            <w:pPr>
              <w:spacing w:after="0"/>
              <w:rPr>
                <w:sz w:val="15"/>
                <w:szCs w:val="15"/>
                <w:color w:val="auto"/>
              </w:rPr>
            </w:pPr>
          </w:p>
        </w:tc>
        <w:tc>
          <w:tcPr>
            <w:tcW w:w="100" w:type="dxa"/>
            <w:vAlign w:val="bottom"/>
            <w:tcBorders>
              <w:top w:val="single" w:sz="8" w:color="D5EAEA"/>
            </w:tcBorders>
            <w:shd w:val="clear" w:color="auto" w:fill="D5EAEA"/>
          </w:tcPr>
          <w:p>
            <w:pPr>
              <w:spacing w:after="0"/>
              <w:rPr>
                <w:sz w:val="15"/>
                <w:szCs w:val="15"/>
                <w:color w:val="auto"/>
              </w:rPr>
            </w:pPr>
          </w:p>
        </w:tc>
        <w:tc>
          <w:tcPr>
            <w:tcW w:w="1340" w:type="dxa"/>
            <w:vAlign w:val="bottom"/>
            <w:tcBorders>
              <w:top w:val="single" w:sz="8" w:color="auto"/>
            </w:tcBorders>
            <w:shd w:val="clear" w:color="auto" w:fill="D5EAEA"/>
          </w:tcPr>
          <w:p>
            <w:pPr>
              <w:spacing w:after="0"/>
              <w:rPr>
                <w:sz w:val="15"/>
                <w:szCs w:val="15"/>
                <w:color w:val="auto"/>
              </w:rPr>
            </w:pPr>
          </w:p>
        </w:tc>
        <w:tc>
          <w:tcPr>
            <w:tcW w:w="120" w:type="dxa"/>
            <w:vAlign w:val="bottom"/>
            <w:tcBorders>
              <w:top w:val="single" w:sz="8" w:color="D5EAEA"/>
            </w:tcBorders>
            <w:shd w:val="clear" w:color="auto" w:fill="D5EAEA"/>
          </w:tcPr>
          <w:p>
            <w:pPr>
              <w:spacing w:after="0"/>
              <w:rPr>
                <w:sz w:val="15"/>
                <w:szCs w:val="15"/>
                <w:color w:val="auto"/>
              </w:rPr>
            </w:pPr>
          </w:p>
        </w:tc>
        <w:tc>
          <w:tcPr>
            <w:tcW w:w="1340" w:type="dxa"/>
            <w:vAlign w:val="bottom"/>
            <w:tcBorders>
              <w:top w:val="single" w:sz="8" w:color="auto"/>
            </w:tcBorders>
            <w:shd w:val="clear" w:color="auto" w:fill="D5EAEA"/>
          </w:tcPr>
          <w:p>
            <w:pPr>
              <w:spacing w:after="0"/>
              <w:rPr>
                <w:sz w:val="15"/>
                <w:szCs w:val="15"/>
                <w:color w:val="auto"/>
              </w:rPr>
            </w:pPr>
          </w:p>
        </w:tc>
        <w:tc>
          <w:tcPr>
            <w:tcW w:w="100" w:type="dxa"/>
            <w:vAlign w:val="bottom"/>
            <w:tcBorders>
              <w:top w:val="single" w:sz="8" w:color="D5EAEA"/>
            </w:tcBorders>
            <w:shd w:val="clear" w:color="auto" w:fill="D5EAEA"/>
          </w:tcPr>
          <w:p>
            <w:pPr>
              <w:spacing w:after="0"/>
              <w:rPr>
                <w:sz w:val="15"/>
                <w:szCs w:val="15"/>
                <w:color w:val="auto"/>
              </w:rPr>
            </w:pPr>
          </w:p>
        </w:tc>
        <w:tc>
          <w:tcPr>
            <w:tcW w:w="1340" w:type="dxa"/>
            <w:vAlign w:val="bottom"/>
            <w:tcBorders>
              <w:top w:val="single" w:sz="8" w:color="auto"/>
            </w:tcBorders>
            <w:shd w:val="clear" w:color="auto" w:fill="D5EAEA"/>
          </w:tcPr>
          <w:p>
            <w:pPr>
              <w:spacing w:after="0"/>
              <w:rPr>
                <w:sz w:val="15"/>
                <w:szCs w:val="15"/>
                <w:color w:val="auto"/>
              </w:rPr>
            </w:pPr>
          </w:p>
        </w:tc>
        <w:tc>
          <w:tcPr>
            <w:tcW w:w="100" w:type="dxa"/>
            <w:vAlign w:val="bottom"/>
            <w:tcBorders>
              <w:top w:val="single" w:sz="8" w:color="D5EAEA"/>
            </w:tcBorders>
            <w:shd w:val="clear" w:color="auto" w:fill="D5EAEA"/>
          </w:tcPr>
          <w:p>
            <w:pPr>
              <w:spacing w:after="0"/>
              <w:rPr>
                <w:sz w:val="15"/>
                <w:szCs w:val="15"/>
                <w:color w:val="auto"/>
              </w:rPr>
            </w:pPr>
          </w:p>
        </w:tc>
        <w:tc>
          <w:tcPr>
            <w:tcW w:w="1340" w:type="dxa"/>
            <w:vAlign w:val="bottom"/>
            <w:tcBorders>
              <w:top w:val="single" w:sz="8" w:color="auto"/>
            </w:tcBorders>
            <w:shd w:val="clear" w:color="auto" w:fill="D5EAEA"/>
          </w:tcPr>
          <w:p>
            <w:pPr>
              <w:spacing w:after="0"/>
              <w:rPr>
                <w:sz w:val="15"/>
                <w:szCs w:val="15"/>
                <w:color w:val="auto"/>
              </w:rPr>
            </w:pPr>
          </w:p>
        </w:tc>
      </w:tr>
      <w:tr>
        <w:trPr>
          <w:trHeight w:val="261"/>
        </w:trPr>
        <w:tc>
          <w:tcPr>
            <w:tcW w:w="2620" w:type="dxa"/>
            <w:vAlign w:val="bottom"/>
            <w:tcBorders>
              <w:bottom w:val="single" w:sz="8" w:color="D5EAEA"/>
            </w:tcBorders>
            <w:shd w:val="clear" w:color="auto" w:fill="D5EAEA"/>
          </w:tcPr>
          <w:p>
            <w:pPr>
              <w:spacing w:after="0"/>
              <w:rPr>
                <w:sz w:val="20"/>
                <w:szCs w:val="20"/>
                <w:color w:val="auto"/>
              </w:rPr>
            </w:pPr>
            <w:r>
              <w:rPr>
                <w:rFonts w:ascii="Arial" w:cs="Arial" w:eastAsia="Arial" w:hAnsi="Arial"/>
                <w:sz w:val="18"/>
                <w:szCs w:val="18"/>
                <w:b w:val="1"/>
                <w:bCs w:val="1"/>
                <w:color w:val="auto"/>
              </w:rPr>
              <w:t>2020</w:t>
            </w:r>
          </w:p>
        </w:tc>
        <w:tc>
          <w:tcPr>
            <w:tcW w:w="1380" w:type="dxa"/>
            <w:vAlign w:val="bottom"/>
            <w:tcBorders>
              <w:bottom w:val="single" w:sz="8" w:color="D5EAEA"/>
            </w:tcBorders>
            <w:shd w:val="clear" w:color="auto" w:fill="D5EAEA"/>
          </w:tcPr>
          <w:p>
            <w:pPr>
              <w:spacing w:after="0"/>
              <w:rPr>
                <w:sz w:val="22"/>
                <w:szCs w:val="22"/>
                <w:color w:val="auto"/>
              </w:rPr>
            </w:pPr>
          </w:p>
        </w:tc>
        <w:tc>
          <w:tcPr>
            <w:tcW w:w="120" w:type="dxa"/>
            <w:vAlign w:val="bottom"/>
            <w:tcBorders>
              <w:bottom w:val="single" w:sz="8" w:color="D5EAEA"/>
            </w:tcBorders>
            <w:shd w:val="clear" w:color="auto" w:fill="D5EAEA"/>
          </w:tcPr>
          <w:p>
            <w:pPr>
              <w:spacing w:after="0"/>
              <w:rPr>
                <w:sz w:val="22"/>
                <w:szCs w:val="22"/>
                <w:color w:val="auto"/>
              </w:rPr>
            </w:pPr>
          </w:p>
        </w:tc>
        <w:tc>
          <w:tcPr>
            <w:tcW w:w="1340" w:type="dxa"/>
            <w:vAlign w:val="bottom"/>
            <w:tcBorders>
              <w:bottom w:val="single" w:sz="8" w:color="auto"/>
            </w:tcBorders>
            <w:shd w:val="clear" w:color="auto" w:fill="D5EAEA"/>
          </w:tcPr>
          <w:p>
            <w:pPr>
              <w:jc w:val="right"/>
              <w:ind w:right="10"/>
              <w:spacing w:after="0"/>
              <w:rPr>
                <w:sz w:val="20"/>
                <w:szCs w:val="20"/>
                <w:color w:val="auto"/>
              </w:rPr>
            </w:pPr>
            <w:r>
              <w:rPr>
                <w:rFonts w:ascii="Arial" w:cs="Arial" w:eastAsia="Arial" w:hAnsi="Arial"/>
                <w:sz w:val="18"/>
                <w:szCs w:val="18"/>
                <w:color w:val="auto"/>
              </w:rPr>
              <w:t>1,539</w:t>
            </w:r>
          </w:p>
        </w:tc>
        <w:tc>
          <w:tcPr>
            <w:tcW w:w="100" w:type="dxa"/>
            <w:vAlign w:val="bottom"/>
            <w:tcBorders>
              <w:bottom w:val="single" w:sz="8" w:color="D5EAEA"/>
            </w:tcBorders>
            <w:shd w:val="clear" w:color="auto" w:fill="D5EAEA"/>
          </w:tcPr>
          <w:p>
            <w:pPr>
              <w:spacing w:after="0"/>
              <w:rPr>
                <w:sz w:val="22"/>
                <w:szCs w:val="22"/>
                <w:color w:val="auto"/>
              </w:rPr>
            </w:pPr>
          </w:p>
        </w:tc>
        <w:tc>
          <w:tcPr>
            <w:tcW w:w="1340" w:type="dxa"/>
            <w:vAlign w:val="bottom"/>
            <w:tcBorders>
              <w:bottom w:val="single" w:sz="8" w:color="auto"/>
            </w:tcBorders>
            <w:shd w:val="clear" w:color="auto" w:fill="D5EAEA"/>
          </w:tcPr>
          <w:p>
            <w:pPr>
              <w:jc w:val="right"/>
              <w:ind w:right="10"/>
              <w:spacing w:after="0"/>
              <w:rPr>
                <w:sz w:val="20"/>
                <w:szCs w:val="20"/>
                <w:color w:val="auto"/>
              </w:rPr>
            </w:pPr>
            <w:r>
              <w:rPr>
                <w:rFonts w:ascii="Arial" w:cs="Arial" w:eastAsia="Arial" w:hAnsi="Arial"/>
                <w:sz w:val="18"/>
                <w:szCs w:val="18"/>
                <w:color w:val="auto"/>
              </w:rPr>
              <w:t>346,842</w:t>
            </w:r>
          </w:p>
        </w:tc>
        <w:tc>
          <w:tcPr>
            <w:tcW w:w="120" w:type="dxa"/>
            <w:vAlign w:val="bottom"/>
            <w:tcBorders>
              <w:bottom w:val="single" w:sz="8" w:color="D5EAEA"/>
            </w:tcBorders>
            <w:shd w:val="clear" w:color="auto" w:fill="D5EAEA"/>
          </w:tcPr>
          <w:p>
            <w:pPr>
              <w:spacing w:after="0"/>
              <w:rPr>
                <w:sz w:val="22"/>
                <w:szCs w:val="22"/>
                <w:color w:val="auto"/>
              </w:rPr>
            </w:pPr>
          </w:p>
        </w:tc>
        <w:tc>
          <w:tcPr>
            <w:tcW w:w="1340" w:type="dxa"/>
            <w:vAlign w:val="bottom"/>
            <w:tcBorders>
              <w:bottom w:val="single" w:sz="8" w:color="auto"/>
            </w:tcBorders>
            <w:shd w:val="clear" w:color="auto" w:fill="D5EAEA"/>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Borders>
              <w:bottom w:val="single" w:sz="8" w:color="D5EAEA"/>
            </w:tcBorders>
            <w:shd w:val="clear" w:color="auto" w:fill="D5EAEA"/>
          </w:tcPr>
          <w:p>
            <w:pPr>
              <w:spacing w:after="0"/>
              <w:rPr>
                <w:sz w:val="22"/>
                <w:szCs w:val="22"/>
                <w:color w:val="auto"/>
              </w:rPr>
            </w:pPr>
          </w:p>
        </w:tc>
        <w:tc>
          <w:tcPr>
            <w:tcW w:w="1340" w:type="dxa"/>
            <w:vAlign w:val="bottom"/>
            <w:tcBorders>
              <w:bottom w:val="single" w:sz="8" w:color="auto"/>
            </w:tcBorders>
            <w:shd w:val="clear" w:color="auto" w:fill="D5EAEA"/>
          </w:tcPr>
          <w:p>
            <w:pPr>
              <w:jc w:val="right"/>
              <w:spacing w:after="0"/>
              <w:rPr>
                <w:sz w:val="20"/>
                <w:szCs w:val="20"/>
                <w:color w:val="auto"/>
              </w:rPr>
            </w:pPr>
            <w:r>
              <w:rPr>
                <w:rFonts w:ascii="Arial" w:cs="Arial" w:eastAsia="Arial" w:hAnsi="Arial"/>
                <w:sz w:val="18"/>
                <w:szCs w:val="18"/>
                <w:color w:val="auto"/>
              </w:rPr>
              <w:t>(115,038)</w:t>
            </w:r>
          </w:p>
        </w:tc>
        <w:tc>
          <w:tcPr>
            <w:tcW w:w="100" w:type="dxa"/>
            <w:vAlign w:val="bottom"/>
            <w:tcBorders>
              <w:bottom w:val="single" w:sz="8" w:color="D5EAEA"/>
            </w:tcBorders>
            <w:shd w:val="clear" w:color="auto" w:fill="D5EAEA"/>
          </w:tcPr>
          <w:p>
            <w:pPr>
              <w:spacing w:after="0"/>
              <w:rPr>
                <w:sz w:val="22"/>
                <w:szCs w:val="22"/>
                <w:color w:val="auto"/>
              </w:rPr>
            </w:pPr>
          </w:p>
        </w:tc>
        <w:tc>
          <w:tcPr>
            <w:tcW w:w="1340" w:type="dxa"/>
            <w:vAlign w:val="bottom"/>
            <w:tcBorders>
              <w:bottom w:val="single" w:sz="8" w:color="auto"/>
            </w:tcBorders>
            <w:shd w:val="clear" w:color="auto" w:fill="D5EAEA"/>
          </w:tcPr>
          <w:p>
            <w:pPr>
              <w:jc w:val="right"/>
              <w:ind w:right="10"/>
              <w:spacing w:after="0"/>
              <w:rPr>
                <w:sz w:val="20"/>
                <w:szCs w:val="20"/>
                <w:color w:val="auto"/>
              </w:rPr>
            </w:pPr>
            <w:r>
              <w:rPr>
                <w:rFonts w:ascii="Arial" w:cs="Arial" w:eastAsia="Arial" w:hAnsi="Arial"/>
                <w:sz w:val="18"/>
                <w:szCs w:val="18"/>
                <w:color w:val="auto"/>
              </w:rPr>
              <w:t>233,243</w:t>
            </w:r>
          </w:p>
        </w:tc>
      </w:tr>
      <w:tr>
        <w:trPr>
          <w:trHeight w:val="20"/>
        </w:trPr>
        <w:tc>
          <w:tcPr>
            <w:tcW w:w="26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r>
        <w:trPr>
          <w:trHeight w:val="421"/>
        </w:trPr>
        <w:tc>
          <w:tcPr>
            <w:tcW w:w="26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Share</w:t>
            </w:r>
          </w:p>
        </w:tc>
        <w:tc>
          <w:tcPr>
            <w:tcW w:w="14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7"/>
              </w:rPr>
              <w:t>Share</w:t>
            </w: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0"/>
              </w:rPr>
              <w:t>Accumulated</w:t>
            </w:r>
          </w:p>
        </w:tc>
        <w:tc>
          <w:tcPr>
            <w:tcW w:w="1340" w:type="dxa"/>
            <w:vAlign w:val="bottom"/>
          </w:tcPr>
          <w:p>
            <w:pPr>
              <w:spacing w:after="0"/>
              <w:rPr>
                <w:sz w:val="24"/>
                <w:szCs w:val="24"/>
                <w:color w:val="auto"/>
              </w:rPr>
            </w:pPr>
          </w:p>
        </w:tc>
      </w:tr>
      <w:tr>
        <w:trPr>
          <w:trHeight w:val="234"/>
        </w:trPr>
        <w:tc>
          <w:tcPr>
            <w:tcW w:w="2620" w:type="dxa"/>
            <w:vAlign w:val="bottom"/>
          </w:tcPr>
          <w:p>
            <w:pPr>
              <w:spacing w:after="0"/>
              <w:rPr>
                <w:sz w:val="20"/>
                <w:szCs w:val="20"/>
                <w:color w:val="auto"/>
              </w:rPr>
            </w:pPr>
          </w:p>
        </w:tc>
        <w:tc>
          <w:tcPr>
            <w:tcW w:w="150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7"/>
              </w:rPr>
              <w:t>Notes</w:t>
            </w:r>
          </w:p>
        </w:tc>
        <w:tc>
          <w:tcPr>
            <w:tcW w:w="14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1"/>
              </w:rPr>
              <w:t>capital</w:t>
            </w:r>
          </w:p>
        </w:tc>
        <w:tc>
          <w:tcPr>
            <w:tcW w:w="14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4"/>
              </w:rPr>
              <w:t>premium</w:t>
            </w:r>
          </w:p>
        </w:tc>
        <w:tc>
          <w:tcPr>
            <w:tcW w:w="1440" w:type="dxa"/>
            <w:vAlign w:val="bottom"/>
            <w:gridSpan w:val="2"/>
          </w:tcPr>
          <w:p>
            <w:pPr>
              <w:ind w:left="60"/>
              <w:spacing w:after="0"/>
              <w:rPr>
                <w:sz w:val="20"/>
                <w:szCs w:val="20"/>
                <w:color w:val="auto"/>
              </w:rPr>
            </w:pPr>
            <w:r>
              <w:rPr>
                <w:rFonts w:ascii="Arial" w:cs="Arial" w:eastAsia="Arial" w:hAnsi="Arial"/>
                <w:sz w:val="18"/>
                <w:szCs w:val="18"/>
                <w:b w:val="1"/>
                <w:bCs w:val="1"/>
                <w:color w:val="auto"/>
                <w:w w:val="97"/>
              </w:rPr>
              <w:t>Treasury shares</w:t>
            </w:r>
          </w:p>
        </w:tc>
        <w:tc>
          <w:tcPr>
            <w:tcW w:w="14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74"/>
              </w:rPr>
              <w:t>losses</w:t>
            </w:r>
          </w:p>
        </w:tc>
        <w:tc>
          <w:tcPr>
            <w:tcW w:w="1340" w:type="dxa"/>
            <w:vAlign w:val="bottom"/>
          </w:tcPr>
          <w:p>
            <w:pPr>
              <w:jc w:val="right"/>
              <w:ind w:right="390"/>
              <w:spacing w:after="0"/>
              <w:rPr>
                <w:sz w:val="20"/>
                <w:szCs w:val="20"/>
                <w:color w:val="auto"/>
              </w:rPr>
            </w:pPr>
            <w:r>
              <w:rPr>
                <w:rFonts w:ascii="Arial" w:cs="Arial" w:eastAsia="Arial" w:hAnsi="Arial"/>
                <w:sz w:val="18"/>
                <w:szCs w:val="18"/>
                <w:b w:val="1"/>
                <w:bCs w:val="1"/>
                <w:color w:val="auto"/>
              </w:rPr>
              <w:t>Total</w:t>
            </w:r>
          </w:p>
        </w:tc>
      </w:tr>
      <w:tr>
        <w:trPr>
          <w:trHeight w:val="209"/>
        </w:trPr>
        <w:tc>
          <w:tcPr>
            <w:tcW w:w="2620" w:type="dxa"/>
            <w:vAlign w:val="bottom"/>
            <w:tcBorders>
              <w:top w:val="single" w:sz="8" w:color="D5EAEA"/>
            </w:tcBorders>
            <w:shd w:val="clear" w:color="auto" w:fill="D5EAEA"/>
          </w:tcPr>
          <w:p>
            <w:pPr>
              <w:spacing w:after="0"/>
              <w:rPr>
                <w:sz w:val="20"/>
                <w:szCs w:val="20"/>
                <w:color w:val="auto"/>
              </w:rPr>
            </w:pPr>
            <w:r>
              <w:rPr>
                <w:rFonts w:ascii="Arial" w:cs="Arial" w:eastAsia="Arial" w:hAnsi="Arial"/>
                <w:sz w:val="18"/>
                <w:szCs w:val="18"/>
                <w:b w:val="1"/>
                <w:bCs w:val="1"/>
                <w:color w:val="auto"/>
              </w:rPr>
              <w:t>Balance as of January 1, 2021</w:t>
            </w:r>
          </w:p>
        </w:tc>
        <w:tc>
          <w:tcPr>
            <w:tcW w:w="1380" w:type="dxa"/>
            <w:vAlign w:val="bottom"/>
            <w:tcBorders>
              <w:top w:val="single" w:sz="8" w:color="auto"/>
            </w:tcBorders>
            <w:shd w:val="clear" w:color="auto" w:fill="D5EAEA"/>
          </w:tcPr>
          <w:p>
            <w:pPr>
              <w:spacing w:after="0"/>
              <w:rPr>
                <w:sz w:val="18"/>
                <w:szCs w:val="18"/>
                <w:color w:val="auto"/>
              </w:rPr>
            </w:pPr>
          </w:p>
        </w:tc>
        <w:tc>
          <w:tcPr>
            <w:tcW w:w="120" w:type="dxa"/>
            <w:vAlign w:val="bottom"/>
            <w:tcBorders>
              <w:top w:val="single" w:sz="8" w:color="D5EAEA"/>
            </w:tcBorders>
            <w:shd w:val="clear" w:color="auto" w:fill="D5EAEA"/>
          </w:tcPr>
          <w:p>
            <w:pPr>
              <w:spacing w:after="0"/>
              <w:rPr>
                <w:sz w:val="18"/>
                <w:szCs w:val="18"/>
                <w:color w:val="auto"/>
              </w:rPr>
            </w:pPr>
          </w:p>
        </w:tc>
        <w:tc>
          <w:tcPr>
            <w:tcW w:w="1340" w:type="dxa"/>
            <w:vAlign w:val="bottom"/>
            <w:tcBorders>
              <w:top w:val="single" w:sz="8" w:color="auto"/>
              <w:bottom w:val="single" w:sz="8" w:color="auto"/>
            </w:tcBorders>
            <w:shd w:val="clear" w:color="auto" w:fill="D5EAEA"/>
          </w:tcPr>
          <w:p>
            <w:pPr>
              <w:jc w:val="right"/>
              <w:ind w:right="10"/>
              <w:spacing w:after="0"/>
              <w:rPr>
                <w:sz w:val="20"/>
                <w:szCs w:val="20"/>
                <w:color w:val="auto"/>
              </w:rPr>
            </w:pPr>
            <w:r>
              <w:rPr>
                <w:rFonts w:ascii="Arial" w:cs="Arial" w:eastAsia="Arial" w:hAnsi="Arial"/>
                <w:sz w:val="18"/>
                <w:szCs w:val="18"/>
                <w:color w:val="auto"/>
              </w:rPr>
              <w:t>1,538</w:t>
            </w:r>
          </w:p>
        </w:tc>
        <w:tc>
          <w:tcPr>
            <w:tcW w:w="100" w:type="dxa"/>
            <w:vAlign w:val="bottom"/>
            <w:tcBorders>
              <w:top w:val="single" w:sz="8" w:color="D5EAEA"/>
            </w:tcBorders>
            <w:shd w:val="clear" w:color="auto" w:fill="D5EAEA"/>
          </w:tcPr>
          <w:p>
            <w:pPr>
              <w:spacing w:after="0"/>
              <w:rPr>
                <w:sz w:val="18"/>
                <w:szCs w:val="18"/>
                <w:color w:val="auto"/>
              </w:rPr>
            </w:pPr>
          </w:p>
        </w:tc>
        <w:tc>
          <w:tcPr>
            <w:tcW w:w="1340" w:type="dxa"/>
            <w:vAlign w:val="bottom"/>
            <w:tcBorders>
              <w:top w:val="single" w:sz="8" w:color="auto"/>
              <w:bottom w:val="single" w:sz="8" w:color="auto"/>
            </w:tcBorders>
            <w:shd w:val="clear" w:color="auto" w:fill="D5EAEA"/>
          </w:tcPr>
          <w:p>
            <w:pPr>
              <w:jc w:val="right"/>
              <w:ind w:right="10"/>
              <w:spacing w:after="0"/>
              <w:rPr>
                <w:sz w:val="20"/>
                <w:szCs w:val="20"/>
                <w:color w:val="auto"/>
              </w:rPr>
            </w:pPr>
            <w:r>
              <w:rPr>
                <w:rFonts w:ascii="Arial" w:cs="Arial" w:eastAsia="Arial" w:hAnsi="Arial"/>
                <w:sz w:val="18"/>
                <w:szCs w:val="18"/>
                <w:color w:val="auto"/>
              </w:rPr>
              <w:t>346,890</w:t>
            </w:r>
          </w:p>
        </w:tc>
        <w:tc>
          <w:tcPr>
            <w:tcW w:w="120" w:type="dxa"/>
            <w:vAlign w:val="bottom"/>
            <w:tcBorders>
              <w:top w:val="single" w:sz="8" w:color="D5EAEA"/>
            </w:tcBorders>
            <w:shd w:val="clear" w:color="auto" w:fill="D5EAEA"/>
          </w:tcPr>
          <w:p>
            <w:pPr>
              <w:spacing w:after="0"/>
              <w:rPr>
                <w:sz w:val="18"/>
                <w:szCs w:val="18"/>
                <w:color w:val="auto"/>
              </w:rPr>
            </w:pPr>
          </w:p>
        </w:tc>
        <w:tc>
          <w:tcPr>
            <w:tcW w:w="1340" w:type="dxa"/>
            <w:vAlign w:val="bottom"/>
            <w:tcBorders>
              <w:top w:val="single" w:sz="8" w:color="auto"/>
              <w:bottom w:val="single" w:sz="8" w:color="auto"/>
            </w:tcBorders>
            <w:shd w:val="clear" w:color="auto" w:fill="D5EAEA"/>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Borders>
              <w:top w:val="single" w:sz="8" w:color="D5EAEA"/>
            </w:tcBorders>
            <w:shd w:val="clear" w:color="auto" w:fill="D5EAEA"/>
          </w:tcPr>
          <w:p>
            <w:pPr>
              <w:spacing w:after="0"/>
              <w:rPr>
                <w:sz w:val="18"/>
                <w:szCs w:val="18"/>
                <w:color w:val="auto"/>
              </w:rPr>
            </w:pPr>
          </w:p>
        </w:tc>
        <w:tc>
          <w:tcPr>
            <w:tcW w:w="1340" w:type="dxa"/>
            <w:vAlign w:val="bottom"/>
            <w:tcBorders>
              <w:top w:val="single" w:sz="8" w:color="auto"/>
              <w:bottom w:val="single" w:sz="8" w:color="auto"/>
            </w:tcBorders>
            <w:shd w:val="clear" w:color="auto" w:fill="D5EAEA"/>
          </w:tcPr>
          <w:p>
            <w:pPr>
              <w:jc w:val="right"/>
              <w:spacing w:after="0"/>
              <w:rPr>
                <w:sz w:val="20"/>
                <w:szCs w:val="20"/>
                <w:color w:val="auto"/>
              </w:rPr>
            </w:pPr>
            <w:r>
              <w:rPr>
                <w:rFonts w:ascii="Arial" w:cs="Arial" w:eastAsia="Arial" w:hAnsi="Arial"/>
                <w:sz w:val="18"/>
                <w:szCs w:val="18"/>
                <w:color w:val="auto"/>
              </w:rPr>
              <w:t>(132,850)</w:t>
            </w:r>
          </w:p>
        </w:tc>
        <w:tc>
          <w:tcPr>
            <w:tcW w:w="100" w:type="dxa"/>
            <w:vAlign w:val="bottom"/>
            <w:tcBorders>
              <w:top w:val="single" w:sz="8" w:color="D5EAEA"/>
            </w:tcBorders>
            <w:shd w:val="clear" w:color="auto" w:fill="D5EAEA"/>
          </w:tcPr>
          <w:p>
            <w:pPr>
              <w:spacing w:after="0"/>
              <w:rPr>
                <w:sz w:val="18"/>
                <w:szCs w:val="18"/>
                <w:color w:val="auto"/>
              </w:rPr>
            </w:pPr>
          </w:p>
        </w:tc>
        <w:tc>
          <w:tcPr>
            <w:tcW w:w="1340" w:type="dxa"/>
            <w:vAlign w:val="bottom"/>
            <w:tcBorders>
              <w:top w:val="single" w:sz="8" w:color="auto"/>
              <w:bottom w:val="single" w:sz="8" w:color="auto"/>
            </w:tcBorders>
            <w:shd w:val="clear" w:color="auto" w:fill="D5EAEA"/>
          </w:tcPr>
          <w:p>
            <w:pPr>
              <w:jc w:val="right"/>
              <w:ind w:right="10"/>
              <w:spacing w:after="0"/>
              <w:rPr>
                <w:sz w:val="20"/>
                <w:szCs w:val="20"/>
                <w:color w:val="auto"/>
              </w:rPr>
            </w:pPr>
            <w:r>
              <w:rPr>
                <w:rFonts w:ascii="Arial" w:cs="Arial" w:eastAsia="Arial" w:hAnsi="Arial"/>
                <w:sz w:val="18"/>
                <w:szCs w:val="18"/>
                <w:color w:val="auto"/>
              </w:rPr>
              <w:t>215,478</w:t>
            </w:r>
          </w:p>
        </w:tc>
      </w:tr>
      <w:tr>
        <w:trPr>
          <w:trHeight w:val="210"/>
        </w:trPr>
        <w:tc>
          <w:tcPr>
            <w:tcW w:w="2620" w:type="dxa"/>
            <w:vAlign w:val="bottom"/>
          </w:tcPr>
          <w:p>
            <w:pPr>
              <w:spacing w:after="0"/>
              <w:rPr>
                <w:sz w:val="20"/>
                <w:szCs w:val="20"/>
                <w:color w:val="auto"/>
              </w:rPr>
            </w:pPr>
            <w:r>
              <w:rPr>
                <w:rFonts w:ascii="Arial" w:cs="Arial" w:eastAsia="Arial" w:hAnsi="Arial"/>
                <w:sz w:val="18"/>
                <w:szCs w:val="18"/>
                <w:color w:val="auto"/>
              </w:rPr>
              <w:t>Net loss for the period</w:t>
            </w: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18"/>
                <w:szCs w:val="18"/>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18"/>
                <w:szCs w:val="18"/>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(51,720)</w:t>
            </w:r>
          </w:p>
        </w:tc>
        <w:tc>
          <w:tcPr>
            <w:tcW w:w="1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(51,720)</w:t>
            </w:r>
          </w:p>
        </w:tc>
      </w:tr>
      <w:tr>
        <w:trPr>
          <w:trHeight w:val="202"/>
        </w:trPr>
        <w:tc>
          <w:tcPr>
            <w:tcW w:w="2620" w:type="dxa"/>
            <w:vAlign w:val="bottom"/>
            <w:shd w:val="clear" w:color="auto" w:fill="D5EAEA"/>
          </w:tcPr>
          <w:p>
            <w:pPr>
              <w:spacing w:after="0" w:line="201" w:lineRule="exact"/>
              <w:rPr>
                <w:sz w:val="20"/>
                <w:szCs w:val="20"/>
                <w:color w:val="auto"/>
              </w:rPr>
            </w:pPr>
            <w:r>
              <w:rPr>
                <w:rFonts w:ascii="Arial" w:cs="Arial" w:eastAsia="Arial" w:hAnsi="Arial"/>
                <w:sz w:val="18"/>
                <w:szCs w:val="18"/>
                <w:color w:val="auto"/>
              </w:rPr>
              <w:t>Other comprehensive</w:t>
            </w:r>
          </w:p>
        </w:tc>
        <w:tc>
          <w:tcPr>
            <w:tcW w:w="1380" w:type="dxa"/>
            <w:vAlign w:val="bottom"/>
            <w:shd w:val="clear" w:color="auto" w:fill="D5EAEA"/>
          </w:tcPr>
          <w:p>
            <w:pPr>
              <w:spacing w:after="0"/>
              <w:rPr>
                <w:sz w:val="17"/>
                <w:szCs w:val="17"/>
                <w:color w:val="auto"/>
              </w:rPr>
            </w:pPr>
          </w:p>
        </w:tc>
        <w:tc>
          <w:tcPr>
            <w:tcW w:w="120" w:type="dxa"/>
            <w:vAlign w:val="bottom"/>
            <w:shd w:val="clear" w:color="auto" w:fill="D5EAEA"/>
          </w:tcPr>
          <w:p>
            <w:pPr>
              <w:spacing w:after="0"/>
              <w:rPr>
                <w:sz w:val="17"/>
                <w:szCs w:val="17"/>
                <w:color w:val="auto"/>
              </w:rPr>
            </w:pPr>
          </w:p>
        </w:tc>
        <w:tc>
          <w:tcPr>
            <w:tcW w:w="1340" w:type="dxa"/>
            <w:vAlign w:val="bottom"/>
            <w:shd w:val="clear" w:color="auto" w:fill="D5EAEA"/>
          </w:tcPr>
          <w:p>
            <w:pPr>
              <w:spacing w:after="0"/>
              <w:rPr>
                <w:sz w:val="17"/>
                <w:szCs w:val="17"/>
                <w:color w:val="auto"/>
              </w:rPr>
            </w:pPr>
          </w:p>
        </w:tc>
        <w:tc>
          <w:tcPr>
            <w:tcW w:w="100" w:type="dxa"/>
            <w:vAlign w:val="bottom"/>
            <w:shd w:val="clear" w:color="auto" w:fill="D5EAEA"/>
          </w:tcPr>
          <w:p>
            <w:pPr>
              <w:spacing w:after="0"/>
              <w:rPr>
                <w:sz w:val="17"/>
                <w:szCs w:val="17"/>
                <w:color w:val="auto"/>
              </w:rPr>
            </w:pPr>
          </w:p>
        </w:tc>
        <w:tc>
          <w:tcPr>
            <w:tcW w:w="1340" w:type="dxa"/>
            <w:vAlign w:val="bottom"/>
            <w:shd w:val="clear" w:color="auto" w:fill="D5EAEA"/>
          </w:tcPr>
          <w:p>
            <w:pPr>
              <w:spacing w:after="0"/>
              <w:rPr>
                <w:sz w:val="17"/>
                <w:szCs w:val="17"/>
                <w:color w:val="auto"/>
              </w:rPr>
            </w:pPr>
          </w:p>
        </w:tc>
        <w:tc>
          <w:tcPr>
            <w:tcW w:w="120" w:type="dxa"/>
            <w:vAlign w:val="bottom"/>
            <w:shd w:val="clear" w:color="auto" w:fill="D5EAEA"/>
          </w:tcPr>
          <w:p>
            <w:pPr>
              <w:spacing w:after="0"/>
              <w:rPr>
                <w:sz w:val="17"/>
                <w:szCs w:val="17"/>
                <w:color w:val="auto"/>
              </w:rPr>
            </w:pPr>
          </w:p>
        </w:tc>
        <w:tc>
          <w:tcPr>
            <w:tcW w:w="1340" w:type="dxa"/>
            <w:vAlign w:val="bottom"/>
            <w:shd w:val="clear" w:color="auto" w:fill="D5EAEA"/>
          </w:tcPr>
          <w:p>
            <w:pPr>
              <w:spacing w:after="0"/>
              <w:rPr>
                <w:sz w:val="17"/>
                <w:szCs w:val="17"/>
                <w:color w:val="auto"/>
              </w:rPr>
            </w:pPr>
          </w:p>
        </w:tc>
        <w:tc>
          <w:tcPr>
            <w:tcW w:w="100" w:type="dxa"/>
            <w:vAlign w:val="bottom"/>
            <w:shd w:val="clear" w:color="auto" w:fill="D5EAEA"/>
          </w:tcPr>
          <w:p>
            <w:pPr>
              <w:spacing w:after="0"/>
              <w:rPr>
                <w:sz w:val="17"/>
                <w:szCs w:val="17"/>
                <w:color w:val="auto"/>
              </w:rPr>
            </w:pPr>
          </w:p>
        </w:tc>
        <w:tc>
          <w:tcPr>
            <w:tcW w:w="1340" w:type="dxa"/>
            <w:vAlign w:val="bottom"/>
            <w:shd w:val="clear" w:color="auto" w:fill="D5EAEA"/>
          </w:tcPr>
          <w:p>
            <w:pPr>
              <w:spacing w:after="0"/>
              <w:rPr>
                <w:sz w:val="17"/>
                <w:szCs w:val="17"/>
                <w:color w:val="auto"/>
              </w:rPr>
            </w:pPr>
          </w:p>
        </w:tc>
        <w:tc>
          <w:tcPr>
            <w:tcW w:w="100" w:type="dxa"/>
            <w:vAlign w:val="bottom"/>
            <w:shd w:val="clear" w:color="auto" w:fill="D5EAEA"/>
          </w:tcPr>
          <w:p>
            <w:pPr>
              <w:spacing w:after="0"/>
              <w:rPr>
                <w:sz w:val="17"/>
                <w:szCs w:val="17"/>
                <w:color w:val="auto"/>
              </w:rPr>
            </w:pPr>
          </w:p>
        </w:tc>
        <w:tc>
          <w:tcPr>
            <w:tcW w:w="1340" w:type="dxa"/>
            <w:vAlign w:val="bottom"/>
            <w:shd w:val="clear" w:color="auto" w:fill="D5EAEA"/>
          </w:tcPr>
          <w:p>
            <w:pPr>
              <w:spacing w:after="0"/>
              <w:rPr>
                <w:sz w:val="17"/>
                <w:szCs w:val="17"/>
                <w:color w:val="auto"/>
              </w:rPr>
            </w:pPr>
          </w:p>
        </w:tc>
      </w:tr>
      <w:tr>
        <w:trPr>
          <w:trHeight w:val="244"/>
        </w:trPr>
        <w:tc>
          <w:tcPr>
            <w:tcW w:w="2620" w:type="dxa"/>
            <w:vAlign w:val="bottom"/>
            <w:shd w:val="clear" w:color="auto" w:fill="D5EAEA"/>
          </w:tcPr>
          <w:p>
            <w:pPr>
              <w:spacing w:after="0"/>
              <w:rPr>
                <w:sz w:val="20"/>
                <w:szCs w:val="20"/>
                <w:color w:val="auto"/>
              </w:rPr>
            </w:pPr>
            <w:r>
              <w:rPr>
                <w:rFonts w:ascii="Arial" w:cs="Arial" w:eastAsia="Arial" w:hAnsi="Arial"/>
                <w:sz w:val="18"/>
                <w:szCs w:val="18"/>
                <w:color w:val="auto"/>
              </w:rPr>
              <w:t>income/(loss)</w:t>
            </w:r>
          </w:p>
        </w:tc>
        <w:tc>
          <w:tcPr>
            <w:tcW w:w="1380" w:type="dxa"/>
            <w:vAlign w:val="bottom"/>
            <w:shd w:val="clear" w:color="auto" w:fill="D5EAEA"/>
          </w:tcPr>
          <w:p>
            <w:pPr>
              <w:spacing w:after="0"/>
              <w:rPr>
                <w:sz w:val="21"/>
                <w:szCs w:val="21"/>
                <w:color w:val="auto"/>
              </w:rPr>
            </w:pPr>
          </w:p>
        </w:tc>
        <w:tc>
          <w:tcPr>
            <w:tcW w:w="120" w:type="dxa"/>
            <w:vAlign w:val="bottom"/>
            <w:shd w:val="clear" w:color="auto" w:fill="D5EAEA"/>
          </w:tcPr>
          <w:p>
            <w:pPr>
              <w:spacing w:after="0"/>
              <w:rPr>
                <w:sz w:val="21"/>
                <w:szCs w:val="21"/>
                <w:color w:val="auto"/>
              </w:rPr>
            </w:pPr>
          </w:p>
        </w:tc>
        <w:tc>
          <w:tcPr>
            <w:tcW w:w="1440" w:type="dxa"/>
            <w:vAlign w:val="bottom"/>
            <w:gridSpan w:val="2"/>
            <w:shd w:val="clear" w:color="auto" w:fill="D5EAEA"/>
          </w:tcPr>
          <w:p>
            <w:pPr>
              <w:jc w:val="right"/>
              <w:ind w:right="200"/>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D5EAEA"/>
          </w:tcPr>
          <w:p>
            <w:pPr>
              <w:jc w:val="right"/>
              <w:ind w:right="220"/>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D5EAEA"/>
          </w:tcPr>
          <w:p>
            <w:pPr>
              <w:jc w:val="right"/>
              <w:ind w:right="220"/>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D5EAEA"/>
          </w:tcPr>
          <w:p>
            <w:pPr>
              <w:jc w:val="right"/>
              <w:ind w:right="220"/>
              <w:spacing w:after="0"/>
              <w:rPr>
                <w:sz w:val="20"/>
                <w:szCs w:val="20"/>
                <w:color w:val="auto"/>
              </w:rPr>
            </w:pPr>
            <w:r>
              <w:rPr>
                <w:rFonts w:ascii="Arial" w:cs="Arial" w:eastAsia="Arial" w:hAnsi="Arial"/>
                <w:sz w:val="18"/>
                <w:szCs w:val="18"/>
                <w:color w:val="auto"/>
              </w:rPr>
              <w:t>—</w:t>
            </w:r>
          </w:p>
        </w:tc>
        <w:tc>
          <w:tcPr>
            <w:tcW w:w="134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w:t>
            </w:r>
          </w:p>
        </w:tc>
      </w:tr>
      <w:tr>
        <w:trPr>
          <w:trHeight w:val="209"/>
        </w:trPr>
        <w:tc>
          <w:tcPr>
            <w:tcW w:w="2620" w:type="dxa"/>
            <w:vAlign w:val="bottom"/>
            <w:tcBorders>
              <w:bottom w:val="single" w:sz="8" w:color="D5EAEA"/>
            </w:tcBorders>
          </w:tcPr>
          <w:p>
            <w:pPr>
              <w:spacing w:after="0"/>
              <w:rPr>
                <w:sz w:val="20"/>
                <w:szCs w:val="20"/>
                <w:color w:val="auto"/>
              </w:rPr>
            </w:pPr>
            <w:r>
              <w:rPr>
                <w:rFonts w:ascii="Arial" w:cs="Arial" w:eastAsia="Arial" w:hAnsi="Arial"/>
                <w:sz w:val="18"/>
                <w:szCs w:val="18"/>
                <w:color w:val="auto"/>
              </w:rPr>
              <w:t>Total comprehensive loss</w:t>
            </w:r>
          </w:p>
        </w:tc>
        <w:tc>
          <w:tcPr>
            <w:tcW w:w="1380" w:type="dxa"/>
            <w:vAlign w:val="bottom"/>
            <w:tcBorders>
              <w:bottom w:val="single" w:sz="8" w:color="D5EAEA"/>
            </w:tcBorders>
          </w:tcPr>
          <w:p>
            <w:pPr>
              <w:spacing w:after="0"/>
              <w:rPr>
                <w:sz w:val="18"/>
                <w:szCs w:val="18"/>
                <w:color w:val="auto"/>
              </w:rPr>
            </w:pPr>
          </w:p>
        </w:tc>
        <w:tc>
          <w:tcPr>
            <w:tcW w:w="120" w:type="dxa"/>
            <w:vAlign w:val="bottom"/>
            <w:tcBorders>
              <w:bottom w:val="single" w:sz="8" w:color="D5EAEA"/>
            </w:tcBorders>
          </w:tcPr>
          <w:p>
            <w:pPr>
              <w:spacing w:after="0"/>
              <w:rPr>
                <w:sz w:val="18"/>
                <w:szCs w:val="18"/>
                <w:color w:val="auto"/>
              </w:rPr>
            </w:pPr>
          </w:p>
        </w:tc>
        <w:tc>
          <w:tcPr>
            <w:tcW w:w="13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D5EAEA"/>
            </w:tcBorders>
          </w:tcPr>
          <w:p>
            <w:pPr>
              <w:spacing w:after="0"/>
              <w:rPr>
                <w:sz w:val="18"/>
                <w:szCs w:val="18"/>
                <w:color w:val="auto"/>
              </w:rPr>
            </w:pPr>
          </w:p>
        </w:tc>
        <w:tc>
          <w:tcPr>
            <w:tcW w:w="13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D5EAEA"/>
            </w:tcBorders>
          </w:tcPr>
          <w:p>
            <w:pPr>
              <w:spacing w:after="0"/>
              <w:rPr>
                <w:sz w:val="18"/>
                <w:szCs w:val="18"/>
                <w:color w:val="auto"/>
              </w:rPr>
            </w:pPr>
          </w:p>
        </w:tc>
        <w:tc>
          <w:tcPr>
            <w:tcW w:w="13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D5EAEA"/>
            </w:tcBorders>
          </w:tcPr>
          <w:p>
            <w:pPr>
              <w:spacing w:after="0"/>
              <w:rPr>
                <w:sz w:val="18"/>
                <w:szCs w:val="18"/>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(51,720)</w:t>
            </w:r>
          </w:p>
        </w:tc>
        <w:tc>
          <w:tcPr>
            <w:tcW w:w="100" w:type="dxa"/>
            <w:vAlign w:val="bottom"/>
            <w:tcBorders>
              <w:bottom w:val="single" w:sz="8" w:color="D5EAEA"/>
            </w:tcBorders>
          </w:tcPr>
          <w:p>
            <w:pPr>
              <w:spacing w:after="0"/>
              <w:rPr>
                <w:sz w:val="18"/>
                <w:szCs w:val="18"/>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(51,720)</w:t>
            </w:r>
          </w:p>
        </w:tc>
      </w:tr>
      <w:tr>
        <w:trPr>
          <w:trHeight w:val="210"/>
        </w:trPr>
        <w:tc>
          <w:tcPr>
            <w:tcW w:w="2620" w:type="dxa"/>
            <w:vAlign w:val="bottom"/>
            <w:shd w:val="clear" w:color="auto" w:fill="D5EAEA"/>
          </w:tcPr>
          <w:p>
            <w:pPr>
              <w:spacing w:after="0"/>
              <w:rPr>
                <w:sz w:val="18"/>
                <w:szCs w:val="18"/>
                <w:color w:val="auto"/>
              </w:rPr>
            </w:pPr>
          </w:p>
        </w:tc>
        <w:tc>
          <w:tcPr>
            <w:tcW w:w="1380" w:type="dxa"/>
            <w:vAlign w:val="bottom"/>
            <w:shd w:val="clear" w:color="auto" w:fill="D5EAEA"/>
          </w:tcPr>
          <w:p>
            <w:pPr>
              <w:spacing w:after="0"/>
              <w:rPr>
                <w:sz w:val="18"/>
                <w:szCs w:val="18"/>
                <w:color w:val="auto"/>
              </w:rPr>
            </w:pPr>
          </w:p>
        </w:tc>
        <w:tc>
          <w:tcPr>
            <w:tcW w:w="120" w:type="dxa"/>
            <w:vAlign w:val="bottom"/>
            <w:shd w:val="clear" w:color="auto" w:fill="D5EAEA"/>
          </w:tcPr>
          <w:p>
            <w:pPr>
              <w:spacing w:after="0"/>
              <w:rPr>
                <w:sz w:val="18"/>
                <w:szCs w:val="18"/>
                <w:color w:val="auto"/>
              </w:rPr>
            </w:pPr>
          </w:p>
        </w:tc>
        <w:tc>
          <w:tcPr>
            <w:tcW w:w="1340" w:type="dxa"/>
            <w:vAlign w:val="bottom"/>
            <w:shd w:val="clear" w:color="auto" w:fill="D5EAEA"/>
          </w:tcPr>
          <w:p>
            <w:pPr>
              <w:spacing w:after="0"/>
              <w:rPr>
                <w:sz w:val="18"/>
                <w:szCs w:val="18"/>
                <w:color w:val="auto"/>
              </w:rPr>
            </w:pPr>
          </w:p>
        </w:tc>
        <w:tc>
          <w:tcPr>
            <w:tcW w:w="100" w:type="dxa"/>
            <w:vAlign w:val="bottom"/>
            <w:shd w:val="clear" w:color="auto" w:fill="D5EAEA"/>
          </w:tcPr>
          <w:p>
            <w:pPr>
              <w:spacing w:after="0"/>
              <w:rPr>
                <w:sz w:val="18"/>
                <w:szCs w:val="18"/>
                <w:color w:val="auto"/>
              </w:rPr>
            </w:pPr>
          </w:p>
        </w:tc>
        <w:tc>
          <w:tcPr>
            <w:tcW w:w="1340" w:type="dxa"/>
            <w:vAlign w:val="bottom"/>
            <w:shd w:val="clear" w:color="auto" w:fill="D5EAEA"/>
          </w:tcPr>
          <w:p>
            <w:pPr>
              <w:spacing w:after="0"/>
              <w:rPr>
                <w:sz w:val="18"/>
                <w:szCs w:val="18"/>
                <w:color w:val="auto"/>
              </w:rPr>
            </w:pPr>
          </w:p>
        </w:tc>
        <w:tc>
          <w:tcPr>
            <w:tcW w:w="120" w:type="dxa"/>
            <w:vAlign w:val="bottom"/>
            <w:shd w:val="clear" w:color="auto" w:fill="D5EAEA"/>
          </w:tcPr>
          <w:p>
            <w:pPr>
              <w:spacing w:after="0"/>
              <w:rPr>
                <w:sz w:val="18"/>
                <w:szCs w:val="18"/>
                <w:color w:val="auto"/>
              </w:rPr>
            </w:pPr>
          </w:p>
        </w:tc>
        <w:tc>
          <w:tcPr>
            <w:tcW w:w="1340" w:type="dxa"/>
            <w:vAlign w:val="bottom"/>
            <w:shd w:val="clear" w:color="auto" w:fill="D5EAEA"/>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shd w:val="clear" w:color="auto" w:fill="D5EAEA"/>
          </w:tcPr>
          <w:p>
            <w:pPr>
              <w:spacing w:after="0"/>
              <w:rPr>
                <w:sz w:val="18"/>
                <w:szCs w:val="18"/>
                <w:color w:val="auto"/>
              </w:rPr>
            </w:pPr>
          </w:p>
        </w:tc>
        <w:tc>
          <w:tcPr>
            <w:tcW w:w="1340" w:type="dxa"/>
            <w:vAlign w:val="bottom"/>
            <w:shd w:val="clear" w:color="auto" w:fill="D5EAEA"/>
          </w:tcPr>
          <w:p>
            <w:pPr>
              <w:spacing w:after="0"/>
              <w:rPr>
                <w:sz w:val="18"/>
                <w:szCs w:val="18"/>
                <w:color w:val="auto"/>
              </w:rPr>
            </w:pPr>
          </w:p>
        </w:tc>
        <w:tc>
          <w:tcPr>
            <w:tcW w:w="100" w:type="dxa"/>
            <w:vAlign w:val="bottom"/>
            <w:shd w:val="clear" w:color="auto" w:fill="D5EAEA"/>
          </w:tcPr>
          <w:p>
            <w:pPr>
              <w:spacing w:after="0"/>
              <w:rPr>
                <w:sz w:val="18"/>
                <w:szCs w:val="18"/>
                <w:color w:val="auto"/>
              </w:rPr>
            </w:pPr>
          </w:p>
        </w:tc>
        <w:tc>
          <w:tcPr>
            <w:tcW w:w="1340" w:type="dxa"/>
            <w:vAlign w:val="bottom"/>
            <w:shd w:val="clear" w:color="auto" w:fill="D5EAEA"/>
          </w:tcPr>
          <w:p>
            <w:pPr>
              <w:spacing w:after="0"/>
              <w:rPr>
                <w:sz w:val="18"/>
                <w:szCs w:val="18"/>
                <w:color w:val="auto"/>
              </w:rPr>
            </w:pPr>
          </w:p>
        </w:tc>
      </w:tr>
      <w:tr>
        <w:trPr>
          <w:trHeight w:val="216"/>
        </w:trPr>
        <w:tc>
          <w:tcPr>
            <w:tcW w:w="2620" w:type="dxa"/>
            <w:vAlign w:val="bottom"/>
          </w:tcPr>
          <w:p>
            <w:pPr>
              <w:spacing w:after="0"/>
              <w:rPr>
                <w:sz w:val="20"/>
                <w:szCs w:val="20"/>
                <w:color w:val="auto"/>
              </w:rPr>
            </w:pPr>
            <w:r>
              <w:rPr>
                <w:rFonts w:ascii="Arial" w:cs="Arial" w:eastAsia="Arial" w:hAnsi="Arial"/>
                <w:sz w:val="18"/>
                <w:szCs w:val="18"/>
                <w:color w:val="auto"/>
              </w:rPr>
              <w:t>Share-based payments</w:t>
            </w: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3,081</w:t>
            </w:r>
          </w:p>
        </w:tc>
        <w:tc>
          <w:tcPr>
            <w:tcW w:w="100" w:type="dxa"/>
            <w:vAlign w:val="bottom"/>
          </w:tcPr>
          <w:p>
            <w:pPr>
              <w:spacing w:after="0"/>
              <w:rPr>
                <w:sz w:val="18"/>
                <w:szCs w:val="18"/>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3,081</w:t>
            </w:r>
          </w:p>
        </w:tc>
      </w:tr>
      <w:tr>
        <w:trPr>
          <w:trHeight w:val="202"/>
        </w:trPr>
        <w:tc>
          <w:tcPr>
            <w:tcW w:w="2620" w:type="dxa"/>
            <w:vAlign w:val="bottom"/>
            <w:shd w:val="clear" w:color="auto" w:fill="D5EAEA"/>
          </w:tcPr>
          <w:p>
            <w:pPr>
              <w:spacing w:after="0" w:line="201" w:lineRule="exact"/>
              <w:rPr>
                <w:sz w:val="20"/>
                <w:szCs w:val="20"/>
                <w:color w:val="auto"/>
              </w:rPr>
            </w:pPr>
            <w:r>
              <w:rPr>
                <w:rFonts w:ascii="Arial" w:cs="Arial" w:eastAsia="Arial" w:hAnsi="Arial"/>
                <w:sz w:val="18"/>
                <w:szCs w:val="18"/>
                <w:color w:val="auto"/>
              </w:rPr>
              <w:t>Proceeds from sale of treasury</w:t>
            </w:r>
          </w:p>
        </w:tc>
        <w:tc>
          <w:tcPr>
            <w:tcW w:w="1380" w:type="dxa"/>
            <w:vAlign w:val="bottom"/>
            <w:shd w:val="clear" w:color="auto" w:fill="D5EAEA"/>
          </w:tcPr>
          <w:p>
            <w:pPr>
              <w:spacing w:after="0"/>
              <w:rPr>
                <w:sz w:val="17"/>
                <w:szCs w:val="17"/>
                <w:color w:val="auto"/>
              </w:rPr>
            </w:pPr>
          </w:p>
        </w:tc>
        <w:tc>
          <w:tcPr>
            <w:tcW w:w="120" w:type="dxa"/>
            <w:vAlign w:val="bottom"/>
            <w:shd w:val="clear" w:color="auto" w:fill="D5EAEA"/>
          </w:tcPr>
          <w:p>
            <w:pPr>
              <w:spacing w:after="0"/>
              <w:rPr>
                <w:sz w:val="17"/>
                <w:szCs w:val="17"/>
                <w:color w:val="auto"/>
              </w:rPr>
            </w:pPr>
          </w:p>
        </w:tc>
        <w:tc>
          <w:tcPr>
            <w:tcW w:w="1340" w:type="dxa"/>
            <w:vAlign w:val="bottom"/>
            <w:shd w:val="clear" w:color="auto" w:fill="D5EAEA"/>
          </w:tcPr>
          <w:p>
            <w:pPr>
              <w:spacing w:after="0"/>
              <w:rPr>
                <w:sz w:val="17"/>
                <w:szCs w:val="17"/>
                <w:color w:val="auto"/>
              </w:rPr>
            </w:pPr>
          </w:p>
        </w:tc>
        <w:tc>
          <w:tcPr>
            <w:tcW w:w="100" w:type="dxa"/>
            <w:vAlign w:val="bottom"/>
            <w:shd w:val="clear" w:color="auto" w:fill="D5EAEA"/>
          </w:tcPr>
          <w:p>
            <w:pPr>
              <w:spacing w:after="0"/>
              <w:rPr>
                <w:sz w:val="17"/>
                <w:szCs w:val="17"/>
                <w:color w:val="auto"/>
              </w:rPr>
            </w:pPr>
          </w:p>
        </w:tc>
        <w:tc>
          <w:tcPr>
            <w:tcW w:w="1340" w:type="dxa"/>
            <w:vAlign w:val="bottom"/>
            <w:shd w:val="clear" w:color="auto" w:fill="D5EAEA"/>
          </w:tcPr>
          <w:p>
            <w:pPr>
              <w:spacing w:after="0"/>
              <w:rPr>
                <w:sz w:val="17"/>
                <w:szCs w:val="17"/>
                <w:color w:val="auto"/>
              </w:rPr>
            </w:pPr>
          </w:p>
        </w:tc>
        <w:tc>
          <w:tcPr>
            <w:tcW w:w="120" w:type="dxa"/>
            <w:vAlign w:val="bottom"/>
            <w:shd w:val="clear" w:color="auto" w:fill="D5EAEA"/>
          </w:tcPr>
          <w:p>
            <w:pPr>
              <w:spacing w:after="0"/>
              <w:rPr>
                <w:sz w:val="17"/>
                <w:szCs w:val="17"/>
                <w:color w:val="auto"/>
              </w:rPr>
            </w:pPr>
          </w:p>
        </w:tc>
        <w:tc>
          <w:tcPr>
            <w:tcW w:w="1340" w:type="dxa"/>
            <w:vAlign w:val="bottom"/>
            <w:shd w:val="clear" w:color="auto" w:fill="D5EAEA"/>
          </w:tcPr>
          <w:p>
            <w:pPr>
              <w:spacing w:after="0"/>
              <w:rPr>
                <w:sz w:val="17"/>
                <w:szCs w:val="17"/>
                <w:color w:val="auto"/>
              </w:rPr>
            </w:pPr>
          </w:p>
        </w:tc>
        <w:tc>
          <w:tcPr>
            <w:tcW w:w="100" w:type="dxa"/>
            <w:vAlign w:val="bottom"/>
            <w:shd w:val="clear" w:color="auto" w:fill="D5EAEA"/>
          </w:tcPr>
          <w:p>
            <w:pPr>
              <w:spacing w:after="0"/>
              <w:rPr>
                <w:sz w:val="17"/>
                <w:szCs w:val="17"/>
                <w:color w:val="auto"/>
              </w:rPr>
            </w:pPr>
          </w:p>
        </w:tc>
        <w:tc>
          <w:tcPr>
            <w:tcW w:w="1340" w:type="dxa"/>
            <w:vAlign w:val="bottom"/>
            <w:shd w:val="clear" w:color="auto" w:fill="D5EAEA"/>
          </w:tcPr>
          <w:p>
            <w:pPr>
              <w:spacing w:after="0"/>
              <w:rPr>
                <w:sz w:val="17"/>
                <w:szCs w:val="17"/>
                <w:color w:val="auto"/>
              </w:rPr>
            </w:pPr>
          </w:p>
        </w:tc>
        <w:tc>
          <w:tcPr>
            <w:tcW w:w="100" w:type="dxa"/>
            <w:vAlign w:val="bottom"/>
            <w:shd w:val="clear" w:color="auto" w:fill="D5EAEA"/>
          </w:tcPr>
          <w:p>
            <w:pPr>
              <w:spacing w:after="0"/>
              <w:rPr>
                <w:sz w:val="17"/>
                <w:szCs w:val="17"/>
                <w:color w:val="auto"/>
              </w:rPr>
            </w:pPr>
          </w:p>
        </w:tc>
        <w:tc>
          <w:tcPr>
            <w:tcW w:w="1340" w:type="dxa"/>
            <w:vAlign w:val="bottom"/>
            <w:shd w:val="clear" w:color="auto" w:fill="D5EAEA"/>
          </w:tcPr>
          <w:p>
            <w:pPr>
              <w:spacing w:after="0"/>
              <w:rPr>
                <w:sz w:val="17"/>
                <w:szCs w:val="17"/>
                <w:color w:val="auto"/>
              </w:rPr>
            </w:pPr>
          </w:p>
        </w:tc>
      </w:tr>
      <w:tr>
        <w:trPr>
          <w:trHeight w:val="216"/>
        </w:trPr>
        <w:tc>
          <w:tcPr>
            <w:tcW w:w="2620" w:type="dxa"/>
            <w:vAlign w:val="bottom"/>
            <w:shd w:val="clear" w:color="auto" w:fill="D5EAEA"/>
          </w:tcPr>
          <w:p>
            <w:pPr>
              <w:spacing w:after="0"/>
              <w:rPr>
                <w:sz w:val="20"/>
                <w:szCs w:val="20"/>
                <w:color w:val="auto"/>
              </w:rPr>
            </w:pPr>
            <w:r>
              <w:rPr>
                <w:rFonts w:ascii="Arial" w:cs="Arial" w:eastAsia="Arial" w:hAnsi="Arial"/>
                <w:sz w:val="18"/>
                <w:szCs w:val="18"/>
                <w:color w:val="auto"/>
              </w:rPr>
              <w:t>shares in public offerings, net of</w:t>
            </w:r>
          </w:p>
        </w:tc>
        <w:tc>
          <w:tcPr>
            <w:tcW w:w="1380" w:type="dxa"/>
            <w:vAlign w:val="bottom"/>
            <w:shd w:val="clear" w:color="auto" w:fill="D5EAEA"/>
          </w:tcPr>
          <w:p>
            <w:pPr>
              <w:spacing w:after="0"/>
              <w:rPr>
                <w:sz w:val="18"/>
                <w:szCs w:val="18"/>
                <w:color w:val="auto"/>
              </w:rPr>
            </w:pPr>
          </w:p>
        </w:tc>
        <w:tc>
          <w:tcPr>
            <w:tcW w:w="120" w:type="dxa"/>
            <w:vAlign w:val="bottom"/>
            <w:shd w:val="clear" w:color="auto" w:fill="D5EAEA"/>
          </w:tcPr>
          <w:p>
            <w:pPr>
              <w:spacing w:after="0"/>
              <w:rPr>
                <w:sz w:val="18"/>
                <w:szCs w:val="18"/>
                <w:color w:val="auto"/>
              </w:rPr>
            </w:pPr>
          </w:p>
        </w:tc>
        <w:tc>
          <w:tcPr>
            <w:tcW w:w="1340" w:type="dxa"/>
            <w:vAlign w:val="bottom"/>
            <w:shd w:val="clear" w:color="auto" w:fill="D5EAEA"/>
          </w:tcPr>
          <w:p>
            <w:pPr>
              <w:spacing w:after="0"/>
              <w:rPr>
                <w:sz w:val="18"/>
                <w:szCs w:val="18"/>
                <w:color w:val="auto"/>
              </w:rPr>
            </w:pPr>
          </w:p>
        </w:tc>
        <w:tc>
          <w:tcPr>
            <w:tcW w:w="100" w:type="dxa"/>
            <w:vAlign w:val="bottom"/>
            <w:shd w:val="clear" w:color="auto" w:fill="D5EAEA"/>
          </w:tcPr>
          <w:p>
            <w:pPr>
              <w:spacing w:after="0"/>
              <w:rPr>
                <w:sz w:val="18"/>
                <w:szCs w:val="18"/>
                <w:color w:val="auto"/>
              </w:rPr>
            </w:pPr>
          </w:p>
        </w:tc>
        <w:tc>
          <w:tcPr>
            <w:tcW w:w="1340" w:type="dxa"/>
            <w:vAlign w:val="bottom"/>
            <w:shd w:val="clear" w:color="auto" w:fill="D5EAEA"/>
          </w:tcPr>
          <w:p>
            <w:pPr>
              <w:spacing w:after="0"/>
              <w:rPr>
                <w:sz w:val="18"/>
                <w:szCs w:val="18"/>
                <w:color w:val="auto"/>
              </w:rPr>
            </w:pPr>
          </w:p>
        </w:tc>
        <w:tc>
          <w:tcPr>
            <w:tcW w:w="120" w:type="dxa"/>
            <w:vAlign w:val="bottom"/>
            <w:shd w:val="clear" w:color="auto" w:fill="D5EAEA"/>
          </w:tcPr>
          <w:p>
            <w:pPr>
              <w:spacing w:after="0"/>
              <w:rPr>
                <w:sz w:val="18"/>
                <w:szCs w:val="18"/>
                <w:color w:val="auto"/>
              </w:rPr>
            </w:pPr>
          </w:p>
        </w:tc>
        <w:tc>
          <w:tcPr>
            <w:tcW w:w="1340" w:type="dxa"/>
            <w:vAlign w:val="bottom"/>
            <w:shd w:val="clear" w:color="auto" w:fill="D5EAEA"/>
          </w:tcPr>
          <w:p>
            <w:pPr>
              <w:spacing w:after="0"/>
              <w:rPr>
                <w:sz w:val="18"/>
                <w:szCs w:val="18"/>
                <w:color w:val="auto"/>
              </w:rPr>
            </w:pPr>
          </w:p>
        </w:tc>
        <w:tc>
          <w:tcPr>
            <w:tcW w:w="100" w:type="dxa"/>
            <w:vAlign w:val="bottom"/>
            <w:shd w:val="clear" w:color="auto" w:fill="D5EAEA"/>
          </w:tcPr>
          <w:p>
            <w:pPr>
              <w:spacing w:after="0"/>
              <w:rPr>
                <w:sz w:val="18"/>
                <w:szCs w:val="18"/>
                <w:color w:val="auto"/>
              </w:rPr>
            </w:pPr>
          </w:p>
        </w:tc>
        <w:tc>
          <w:tcPr>
            <w:tcW w:w="1340" w:type="dxa"/>
            <w:vAlign w:val="bottom"/>
            <w:shd w:val="clear" w:color="auto" w:fill="D5EAEA"/>
          </w:tcPr>
          <w:p>
            <w:pPr>
              <w:spacing w:after="0"/>
              <w:rPr>
                <w:sz w:val="18"/>
                <w:szCs w:val="18"/>
                <w:color w:val="auto"/>
              </w:rPr>
            </w:pPr>
          </w:p>
        </w:tc>
        <w:tc>
          <w:tcPr>
            <w:tcW w:w="100" w:type="dxa"/>
            <w:vAlign w:val="bottom"/>
            <w:shd w:val="clear" w:color="auto" w:fill="D5EAEA"/>
          </w:tcPr>
          <w:p>
            <w:pPr>
              <w:spacing w:after="0"/>
              <w:rPr>
                <w:sz w:val="18"/>
                <w:szCs w:val="18"/>
                <w:color w:val="auto"/>
              </w:rPr>
            </w:pPr>
          </w:p>
        </w:tc>
        <w:tc>
          <w:tcPr>
            <w:tcW w:w="1340" w:type="dxa"/>
            <w:vAlign w:val="bottom"/>
            <w:shd w:val="clear" w:color="auto" w:fill="D5EAEA"/>
          </w:tcPr>
          <w:p>
            <w:pPr>
              <w:spacing w:after="0"/>
              <w:rPr>
                <w:sz w:val="18"/>
                <w:szCs w:val="18"/>
                <w:color w:val="auto"/>
              </w:rPr>
            </w:pPr>
          </w:p>
        </w:tc>
      </w:tr>
      <w:tr>
        <w:trPr>
          <w:trHeight w:val="216"/>
        </w:trPr>
        <w:tc>
          <w:tcPr>
            <w:tcW w:w="2620" w:type="dxa"/>
            <w:vAlign w:val="bottom"/>
            <w:shd w:val="clear" w:color="auto" w:fill="D5EAEA"/>
          </w:tcPr>
          <w:p>
            <w:pPr>
              <w:spacing w:after="0"/>
              <w:rPr>
                <w:sz w:val="20"/>
                <w:szCs w:val="20"/>
                <w:color w:val="auto"/>
              </w:rPr>
            </w:pPr>
            <w:r>
              <w:rPr>
                <w:rFonts w:ascii="Arial" w:cs="Arial" w:eastAsia="Arial" w:hAnsi="Arial"/>
                <w:sz w:val="18"/>
                <w:szCs w:val="18"/>
                <w:color w:val="auto"/>
                <w:w w:val="98"/>
              </w:rPr>
              <w:t>underwriting fees and transaction</w:t>
            </w:r>
          </w:p>
        </w:tc>
        <w:tc>
          <w:tcPr>
            <w:tcW w:w="1380" w:type="dxa"/>
            <w:vAlign w:val="bottom"/>
            <w:shd w:val="clear" w:color="auto" w:fill="D5EAEA"/>
          </w:tcPr>
          <w:p>
            <w:pPr>
              <w:spacing w:after="0"/>
              <w:rPr>
                <w:sz w:val="18"/>
                <w:szCs w:val="18"/>
                <w:color w:val="auto"/>
              </w:rPr>
            </w:pPr>
          </w:p>
        </w:tc>
        <w:tc>
          <w:tcPr>
            <w:tcW w:w="120" w:type="dxa"/>
            <w:vAlign w:val="bottom"/>
            <w:shd w:val="clear" w:color="auto" w:fill="D5EAEA"/>
          </w:tcPr>
          <w:p>
            <w:pPr>
              <w:spacing w:after="0"/>
              <w:rPr>
                <w:sz w:val="18"/>
                <w:szCs w:val="18"/>
                <w:color w:val="auto"/>
              </w:rPr>
            </w:pPr>
          </w:p>
        </w:tc>
        <w:tc>
          <w:tcPr>
            <w:tcW w:w="1340" w:type="dxa"/>
            <w:vAlign w:val="bottom"/>
            <w:shd w:val="clear" w:color="auto" w:fill="D5EAEA"/>
          </w:tcPr>
          <w:p>
            <w:pPr>
              <w:spacing w:after="0"/>
              <w:rPr>
                <w:sz w:val="18"/>
                <w:szCs w:val="18"/>
                <w:color w:val="auto"/>
              </w:rPr>
            </w:pPr>
          </w:p>
        </w:tc>
        <w:tc>
          <w:tcPr>
            <w:tcW w:w="100" w:type="dxa"/>
            <w:vAlign w:val="bottom"/>
            <w:shd w:val="clear" w:color="auto" w:fill="D5EAEA"/>
          </w:tcPr>
          <w:p>
            <w:pPr>
              <w:spacing w:after="0"/>
              <w:rPr>
                <w:sz w:val="18"/>
                <w:szCs w:val="18"/>
                <w:color w:val="auto"/>
              </w:rPr>
            </w:pPr>
          </w:p>
        </w:tc>
        <w:tc>
          <w:tcPr>
            <w:tcW w:w="1340" w:type="dxa"/>
            <w:vAlign w:val="bottom"/>
            <w:shd w:val="clear" w:color="auto" w:fill="D5EAEA"/>
          </w:tcPr>
          <w:p>
            <w:pPr>
              <w:spacing w:after="0"/>
              <w:rPr>
                <w:sz w:val="18"/>
                <w:szCs w:val="18"/>
                <w:color w:val="auto"/>
              </w:rPr>
            </w:pPr>
          </w:p>
        </w:tc>
        <w:tc>
          <w:tcPr>
            <w:tcW w:w="120" w:type="dxa"/>
            <w:vAlign w:val="bottom"/>
            <w:shd w:val="clear" w:color="auto" w:fill="D5EAEA"/>
          </w:tcPr>
          <w:p>
            <w:pPr>
              <w:spacing w:after="0"/>
              <w:rPr>
                <w:sz w:val="18"/>
                <w:szCs w:val="18"/>
                <w:color w:val="auto"/>
              </w:rPr>
            </w:pPr>
          </w:p>
        </w:tc>
        <w:tc>
          <w:tcPr>
            <w:tcW w:w="1340" w:type="dxa"/>
            <w:vAlign w:val="bottom"/>
            <w:shd w:val="clear" w:color="auto" w:fill="D5EAEA"/>
          </w:tcPr>
          <w:p>
            <w:pPr>
              <w:spacing w:after="0"/>
              <w:rPr>
                <w:sz w:val="18"/>
                <w:szCs w:val="18"/>
                <w:color w:val="auto"/>
              </w:rPr>
            </w:pPr>
          </w:p>
        </w:tc>
        <w:tc>
          <w:tcPr>
            <w:tcW w:w="100" w:type="dxa"/>
            <w:vAlign w:val="bottom"/>
            <w:shd w:val="clear" w:color="auto" w:fill="D5EAEA"/>
          </w:tcPr>
          <w:p>
            <w:pPr>
              <w:spacing w:after="0"/>
              <w:rPr>
                <w:sz w:val="18"/>
                <w:szCs w:val="18"/>
                <w:color w:val="auto"/>
              </w:rPr>
            </w:pPr>
          </w:p>
        </w:tc>
        <w:tc>
          <w:tcPr>
            <w:tcW w:w="1340" w:type="dxa"/>
            <w:vAlign w:val="bottom"/>
            <w:shd w:val="clear" w:color="auto" w:fill="D5EAEA"/>
          </w:tcPr>
          <w:p>
            <w:pPr>
              <w:spacing w:after="0"/>
              <w:rPr>
                <w:sz w:val="18"/>
                <w:szCs w:val="18"/>
                <w:color w:val="auto"/>
              </w:rPr>
            </w:pPr>
          </w:p>
        </w:tc>
        <w:tc>
          <w:tcPr>
            <w:tcW w:w="100" w:type="dxa"/>
            <w:vAlign w:val="bottom"/>
            <w:shd w:val="clear" w:color="auto" w:fill="D5EAEA"/>
          </w:tcPr>
          <w:p>
            <w:pPr>
              <w:spacing w:after="0"/>
              <w:rPr>
                <w:sz w:val="18"/>
                <w:szCs w:val="18"/>
                <w:color w:val="auto"/>
              </w:rPr>
            </w:pPr>
          </w:p>
        </w:tc>
        <w:tc>
          <w:tcPr>
            <w:tcW w:w="1340" w:type="dxa"/>
            <w:vAlign w:val="bottom"/>
            <w:shd w:val="clear" w:color="auto" w:fill="D5EAEA"/>
          </w:tcPr>
          <w:p>
            <w:pPr>
              <w:spacing w:after="0"/>
              <w:rPr>
                <w:sz w:val="18"/>
                <w:szCs w:val="18"/>
                <w:color w:val="auto"/>
              </w:rPr>
            </w:pPr>
          </w:p>
        </w:tc>
      </w:tr>
      <w:tr>
        <w:trPr>
          <w:trHeight w:val="230"/>
        </w:trPr>
        <w:tc>
          <w:tcPr>
            <w:tcW w:w="2620" w:type="dxa"/>
            <w:vAlign w:val="bottom"/>
            <w:shd w:val="clear" w:color="auto" w:fill="D5EAEA"/>
          </w:tcPr>
          <w:p>
            <w:pPr>
              <w:spacing w:after="0"/>
              <w:rPr>
                <w:sz w:val="20"/>
                <w:szCs w:val="20"/>
                <w:color w:val="auto"/>
              </w:rPr>
            </w:pPr>
            <w:r>
              <w:rPr>
                <w:rFonts w:ascii="Arial" w:cs="Arial" w:eastAsia="Arial" w:hAnsi="Arial"/>
                <w:sz w:val="18"/>
                <w:szCs w:val="18"/>
                <w:color w:val="auto"/>
              </w:rPr>
              <w:t>costs</w:t>
            </w:r>
          </w:p>
        </w:tc>
        <w:tc>
          <w:tcPr>
            <w:tcW w:w="1380" w:type="dxa"/>
            <w:vAlign w:val="bottom"/>
            <w:shd w:val="clear" w:color="auto" w:fill="D5EAEA"/>
          </w:tcPr>
          <w:p>
            <w:pPr>
              <w:jc w:val="center"/>
              <w:spacing w:after="0"/>
              <w:rPr>
                <w:sz w:val="20"/>
                <w:szCs w:val="20"/>
                <w:color w:val="auto"/>
              </w:rPr>
            </w:pPr>
            <w:r>
              <w:rPr>
                <w:rFonts w:ascii="Arial" w:cs="Arial" w:eastAsia="Arial" w:hAnsi="Arial"/>
                <w:sz w:val="18"/>
                <w:szCs w:val="18"/>
                <w:color w:val="auto"/>
                <w:w w:val="89"/>
              </w:rPr>
              <w:t>10</w:t>
            </w:r>
          </w:p>
        </w:tc>
        <w:tc>
          <w:tcPr>
            <w:tcW w:w="120" w:type="dxa"/>
            <w:vAlign w:val="bottom"/>
            <w:shd w:val="clear" w:color="auto" w:fill="D5EAEA"/>
          </w:tcPr>
          <w:p>
            <w:pPr>
              <w:spacing w:after="0"/>
              <w:rPr>
                <w:sz w:val="20"/>
                <w:szCs w:val="20"/>
                <w:color w:val="auto"/>
              </w:rPr>
            </w:pPr>
          </w:p>
        </w:tc>
        <w:tc>
          <w:tcPr>
            <w:tcW w:w="1440" w:type="dxa"/>
            <w:vAlign w:val="bottom"/>
            <w:gridSpan w:val="2"/>
            <w:shd w:val="clear" w:color="auto" w:fill="D5EAEA"/>
          </w:tcPr>
          <w:p>
            <w:pPr>
              <w:jc w:val="right"/>
              <w:ind w:right="200"/>
              <w:spacing w:after="0"/>
              <w:rPr>
                <w:sz w:val="20"/>
                <w:szCs w:val="20"/>
                <w:color w:val="auto"/>
              </w:rPr>
            </w:pPr>
            <w:r>
              <w:rPr>
                <w:rFonts w:ascii="Arial" w:cs="Arial" w:eastAsia="Arial" w:hAnsi="Arial"/>
                <w:sz w:val="18"/>
                <w:szCs w:val="18"/>
                <w:color w:val="auto"/>
              </w:rPr>
              <w:t>—</w:t>
            </w:r>
          </w:p>
        </w:tc>
        <w:tc>
          <w:tcPr>
            <w:tcW w:w="134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12,097</w:t>
            </w:r>
          </w:p>
        </w:tc>
        <w:tc>
          <w:tcPr>
            <w:tcW w:w="120" w:type="dxa"/>
            <w:vAlign w:val="bottom"/>
            <w:shd w:val="clear" w:color="auto" w:fill="D5EAEA"/>
          </w:tcPr>
          <w:p>
            <w:pPr>
              <w:spacing w:after="0"/>
              <w:rPr>
                <w:sz w:val="20"/>
                <w:szCs w:val="20"/>
                <w:color w:val="auto"/>
              </w:rPr>
            </w:pPr>
          </w:p>
        </w:tc>
        <w:tc>
          <w:tcPr>
            <w:tcW w:w="1340" w:type="dxa"/>
            <w:vAlign w:val="bottom"/>
            <w:shd w:val="clear" w:color="auto" w:fill="D5EAEA"/>
          </w:tcPr>
          <w:p>
            <w:pPr>
              <w:jc w:val="right"/>
              <w:ind w:right="30"/>
              <w:spacing w:after="0"/>
              <w:rPr>
                <w:sz w:val="20"/>
                <w:szCs w:val="20"/>
                <w:color w:val="auto"/>
              </w:rPr>
            </w:pPr>
            <w:r>
              <w:rPr>
                <w:rFonts w:ascii="Arial" w:cs="Arial" w:eastAsia="Arial" w:hAnsi="Arial"/>
                <w:sz w:val="18"/>
                <w:szCs w:val="18"/>
                <w:color w:val="auto"/>
              </w:rPr>
              <w:t>24</w:t>
            </w:r>
          </w:p>
        </w:tc>
        <w:tc>
          <w:tcPr>
            <w:tcW w:w="100" w:type="dxa"/>
            <w:vAlign w:val="bottom"/>
            <w:shd w:val="clear" w:color="auto" w:fill="D5EAEA"/>
          </w:tcPr>
          <w:p>
            <w:pPr>
              <w:spacing w:after="0"/>
              <w:rPr>
                <w:sz w:val="20"/>
                <w:szCs w:val="20"/>
                <w:color w:val="auto"/>
              </w:rPr>
            </w:pPr>
          </w:p>
        </w:tc>
        <w:tc>
          <w:tcPr>
            <w:tcW w:w="1440" w:type="dxa"/>
            <w:vAlign w:val="bottom"/>
            <w:gridSpan w:val="2"/>
            <w:shd w:val="clear" w:color="auto" w:fill="D5EAEA"/>
          </w:tcPr>
          <w:p>
            <w:pPr>
              <w:jc w:val="right"/>
              <w:ind w:right="220"/>
              <w:spacing w:after="0"/>
              <w:rPr>
                <w:sz w:val="20"/>
                <w:szCs w:val="20"/>
                <w:color w:val="auto"/>
              </w:rPr>
            </w:pPr>
            <w:r>
              <w:rPr>
                <w:rFonts w:ascii="Arial" w:cs="Arial" w:eastAsia="Arial" w:hAnsi="Arial"/>
                <w:sz w:val="18"/>
                <w:szCs w:val="18"/>
                <w:color w:val="auto"/>
              </w:rPr>
              <w:t>—</w:t>
            </w:r>
          </w:p>
        </w:tc>
        <w:tc>
          <w:tcPr>
            <w:tcW w:w="134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12,121</w:t>
            </w:r>
          </w:p>
        </w:tc>
      </w:tr>
      <w:tr>
        <w:trPr>
          <w:trHeight w:val="202"/>
        </w:trPr>
        <w:tc>
          <w:tcPr>
            <w:tcW w:w="2620" w:type="dxa"/>
            <w:vAlign w:val="bottom"/>
          </w:tcPr>
          <w:p>
            <w:pPr>
              <w:spacing w:after="0" w:line="201" w:lineRule="exact"/>
              <w:rPr>
                <w:sz w:val="20"/>
                <w:szCs w:val="20"/>
                <w:color w:val="auto"/>
              </w:rPr>
            </w:pPr>
            <w:r>
              <w:rPr>
                <w:rFonts w:ascii="Arial" w:cs="Arial" w:eastAsia="Arial" w:hAnsi="Arial"/>
                <w:sz w:val="18"/>
                <w:szCs w:val="18"/>
                <w:color w:val="auto"/>
              </w:rPr>
              <w:t>Issuance of shares, net of</w:t>
            </w: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tcPr>
          <w:p>
            <w:pPr>
              <w:spacing w:after="0"/>
              <w:rPr>
                <w:sz w:val="17"/>
                <w:szCs w:val="17"/>
                <w:color w:val="auto"/>
              </w:rPr>
            </w:pPr>
          </w:p>
        </w:tc>
      </w:tr>
      <w:tr>
        <w:trPr>
          <w:trHeight w:val="230"/>
        </w:trPr>
        <w:tc>
          <w:tcPr>
            <w:tcW w:w="2620" w:type="dxa"/>
            <w:vAlign w:val="bottom"/>
          </w:tcPr>
          <w:p>
            <w:pPr>
              <w:spacing w:after="0"/>
              <w:rPr>
                <w:sz w:val="20"/>
                <w:szCs w:val="20"/>
                <w:color w:val="auto"/>
              </w:rPr>
            </w:pPr>
            <w:r>
              <w:rPr>
                <w:rFonts w:ascii="Arial" w:cs="Arial" w:eastAsia="Arial" w:hAnsi="Arial"/>
                <w:sz w:val="18"/>
                <w:szCs w:val="18"/>
                <w:color w:val="auto"/>
              </w:rPr>
              <w:t>transaction costs:</w:t>
            </w:r>
          </w:p>
        </w:tc>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tcPr>
          <w:p>
            <w:pPr>
              <w:spacing w:after="0"/>
              <w:rPr>
                <w:sz w:val="20"/>
                <w:szCs w:val="20"/>
                <w:color w:val="auto"/>
              </w:rPr>
            </w:pPr>
          </w:p>
        </w:tc>
      </w:tr>
      <w:tr>
        <w:trPr>
          <w:trHeight w:val="216"/>
        </w:trPr>
        <w:tc>
          <w:tcPr>
            <w:tcW w:w="2620" w:type="dxa"/>
            <w:vAlign w:val="bottom"/>
            <w:shd w:val="clear" w:color="auto" w:fill="D5EAEA"/>
          </w:tcPr>
          <w:p>
            <w:pPr>
              <w:ind w:left="140"/>
              <w:spacing w:after="0"/>
              <w:rPr>
                <w:sz w:val="20"/>
                <w:szCs w:val="20"/>
                <w:color w:val="auto"/>
              </w:rPr>
            </w:pPr>
            <w:r>
              <w:rPr>
                <w:rFonts w:ascii="Arial" w:cs="Arial" w:eastAsia="Arial" w:hAnsi="Arial"/>
                <w:sz w:val="18"/>
                <w:szCs w:val="18"/>
                <w:color w:val="auto"/>
              </w:rPr>
              <w:t>held as treasury shares</w:t>
            </w:r>
          </w:p>
        </w:tc>
        <w:tc>
          <w:tcPr>
            <w:tcW w:w="1380" w:type="dxa"/>
            <w:vAlign w:val="bottom"/>
            <w:shd w:val="clear" w:color="auto" w:fill="D5EAEA"/>
          </w:tcPr>
          <w:p>
            <w:pPr>
              <w:jc w:val="center"/>
              <w:spacing w:after="0"/>
              <w:rPr>
                <w:sz w:val="20"/>
                <w:szCs w:val="20"/>
                <w:color w:val="auto"/>
              </w:rPr>
            </w:pPr>
            <w:r>
              <w:rPr>
                <w:rFonts w:ascii="Arial" w:cs="Arial" w:eastAsia="Arial" w:hAnsi="Arial"/>
                <w:sz w:val="18"/>
                <w:szCs w:val="18"/>
                <w:color w:val="auto"/>
                <w:w w:val="89"/>
              </w:rPr>
              <w:t>10</w:t>
            </w:r>
          </w:p>
        </w:tc>
        <w:tc>
          <w:tcPr>
            <w:tcW w:w="120" w:type="dxa"/>
            <w:vAlign w:val="bottom"/>
            <w:shd w:val="clear" w:color="auto" w:fill="D5EAEA"/>
          </w:tcPr>
          <w:p>
            <w:pPr>
              <w:spacing w:after="0"/>
              <w:rPr>
                <w:sz w:val="18"/>
                <w:szCs w:val="18"/>
                <w:color w:val="auto"/>
              </w:rPr>
            </w:pPr>
          </w:p>
        </w:tc>
        <w:tc>
          <w:tcPr>
            <w:tcW w:w="134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48</w:t>
            </w:r>
          </w:p>
        </w:tc>
        <w:tc>
          <w:tcPr>
            <w:tcW w:w="100" w:type="dxa"/>
            <w:vAlign w:val="bottom"/>
            <w:shd w:val="clear" w:color="auto" w:fill="D5EAEA"/>
          </w:tcPr>
          <w:p>
            <w:pPr>
              <w:spacing w:after="0"/>
              <w:rPr>
                <w:sz w:val="18"/>
                <w:szCs w:val="18"/>
                <w:color w:val="auto"/>
              </w:rPr>
            </w:pPr>
          </w:p>
        </w:tc>
        <w:tc>
          <w:tcPr>
            <w:tcW w:w="1460" w:type="dxa"/>
            <w:vAlign w:val="bottom"/>
            <w:gridSpan w:val="2"/>
            <w:shd w:val="clear" w:color="auto" w:fill="D5EAEA"/>
          </w:tcPr>
          <w:p>
            <w:pPr>
              <w:jc w:val="right"/>
              <w:ind w:right="220"/>
              <w:spacing w:after="0"/>
              <w:rPr>
                <w:sz w:val="20"/>
                <w:szCs w:val="20"/>
                <w:color w:val="auto"/>
              </w:rPr>
            </w:pPr>
            <w:r>
              <w:rPr>
                <w:rFonts w:ascii="Arial" w:cs="Arial" w:eastAsia="Arial" w:hAnsi="Arial"/>
                <w:sz w:val="18"/>
                <w:szCs w:val="18"/>
                <w:color w:val="auto"/>
              </w:rPr>
              <w:t>—</w:t>
            </w:r>
          </w:p>
        </w:tc>
        <w:tc>
          <w:tcPr>
            <w:tcW w:w="1340" w:type="dxa"/>
            <w:vAlign w:val="bottom"/>
            <w:shd w:val="clear" w:color="auto" w:fill="D5EAEA"/>
          </w:tcPr>
          <w:p>
            <w:pPr>
              <w:jc w:val="right"/>
              <w:spacing w:after="0"/>
              <w:rPr>
                <w:sz w:val="20"/>
                <w:szCs w:val="20"/>
                <w:color w:val="auto"/>
              </w:rPr>
            </w:pPr>
            <w:r>
              <w:rPr>
                <w:rFonts w:ascii="Arial" w:cs="Arial" w:eastAsia="Arial" w:hAnsi="Arial"/>
                <w:sz w:val="18"/>
                <w:szCs w:val="18"/>
                <w:color w:val="auto"/>
              </w:rPr>
              <w:t>(48)</w:t>
            </w:r>
          </w:p>
        </w:tc>
        <w:tc>
          <w:tcPr>
            <w:tcW w:w="100" w:type="dxa"/>
            <w:vAlign w:val="bottom"/>
            <w:shd w:val="clear" w:color="auto" w:fill="D5EAEA"/>
          </w:tcPr>
          <w:p>
            <w:pPr>
              <w:spacing w:after="0"/>
              <w:rPr>
                <w:sz w:val="18"/>
                <w:szCs w:val="18"/>
                <w:color w:val="auto"/>
              </w:rPr>
            </w:pPr>
          </w:p>
        </w:tc>
        <w:tc>
          <w:tcPr>
            <w:tcW w:w="1440" w:type="dxa"/>
            <w:vAlign w:val="bottom"/>
            <w:gridSpan w:val="2"/>
            <w:shd w:val="clear" w:color="auto" w:fill="D5EAEA"/>
          </w:tcPr>
          <w:p>
            <w:pPr>
              <w:jc w:val="right"/>
              <w:ind w:right="220"/>
              <w:spacing w:after="0"/>
              <w:rPr>
                <w:sz w:val="20"/>
                <w:szCs w:val="20"/>
                <w:color w:val="auto"/>
              </w:rPr>
            </w:pPr>
            <w:r>
              <w:rPr>
                <w:rFonts w:ascii="Arial" w:cs="Arial" w:eastAsia="Arial" w:hAnsi="Arial"/>
                <w:sz w:val="18"/>
                <w:szCs w:val="18"/>
                <w:color w:val="auto"/>
              </w:rPr>
              <w:t>—</w:t>
            </w:r>
          </w:p>
        </w:tc>
        <w:tc>
          <w:tcPr>
            <w:tcW w:w="134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w:t>
            </w:r>
          </w:p>
        </w:tc>
      </w:tr>
      <w:tr>
        <w:trPr>
          <w:trHeight w:val="216"/>
        </w:trPr>
        <w:tc>
          <w:tcPr>
            <w:tcW w:w="2620" w:type="dxa"/>
            <w:vAlign w:val="bottom"/>
          </w:tcPr>
          <w:p>
            <w:pPr>
              <w:ind w:left="140"/>
              <w:spacing w:after="0"/>
              <w:rPr>
                <w:sz w:val="20"/>
                <w:szCs w:val="20"/>
                <w:color w:val="auto"/>
              </w:rPr>
            </w:pPr>
            <w:r>
              <w:rPr>
                <w:rFonts w:ascii="Arial" w:cs="Arial" w:eastAsia="Arial" w:hAnsi="Arial"/>
                <w:sz w:val="18"/>
                <w:szCs w:val="18"/>
                <w:color w:val="auto"/>
              </w:rPr>
              <w:t>restricted share awards</w:t>
            </w: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8"/>
                <w:szCs w:val="18"/>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169</w:t>
            </w:r>
          </w:p>
        </w:tc>
        <w:tc>
          <w:tcPr>
            <w:tcW w:w="120" w:type="dxa"/>
            <w:vAlign w:val="bottom"/>
          </w:tcPr>
          <w:p>
            <w:pPr>
              <w:spacing w:after="0"/>
              <w:rPr>
                <w:sz w:val="18"/>
                <w:szCs w:val="18"/>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(176)</w:t>
            </w:r>
          </w:p>
        </w:tc>
        <w:tc>
          <w:tcPr>
            <w:tcW w:w="1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30"/>
        </w:trPr>
        <w:tc>
          <w:tcPr>
            <w:tcW w:w="2620" w:type="dxa"/>
            <w:vAlign w:val="bottom"/>
            <w:shd w:val="clear" w:color="auto" w:fill="D5EAEA"/>
          </w:tcPr>
          <w:p>
            <w:pPr>
              <w:ind w:left="140"/>
              <w:spacing w:after="0"/>
              <w:rPr>
                <w:sz w:val="20"/>
                <w:szCs w:val="20"/>
                <w:color w:val="auto"/>
              </w:rPr>
            </w:pPr>
            <w:r>
              <w:rPr>
                <w:rFonts w:ascii="Arial" w:cs="Arial" w:eastAsia="Arial" w:hAnsi="Arial"/>
                <w:sz w:val="18"/>
                <w:szCs w:val="18"/>
                <w:color w:val="auto"/>
              </w:rPr>
              <w:t>exercise of options</w:t>
            </w:r>
          </w:p>
        </w:tc>
        <w:tc>
          <w:tcPr>
            <w:tcW w:w="1380" w:type="dxa"/>
            <w:vAlign w:val="bottom"/>
            <w:shd w:val="clear" w:color="auto" w:fill="D5EAEA"/>
          </w:tcPr>
          <w:p>
            <w:pPr>
              <w:spacing w:after="0"/>
              <w:rPr>
                <w:sz w:val="19"/>
                <w:szCs w:val="19"/>
                <w:color w:val="auto"/>
              </w:rPr>
            </w:pPr>
          </w:p>
        </w:tc>
        <w:tc>
          <w:tcPr>
            <w:tcW w:w="120" w:type="dxa"/>
            <w:vAlign w:val="bottom"/>
            <w:shd w:val="clear" w:color="auto" w:fill="D5EAEA"/>
          </w:tcPr>
          <w:p>
            <w:pPr>
              <w:spacing w:after="0"/>
              <w:rPr>
                <w:sz w:val="19"/>
                <w:szCs w:val="19"/>
                <w:color w:val="auto"/>
              </w:rPr>
            </w:pPr>
          </w:p>
        </w:tc>
        <w:tc>
          <w:tcPr>
            <w:tcW w:w="134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2</w:t>
            </w:r>
          </w:p>
        </w:tc>
        <w:tc>
          <w:tcPr>
            <w:tcW w:w="100" w:type="dxa"/>
            <w:vAlign w:val="bottom"/>
            <w:shd w:val="clear" w:color="auto" w:fill="D5EAEA"/>
          </w:tcPr>
          <w:p>
            <w:pPr>
              <w:spacing w:after="0"/>
              <w:rPr>
                <w:sz w:val="19"/>
                <w:szCs w:val="19"/>
                <w:color w:val="auto"/>
              </w:rPr>
            </w:pPr>
          </w:p>
        </w:tc>
        <w:tc>
          <w:tcPr>
            <w:tcW w:w="134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265</w:t>
            </w:r>
          </w:p>
        </w:tc>
        <w:tc>
          <w:tcPr>
            <w:tcW w:w="120" w:type="dxa"/>
            <w:vAlign w:val="bottom"/>
            <w:shd w:val="clear" w:color="auto" w:fill="D5EAEA"/>
          </w:tcPr>
          <w:p>
            <w:pPr>
              <w:spacing w:after="0"/>
              <w:rPr>
                <w:sz w:val="19"/>
                <w:szCs w:val="19"/>
                <w:color w:val="auto"/>
              </w:rPr>
            </w:pPr>
          </w:p>
        </w:tc>
        <w:tc>
          <w:tcPr>
            <w:tcW w:w="1440" w:type="dxa"/>
            <w:vAlign w:val="bottom"/>
            <w:gridSpan w:val="2"/>
            <w:shd w:val="clear" w:color="auto" w:fill="D5EAEA"/>
          </w:tcPr>
          <w:p>
            <w:pPr>
              <w:jc w:val="right"/>
              <w:ind w:right="220"/>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D5EAEA"/>
          </w:tcPr>
          <w:p>
            <w:pPr>
              <w:jc w:val="right"/>
              <w:ind w:right="220"/>
              <w:spacing w:after="0"/>
              <w:rPr>
                <w:sz w:val="20"/>
                <w:szCs w:val="20"/>
                <w:color w:val="auto"/>
              </w:rPr>
            </w:pPr>
            <w:r>
              <w:rPr>
                <w:rFonts w:ascii="Arial" w:cs="Arial" w:eastAsia="Arial" w:hAnsi="Arial"/>
                <w:sz w:val="18"/>
                <w:szCs w:val="18"/>
                <w:color w:val="auto"/>
              </w:rPr>
              <w:t>—</w:t>
            </w:r>
          </w:p>
        </w:tc>
        <w:tc>
          <w:tcPr>
            <w:tcW w:w="134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267</w:t>
            </w:r>
          </w:p>
        </w:tc>
      </w:tr>
      <w:tr>
        <w:trPr>
          <w:trHeight w:val="178"/>
        </w:trPr>
        <w:tc>
          <w:tcPr>
            <w:tcW w:w="2620" w:type="dxa"/>
            <w:vAlign w:val="bottom"/>
          </w:tcPr>
          <w:p>
            <w:pPr>
              <w:spacing w:after="0" w:line="177" w:lineRule="exact"/>
              <w:rPr>
                <w:sz w:val="20"/>
                <w:szCs w:val="20"/>
                <w:color w:val="auto"/>
              </w:rPr>
            </w:pPr>
            <w:r>
              <w:rPr>
                <w:rFonts w:ascii="Arial" w:cs="Arial" w:eastAsia="Arial" w:hAnsi="Arial"/>
                <w:sz w:val="18"/>
                <w:szCs w:val="18"/>
                <w:b w:val="1"/>
                <w:bCs w:val="1"/>
                <w:color w:val="auto"/>
              </w:rPr>
              <w:t>Balance as of September 30,</w:t>
            </w:r>
          </w:p>
        </w:tc>
        <w:tc>
          <w:tcPr>
            <w:tcW w:w="1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34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3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3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340" w:type="dxa"/>
            <w:vAlign w:val="bottom"/>
            <w:tcBorders>
              <w:top w:val="single" w:sz="8" w:color="auto"/>
            </w:tcBorders>
          </w:tcPr>
          <w:p>
            <w:pPr>
              <w:spacing w:after="0"/>
              <w:rPr>
                <w:sz w:val="15"/>
                <w:szCs w:val="15"/>
                <w:color w:val="auto"/>
              </w:rPr>
            </w:pPr>
          </w:p>
        </w:tc>
      </w:tr>
      <w:tr>
        <w:trPr>
          <w:trHeight w:val="261"/>
        </w:trPr>
        <w:tc>
          <w:tcPr>
            <w:tcW w:w="2620" w:type="dxa"/>
            <w:vAlign w:val="bottom"/>
          </w:tcPr>
          <w:p>
            <w:pPr>
              <w:spacing w:after="0"/>
              <w:rPr>
                <w:sz w:val="20"/>
                <w:szCs w:val="20"/>
                <w:color w:val="auto"/>
              </w:rPr>
            </w:pPr>
            <w:r>
              <w:rPr>
                <w:rFonts w:ascii="Arial" w:cs="Arial" w:eastAsia="Arial" w:hAnsi="Arial"/>
                <w:sz w:val="18"/>
                <w:szCs w:val="18"/>
                <w:b w:val="1"/>
                <w:bCs w:val="1"/>
                <w:color w:val="auto"/>
              </w:rPr>
              <w:t>2021</w:t>
            </w:r>
          </w:p>
        </w:tc>
        <w:tc>
          <w:tcPr>
            <w:tcW w:w="13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1,589</w:t>
            </w:r>
          </w:p>
        </w:tc>
        <w:tc>
          <w:tcPr>
            <w:tcW w:w="100" w:type="dxa"/>
            <w:vAlign w:val="bottom"/>
          </w:tcPr>
          <w:p>
            <w:pPr>
              <w:spacing w:after="0"/>
              <w:rPr>
                <w:sz w:val="22"/>
                <w:szCs w:val="22"/>
                <w:color w:val="auto"/>
              </w:rPr>
            </w:pPr>
          </w:p>
        </w:tc>
        <w:tc>
          <w:tcPr>
            <w:tcW w:w="13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359,421</w:t>
            </w:r>
          </w:p>
        </w:tc>
        <w:tc>
          <w:tcPr>
            <w:tcW w:w="120" w:type="dxa"/>
            <w:vAlign w:val="bottom"/>
          </w:tcPr>
          <w:p>
            <w:pPr>
              <w:spacing w:after="0"/>
              <w:rPr>
                <w:sz w:val="22"/>
                <w:szCs w:val="22"/>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w:t>
            </w:r>
          </w:p>
        </w:tc>
        <w:tc>
          <w:tcPr>
            <w:tcW w:w="100" w:type="dxa"/>
            <w:vAlign w:val="bottom"/>
          </w:tcPr>
          <w:p>
            <w:pPr>
              <w:spacing w:after="0"/>
              <w:rPr>
                <w:sz w:val="22"/>
                <w:szCs w:val="22"/>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(181,665)</w:t>
            </w:r>
          </w:p>
        </w:tc>
        <w:tc>
          <w:tcPr>
            <w:tcW w:w="100" w:type="dxa"/>
            <w:vAlign w:val="bottom"/>
          </w:tcPr>
          <w:p>
            <w:pPr>
              <w:spacing w:after="0"/>
              <w:rPr>
                <w:sz w:val="22"/>
                <w:szCs w:val="22"/>
                <w:color w:val="auto"/>
              </w:rPr>
            </w:pPr>
          </w:p>
        </w:tc>
        <w:tc>
          <w:tcPr>
            <w:tcW w:w="13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179,221</w:t>
            </w:r>
          </w:p>
        </w:tc>
      </w:tr>
      <w:tr>
        <w:trPr>
          <w:trHeight w:val="20"/>
        </w:trPr>
        <w:tc>
          <w:tcPr>
            <w:tcW w:w="26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accompanying notes form an integral part of these Interim Condensed Consolidated Financial Statements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349250</wp:posOffset>
            </wp:positionV>
            <wp:extent cx="713232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t>Condensed Consolidated Statements of Cash Flows (Unaudited)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CHF thousands)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9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80" w:type="dxa"/>
            <w:vAlign w:val="bottom"/>
            <w:gridSpan w:val="3"/>
          </w:tcPr>
          <w:p>
            <w:pPr>
              <w:jc w:val="right"/>
              <w:ind w:right="490"/>
              <w:spacing w:after="0"/>
              <w:rPr>
                <w:sz w:val="20"/>
                <w:szCs w:val="20"/>
                <w:color w:val="auto"/>
              </w:rPr>
            </w:pPr>
            <w:r>
              <w:rPr>
                <w:rFonts w:ascii="Arial" w:cs="Arial" w:eastAsia="Arial" w:hAnsi="Arial"/>
                <w:sz w:val="18"/>
                <w:szCs w:val="18"/>
                <w:b w:val="1"/>
                <w:bCs w:val="1"/>
                <w:color w:val="auto"/>
              </w:rPr>
              <w:t>For the Nine Months</w:t>
            </w:r>
          </w:p>
        </w:tc>
      </w:tr>
      <w:tr>
        <w:trPr>
          <w:trHeight w:val="234"/>
        </w:trPr>
        <w:tc>
          <w:tcPr>
            <w:tcW w:w="698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780" w:type="dxa"/>
            <w:vAlign w:val="bottom"/>
            <w:tcBorders>
              <w:bottom w:val="single" w:sz="8" w:color="auto"/>
            </w:tcBorders>
            <w:gridSpan w:val="3"/>
          </w:tcPr>
          <w:p>
            <w:pPr>
              <w:jc w:val="right"/>
              <w:ind w:right="470"/>
              <w:spacing w:after="0"/>
              <w:rPr>
                <w:sz w:val="20"/>
                <w:szCs w:val="20"/>
                <w:color w:val="auto"/>
              </w:rPr>
            </w:pPr>
            <w:r>
              <w:rPr>
                <w:rFonts w:ascii="Arial" w:cs="Arial" w:eastAsia="Arial" w:hAnsi="Arial"/>
                <w:sz w:val="18"/>
                <w:szCs w:val="18"/>
                <w:b w:val="1"/>
                <w:bCs w:val="1"/>
                <w:color w:val="auto"/>
              </w:rPr>
              <w:t>Ended September 30,</w:t>
            </w:r>
          </w:p>
        </w:tc>
      </w:tr>
      <w:tr>
        <w:trPr>
          <w:trHeight w:val="223"/>
        </w:trPr>
        <w:tc>
          <w:tcPr>
            <w:tcW w:w="6980" w:type="dxa"/>
            <w:vAlign w:val="bottom"/>
          </w:tcPr>
          <w:p>
            <w:pPr>
              <w:spacing w:after="0"/>
              <w:rPr>
                <w:sz w:val="19"/>
                <w:szCs w:val="19"/>
                <w:color w:val="auto"/>
              </w:rPr>
            </w:pPr>
          </w:p>
        </w:tc>
        <w:tc>
          <w:tcPr>
            <w:tcW w:w="1480" w:type="dxa"/>
            <w:vAlign w:val="bottom"/>
            <w:gridSpan w:val="2"/>
          </w:tcPr>
          <w:p>
            <w:pPr>
              <w:ind w:left="480"/>
              <w:spacing w:after="0"/>
              <w:rPr>
                <w:sz w:val="20"/>
                <w:szCs w:val="20"/>
                <w:color w:val="auto"/>
              </w:rPr>
            </w:pPr>
            <w:r>
              <w:rPr>
                <w:rFonts w:ascii="Arial" w:cs="Arial" w:eastAsia="Arial" w:hAnsi="Arial"/>
                <w:sz w:val="18"/>
                <w:szCs w:val="18"/>
                <w:b w:val="1"/>
                <w:bCs w:val="1"/>
                <w:color w:val="auto"/>
              </w:rPr>
              <w:t>Notes</w:t>
            </w:r>
          </w:p>
        </w:tc>
        <w:tc>
          <w:tcPr>
            <w:tcW w:w="1340" w:type="dxa"/>
            <w:vAlign w:val="bottom"/>
          </w:tcPr>
          <w:p>
            <w:pPr>
              <w:jc w:val="right"/>
              <w:ind w:right="41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9"/>
                <w:szCs w:val="19"/>
                <w:color w:val="auto"/>
              </w:rPr>
            </w:pPr>
          </w:p>
        </w:tc>
        <w:tc>
          <w:tcPr>
            <w:tcW w:w="1340" w:type="dxa"/>
            <w:vAlign w:val="bottom"/>
          </w:tcPr>
          <w:p>
            <w:pPr>
              <w:jc w:val="right"/>
              <w:ind w:right="390"/>
              <w:spacing w:after="0"/>
              <w:rPr>
                <w:sz w:val="20"/>
                <w:szCs w:val="20"/>
                <w:color w:val="auto"/>
              </w:rPr>
            </w:pPr>
            <w:r>
              <w:rPr>
                <w:rFonts w:ascii="Arial" w:cs="Arial" w:eastAsia="Arial" w:hAnsi="Arial"/>
                <w:sz w:val="18"/>
                <w:szCs w:val="18"/>
                <w:b w:val="1"/>
                <w:bCs w:val="1"/>
                <w:color w:val="auto"/>
              </w:rPr>
              <w:t>2020</w:t>
            </w:r>
          </w:p>
        </w:tc>
      </w:tr>
      <w:tr>
        <w:trPr>
          <w:trHeight w:val="210"/>
        </w:trPr>
        <w:tc>
          <w:tcPr>
            <w:tcW w:w="6980" w:type="dxa"/>
            <w:vAlign w:val="bottom"/>
            <w:tcBorders>
              <w:top w:val="single" w:sz="8" w:color="D5EAEA"/>
            </w:tcBorders>
            <w:shd w:val="clear" w:color="auto" w:fill="D5EAEA"/>
          </w:tcPr>
          <w:p>
            <w:pPr>
              <w:spacing w:after="0"/>
              <w:rPr>
                <w:sz w:val="20"/>
                <w:szCs w:val="20"/>
                <w:color w:val="auto"/>
              </w:rPr>
            </w:pPr>
            <w:r>
              <w:rPr>
                <w:rFonts w:ascii="Arial" w:cs="Arial" w:eastAsia="Arial" w:hAnsi="Arial"/>
                <w:sz w:val="18"/>
                <w:szCs w:val="18"/>
                <w:b w:val="1"/>
                <w:bCs w:val="1"/>
                <w:color w:val="auto"/>
              </w:rPr>
              <w:t>Operating activities</w:t>
            </w:r>
          </w:p>
        </w:tc>
        <w:tc>
          <w:tcPr>
            <w:tcW w:w="1380" w:type="dxa"/>
            <w:vAlign w:val="bottom"/>
            <w:tcBorders>
              <w:top w:val="single" w:sz="8" w:color="auto"/>
            </w:tcBorders>
            <w:shd w:val="clear" w:color="auto" w:fill="D5EAEA"/>
          </w:tcPr>
          <w:p>
            <w:pPr>
              <w:spacing w:after="0"/>
              <w:rPr>
                <w:sz w:val="18"/>
                <w:szCs w:val="18"/>
                <w:color w:val="auto"/>
              </w:rPr>
            </w:pPr>
          </w:p>
        </w:tc>
        <w:tc>
          <w:tcPr>
            <w:tcW w:w="100" w:type="dxa"/>
            <w:vAlign w:val="bottom"/>
            <w:tcBorders>
              <w:top w:val="single" w:sz="8" w:color="D5EAEA"/>
            </w:tcBorders>
            <w:shd w:val="clear" w:color="auto" w:fill="D5EAEA"/>
          </w:tcPr>
          <w:p>
            <w:pPr>
              <w:spacing w:after="0"/>
              <w:rPr>
                <w:sz w:val="18"/>
                <w:szCs w:val="18"/>
                <w:color w:val="auto"/>
              </w:rPr>
            </w:pPr>
          </w:p>
        </w:tc>
        <w:tc>
          <w:tcPr>
            <w:tcW w:w="1340" w:type="dxa"/>
            <w:vAlign w:val="bottom"/>
            <w:tcBorders>
              <w:top w:val="single" w:sz="8" w:color="auto"/>
            </w:tcBorders>
            <w:shd w:val="clear" w:color="auto" w:fill="D5EAEA"/>
          </w:tcPr>
          <w:p>
            <w:pPr>
              <w:spacing w:after="0"/>
              <w:rPr>
                <w:sz w:val="18"/>
                <w:szCs w:val="18"/>
                <w:color w:val="auto"/>
              </w:rPr>
            </w:pPr>
          </w:p>
        </w:tc>
        <w:tc>
          <w:tcPr>
            <w:tcW w:w="100" w:type="dxa"/>
            <w:vAlign w:val="bottom"/>
            <w:tcBorders>
              <w:top w:val="single" w:sz="8" w:color="D5EAEA"/>
            </w:tcBorders>
            <w:shd w:val="clear" w:color="auto" w:fill="D5EAEA"/>
          </w:tcPr>
          <w:p>
            <w:pPr>
              <w:spacing w:after="0"/>
              <w:rPr>
                <w:sz w:val="18"/>
                <w:szCs w:val="18"/>
                <w:color w:val="auto"/>
              </w:rPr>
            </w:pPr>
          </w:p>
        </w:tc>
        <w:tc>
          <w:tcPr>
            <w:tcW w:w="1340" w:type="dxa"/>
            <w:vAlign w:val="bottom"/>
            <w:tcBorders>
              <w:top w:val="single" w:sz="8" w:color="auto"/>
            </w:tcBorders>
            <w:shd w:val="clear" w:color="auto" w:fill="D5EAEA"/>
          </w:tcPr>
          <w:p>
            <w:pPr>
              <w:spacing w:after="0"/>
              <w:rPr>
                <w:sz w:val="18"/>
                <w:szCs w:val="18"/>
                <w:color w:val="auto"/>
              </w:rPr>
            </w:pPr>
          </w:p>
        </w:tc>
      </w:tr>
      <w:tr>
        <w:trPr>
          <w:trHeight w:val="216"/>
        </w:trPr>
        <w:tc>
          <w:tcPr>
            <w:tcW w:w="6980" w:type="dxa"/>
            <w:vAlign w:val="bottom"/>
          </w:tcPr>
          <w:p>
            <w:pPr>
              <w:spacing w:after="0"/>
              <w:rPr>
                <w:sz w:val="20"/>
                <w:szCs w:val="20"/>
                <w:color w:val="auto"/>
              </w:rPr>
            </w:pPr>
            <w:r>
              <w:rPr>
                <w:rFonts w:ascii="Arial" w:cs="Arial" w:eastAsia="Arial" w:hAnsi="Arial"/>
                <w:sz w:val="18"/>
                <w:szCs w:val="18"/>
                <w:color w:val="auto"/>
              </w:rPr>
              <w:t>Loss for the period</w:t>
            </w: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(51,720)</w:t>
            </w:r>
          </w:p>
        </w:tc>
        <w:tc>
          <w:tcPr>
            <w:tcW w:w="1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(42,421)</w:t>
            </w:r>
          </w:p>
        </w:tc>
      </w:tr>
      <w:tr>
        <w:trPr>
          <w:trHeight w:val="216"/>
        </w:trPr>
        <w:tc>
          <w:tcPr>
            <w:tcW w:w="6980" w:type="dxa"/>
            <w:vAlign w:val="bottom"/>
            <w:shd w:val="clear" w:color="auto" w:fill="D5EAEA"/>
          </w:tcPr>
          <w:p>
            <w:pPr>
              <w:spacing w:after="0"/>
              <w:rPr>
                <w:sz w:val="20"/>
                <w:szCs w:val="20"/>
                <w:color w:val="auto"/>
              </w:rPr>
            </w:pPr>
            <w:r>
              <w:rPr>
                <w:rFonts w:ascii="Arial" w:cs="Arial" w:eastAsia="Arial" w:hAnsi="Arial"/>
                <w:sz w:val="18"/>
                <w:szCs w:val="18"/>
                <w:b w:val="1"/>
                <w:bCs w:val="1"/>
                <w:color w:val="auto"/>
              </w:rPr>
              <w:t>Adjustments to reconcile net loss for the period to net cash flows:</w:t>
            </w:r>
          </w:p>
        </w:tc>
        <w:tc>
          <w:tcPr>
            <w:tcW w:w="1380" w:type="dxa"/>
            <w:vAlign w:val="bottom"/>
            <w:shd w:val="clear" w:color="auto" w:fill="D5EAEA"/>
          </w:tcPr>
          <w:p>
            <w:pPr>
              <w:spacing w:after="0"/>
              <w:rPr>
                <w:sz w:val="18"/>
                <w:szCs w:val="18"/>
                <w:color w:val="auto"/>
              </w:rPr>
            </w:pPr>
          </w:p>
        </w:tc>
        <w:tc>
          <w:tcPr>
            <w:tcW w:w="100" w:type="dxa"/>
            <w:vAlign w:val="bottom"/>
            <w:shd w:val="clear" w:color="auto" w:fill="D5EAEA"/>
          </w:tcPr>
          <w:p>
            <w:pPr>
              <w:spacing w:after="0"/>
              <w:rPr>
                <w:sz w:val="18"/>
                <w:szCs w:val="18"/>
                <w:color w:val="auto"/>
              </w:rPr>
            </w:pPr>
          </w:p>
        </w:tc>
        <w:tc>
          <w:tcPr>
            <w:tcW w:w="1340" w:type="dxa"/>
            <w:vAlign w:val="bottom"/>
            <w:shd w:val="clear" w:color="auto" w:fill="D5EAEA"/>
          </w:tcPr>
          <w:p>
            <w:pPr>
              <w:spacing w:after="0"/>
              <w:rPr>
                <w:sz w:val="18"/>
                <w:szCs w:val="18"/>
                <w:color w:val="auto"/>
              </w:rPr>
            </w:pPr>
          </w:p>
        </w:tc>
        <w:tc>
          <w:tcPr>
            <w:tcW w:w="100" w:type="dxa"/>
            <w:vAlign w:val="bottom"/>
            <w:shd w:val="clear" w:color="auto" w:fill="D5EAEA"/>
          </w:tcPr>
          <w:p>
            <w:pPr>
              <w:spacing w:after="0"/>
              <w:rPr>
                <w:sz w:val="18"/>
                <w:szCs w:val="18"/>
                <w:color w:val="auto"/>
              </w:rPr>
            </w:pPr>
          </w:p>
        </w:tc>
        <w:tc>
          <w:tcPr>
            <w:tcW w:w="1340" w:type="dxa"/>
            <w:vAlign w:val="bottom"/>
            <w:shd w:val="clear" w:color="auto" w:fill="D5EAEA"/>
          </w:tcPr>
          <w:p>
            <w:pPr>
              <w:spacing w:after="0"/>
              <w:rPr>
                <w:sz w:val="18"/>
                <w:szCs w:val="18"/>
                <w:color w:val="auto"/>
              </w:rPr>
            </w:pPr>
          </w:p>
        </w:tc>
      </w:tr>
      <w:tr>
        <w:trPr>
          <w:trHeight w:val="216"/>
        </w:trPr>
        <w:tc>
          <w:tcPr>
            <w:tcW w:w="6980" w:type="dxa"/>
            <w:vAlign w:val="bottom"/>
          </w:tcPr>
          <w:p>
            <w:pPr>
              <w:spacing w:after="0"/>
              <w:rPr>
                <w:sz w:val="20"/>
                <w:szCs w:val="20"/>
                <w:color w:val="auto"/>
              </w:rPr>
            </w:pPr>
            <w:r>
              <w:rPr>
                <w:rFonts w:ascii="Arial" w:cs="Arial" w:eastAsia="Arial" w:hAnsi="Arial"/>
                <w:sz w:val="18"/>
                <w:szCs w:val="18"/>
                <w:color w:val="auto"/>
              </w:rPr>
              <w:t>Depreciation of property, plant and equipment</w:t>
            </w:r>
          </w:p>
        </w:tc>
        <w:tc>
          <w:tcPr>
            <w:tcW w:w="1380" w:type="dxa"/>
            <w:vAlign w:val="bottom"/>
          </w:tcPr>
          <w:p>
            <w:pPr>
              <w:jc w:val="center"/>
              <w:spacing w:after="0"/>
              <w:rPr>
                <w:sz w:val="20"/>
                <w:szCs w:val="20"/>
                <w:color w:val="auto"/>
              </w:rPr>
            </w:pPr>
            <w:r>
              <w:rPr>
                <w:rFonts w:ascii="Arial" w:cs="Arial" w:eastAsia="Arial" w:hAnsi="Arial"/>
                <w:sz w:val="18"/>
                <w:szCs w:val="18"/>
                <w:color w:val="auto"/>
                <w:w w:val="79"/>
              </w:rPr>
              <w:t>5</w:t>
            </w:r>
          </w:p>
        </w:tc>
        <w:tc>
          <w:tcPr>
            <w:tcW w:w="100" w:type="dxa"/>
            <w:vAlign w:val="bottom"/>
          </w:tcPr>
          <w:p>
            <w:pPr>
              <w:spacing w:after="0"/>
              <w:rPr>
                <w:sz w:val="18"/>
                <w:szCs w:val="18"/>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1,411</w:t>
            </w:r>
          </w:p>
        </w:tc>
        <w:tc>
          <w:tcPr>
            <w:tcW w:w="100" w:type="dxa"/>
            <w:vAlign w:val="bottom"/>
          </w:tcPr>
          <w:p>
            <w:pPr>
              <w:spacing w:after="0"/>
              <w:rPr>
                <w:sz w:val="18"/>
                <w:szCs w:val="18"/>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1,127</w:t>
            </w:r>
          </w:p>
        </w:tc>
      </w:tr>
      <w:tr>
        <w:trPr>
          <w:trHeight w:val="216"/>
        </w:trPr>
        <w:tc>
          <w:tcPr>
            <w:tcW w:w="6980" w:type="dxa"/>
            <w:vAlign w:val="bottom"/>
            <w:shd w:val="clear" w:color="auto" w:fill="D5EAEA"/>
          </w:tcPr>
          <w:p>
            <w:pPr>
              <w:spacing w:after="0"/>
              <w:rPr>
                <w:sz w:val="20"/>
                <w:szCs w:val="20"/>
                <w:color w:val="auto"/>
              </w:rPr>
            </w:pPr>
            <w:r>
              <w:rPr>
                <w:rFonts w:ascii="Arial" w:cs="Arial" w:eastAsia="Arial" w:hAnsi="Arial"/>
                <w:sz w:val="18"/>
                <w:szCs w:val="18"/>
                <w:color w:val="auto"/>
              </w:rPr>
              <w:t>Depreciation of right-of-use assets</w:t>
            </w:r>
          </w:p>
        </w:tc>
        <w:tc>
          <w:tcPr>
            <w:tcW w:w="1380" w:type="dxa"/>
            <w:vAlign w:val="bottom"/>
            <w:shd w:val="clear" w:color="auto" w:fill="D5EAEA"/>
          </w:tcPr>
          <w:p>
            <w:pPr>
              <w:jc w:val="center"/>
              <w:spacing w:after="0"/>
              <w:rPr>
                <w:sz w:val="20"/>
                <w:szCs w:val="20"/>
                <w:color w:val="auto"/>
              </w:rPr>
            </w:pPr>
            <w:r>
              <w:rPr>
                <w:rFonts w:ascii="Arial" w:cs="Arial" w:eastAsia="Arial" w:hAnsi="Arial"/>
                <w:sz w:val="18"/>
                <w:szCs w:val="18"/>
                <w:color w:val="auto"/>
                <w:w w:val="79"/>
              </w:rPr>
              <w:t>6</w:t>
            </w:r>
          </w:p>
        </w:tc>
        <w:tc>
          <w:tcPr>
            <w:tcW w:w="100" w:type="dxa"/>
            <w:vAlign w:val="bottom"/>
            <w:shd w:val="clear" w:color="auto" w:fill="D5EAEA"/>
          </w:tcPr>
          <w:p>
            <w:pPr>
              <w:spacing w:after="0"/>
              <w:rPr>
                <w:sz w:val="18"/>
                <w:szCs w:val="18"/>
                <w:color w:val="auto"/>
              </w:rPr>
            </w:pPr>
          </w:p>
        </w:tc>
        <w:tc>
          <w:tcPr>
            <w:tcW w:w="1340" w:type="dxa"/>
            <w:vAlign w:val="bottom"/>
            <w:shd w:val="clear" w:color="auto" w:fill="D5EAEA"/>
          </w:tcPr>
          <w:p>
            <w:pPr>
              <w:jc w:val="right"/>
              <w:ind w:right="30"/>
              <w:spacing w:after="0"/>
              <w:rPr>
                <w:sz w:val="20"/>
                <w:szCs w:val="20"/>
                <w:color w:val="auto"/>
              </w:rPr>
            </w:pPr>
            <w:r>
              <w:rPr>
                <w:rFonts w:ascii="Arial" w:cs="Arial" w:eastAsia="Arial" w:hAnsi="Arial"/>
                <w:sz w:val="18"/>
                <w:szCs w:val="18"/>
                <w:color w:val="auto"/>
              </w:rPr>
              <w:t>367</w:t>
            </w:r>
          </w:p>
        </w:tc>
        <w:tc>
          <w:tcPr>
            <w:tcW w:w="100" w:type="dxa"/>
            <w:vAlign w:val="bottom"/>
            <w:shd w:val="clear" w:color="auto" w:fill="D5EAEA"/>
          </w:tcPr>
          <w:p>
            <w:pPr>
              <w:spacing w:after="0"/>
              <w:rPr>
                <w:sz w:val="18"/>
                <w:szCs w:val="18"/>
                <w:color w:val="auto"/>
              </w:rPr>
            </w:pPr>
          </w:p>
        </w:tc>
        <w:tc>
          <w:tcPr>
            <w:tcW w:w="134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323</w:t>
            </w:r>
          </w:p>
        </w:tc>
      </w:tr>
      <w:tr>
        <w:trPr>
          <w:trHeight w:val="216"/>
        </w:trPr>
        <w:tc>
          <w:tcPr>
            <w:tcW w:w="6980" w:type="dxa"/>
            <w:vAlign w:val="bottom"/>
          </w:tcPr>
          <w:p>
            <w:pPr>
              <w:spacing w:after="0"/>
              <w:rPr>
                <w:sz w:val="20"/>
                <w:szCs w:val="20"/>
                <w:color w:val="auto"/>
              </w:rPr>
            </w:pPr>
            <w:r>
              <w:rPr>
                <w:rFonts w:ascii="Arial" w:cs="Arial" w:eastAsia="Arial" w:hAnsi="Arial"/>
                <w:sz w:val="18"/>
                <w:szCs w:val="18"/>
                <w:color w:val="auto"/>
              </w:rPr>
              <w:t>Finance (income)/expense, net</w:t>
            </w:r>
          </w:p>
        </w:tc>
        <w:tc>
          <w:tcPr>
            <w:tcW w:w="1380" w:type="dxa"/>
            <w:vAlign w:val="bottom"/>
          </w:tcPr>
          <w:p>
            <w:pPr>
              <w:jc w:val="center"/>
              <w:spacing w:after="0"/>
              <w:rPr>
                <w:sz w:val="20"/>
                <w:szCs w:val="20"/>
                <w:color w:val="auto"/>
              </w:rPr>
            </w:pPr>
            <w:r>
              <w:rPr>
                <w:rFonts w:ascii="Arial" w:cs="Arial" w:eastAsia="Arial" w:hAnsi="Arial"/>
                <w:sz w:val="18"/>
                <w:szCs w:val="18"/>
                <w:color w:val="auto"/>
                <w:w w:val="89"/>
              </w:rPr>
              <w:t>11</w:t>
            </w:r>
          </w:p>
        </w:tc>
        <w:tc>
          <w:tcPr>
            <w:tcW w:w="1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(4,954)</w:t>
            </w:r>
          </w:p>
        </w:tc>
        <w:tc>
          <w:tcPr>
            <w:tcW w:w="100" w:type="dxa"/>
            <w:vAlign w:val="bottom"/>
          </w:tcPr>
          <w:p>
            <w:pPr>
              <w:spacing w:after="0"/>
              <w:rPr>
                <w:sz w:val="18"/>
                <w:szCs w:val="18"/>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399</w:t>
            </w:r>
          </w:p>
        </w:tc>
      </w:tr>
      <w:tr>
        <w:trPr>
          <w:trHeight w:val="216"/>
        </w:trPr>
        <w:tc>
          <w:tcPr>
            <w:tcW w:w="6980" w:type="dxa"/>
            <w:vAlign w:val="bottom"/>
            <w:shd w:val="clear" w:color="auto" w:fill="D5EAEA"/>
          </w:tcPr>
          <w:p>
            <w:pPr>
              <w:spacing w:after="0"/>
              <w:rPr>
                <w:sz w:val="20"/>
                <w:szCs w:val="20"/>
                <w:color w:val="auto"/>
              </w:rPr>
            </w:pPr>
            <w:r>
              <w:rPr>
                <w:rFonts w:ascii="Arial" w:cs="Arial" w:eastAsia="Arial" w:hAnsi="Arial"/>
                <w:sz w:val="18"/>
                <w:szCs w:val="18"/>
                <w:color w:val="auto"/>
              </w:rPr>
              <w:t>Share-based compensation expense</w:t>
            </w:r>
          </w:p>
        </w:tc>
        <w:tc>
          <w:tcPr>
            <w:tcW w:w="1380" w:type="dxa"/>
            <w:vAlign w:val="bottom"/>
            <w:shd w:val="clear" w:color="auto" w:fill="D5EAEA"/>
          </w:tcPr>
          <w:p>
            <w:pPr>
              <w:spacing w:after="0"/>
              <w:rPr>
                <w:sz w:val="18"/>
                <w:szCs w:val="18"/>
                <w:color w:val="auto"/>
              </w:rPr>
            </w:pPr>
          </w:p>
        </w:tc>
        <w:tc>
          <w:tcPr>
            <w:tcW w:w="100" w:type="dxa"/>
            <w:vAlign w:val="bottom"/>
            <w:shd w:val="clear" w:color="auto" w:fill="D5EAEA"/>
          </w:tcPr>
          <w:p>
            <w:pPr>
              <w:spacing w:after="0"/>
              <w:rPr>
                <w:sz w:val="18"/>
                <w:szCs w:val="18"/>
                <w:color w:val="auto"/>
              </w:rPr>
            </w:pPr>
          </w:p>
        </w:tc>
        <w:tc>
          <w:tcPr>
            <w:tcW w:w="1340" w:type="dxa"/>
            <w:vAlign w:val="bottom"/>
            <w:shd w:val="clear" w:color="auto" w:fill="D5EAEA"/>
          </w:tcPr>
          <w:p>
            <w:pPr>
              <w:jc w:val="right"/>
              <w:ind w:right="30"/>
              <w:spacing w:after="0"/>
              <w:rPr>
                <w:sz w:val="20"/>
                <w:szCs w:val="20"/>
                <w:color w:val="auto"/>
              </w:rPr>
            </w:pPr>
            <w:r>
              <w:rPr>
                <w:rFonts w:ascii="Arial" w:cs="Arial" w:eastAsia="Arial" w:hAnsi="Arial"/>
                <w:sz w:val="18"/>
                <w:szCs w:val="18"/>
                <w:color w:val="auto"/>
              </w:rPr>
              <w:t>3,081</w:t>
            </w:r>
          </w:p>
        </w:tc>
        <w:tc>
          <w:tcPr>
            <w:tcW w:w="100" w:type="dxa"/>
            <w:vAlign w:val="bottom"/>
            <w:shd w:val="clear" w:color="auto" w:fill="D5EAEA"/>
          </w:tcPr>
          <w:p>
            <w:pPr>
              <w:spacing w:after="0"/>
              <w:rPr>
                <w:sz w:val="18"/>
                <w:szCs w:val="18"/>
                <w:color w:val="auto"/>
              </w:rPr>
            </w:pPr>
          </w:p>
        </w:tc>
        <w:tc>
          <w:tcPr>
            <w:tcW w:w="134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3,079</w:t>
            </w:r>
          </w:p>
        </w:tc>
      </w:tr>
      <w:tr>
        <w:trPr>
          <w:trHeight w:val="216"/>
        </w:trPr>
        <w:tc>
          <w:tcPr>
            <w:tcW w:w="6980" w:type="dxa"/>
            <w:vAlign w:val="bottom"/>
          </w:tcPr>
          <w:p>
            <w:pPr>
              <w:spacing w:after="0"/>
              <w:rPr>
                <w:sz w:val="20"/>
                <w:szCs w:val="20"/>
                <w:color w:val="auto"/>
              </w:rPr>
            </w:pPr>
            <w:r>
              <w:rPr>
                <w:rFonts w:ascii="Arial" w:cs="Arial" w:eastAsia="Arial" w:hAnsi="Arial"/>
                <w:sz w:val="18"/>
                <w:szCs w:val="18"/>
                <w:color w:val="auto"/>
              </w:rPr>
              <w:t>Change in net employee defined benefit liability</w:t>
            </w: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465</w:t>
            </w:r>
          </w:p>
        </w:tc>
        <w:tc>
          <w:tcPr>
            <w:tcW w:w="100" w:type="dxa"/>
            <w:vAlign w:val="bottom"/>
          </w:tcPr>
          <w:p>
            <w:pPr>
              <w:spacing w:after="0"/>
              <w:rPr>
                <w:sz w:val="18"/>
                <w:szCs w:val="18"/>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544</w:t>
            </w:r>
          </w:p>
        </w:tc>
      </w:tr>
      <w:tr>
        <w:trPr>
          <w:trHeight w:val="216"/>
        </w:trPr>
        <w:tc>
          <w:tcPr>
            <w:tcW w:w="6980" w:type="dxa"/>
            <w:vAlign w:val="bottom"/>
            <w:shd w:val="clear" w:color="auto" w:fill="D5EAEA"/>
          </w:tcPr>
          <w:p>
            <w:pPr>
              <w:spacing w:after="0"/>
              <w:rPr>
                <w:sz w:val="20"/>
                <w:szCs w:val="20"/>
                <w:color w:val="auto"/>
              </w:rPr>
            </w:pPr>
            <w:r>
              <w:rPr>
                <w:rFonts w:ascii="Arial" w:cs="Arial" w:eastAsia="Arial" w:hAnsi="Arial"/>
                <w:sz w:val="18"/>
                <w:szCs w:val="18"/>
                <w:color w:val="auto"/>
              </w:rPr>
              <w:t>Interest expense</w:t>
            </w:r>
          </w:p>
        </w:tc>
        <w:tc>
          <w:tcPr>
            <w:tcW w:w="1380" w:type="dxa"/>
            <w:vAlign w:val="bottom"/>
            <w:shd w:val="clear" w:color="auto" w:fill="D5EAEA"/>
          </w:tcPr>
          <w:p>
            <w:pPr>
              <w:jc w:val="center"/>
              <w:spacing w:after="0"/>
              <w:rPr>
                <w:sz w:val="20"/>
                <w:szCs w:val="20"/>
                <w:color w:val="auto"/>
              </w:rPr>
            </w:pPr>
            <w:r>
              <w:rPr>
                <w:rFonts w:ascii="Arial" w:cs="Arial" w:eastAsia="Arial" w:hAnsi="Arial"/>
                <w:sz w:val="18"/>
                <w:szCs w:val="18"/>
                <w:color w:val="auto"/>
                <w:w w:val="89"/>
              </w:rPr>
              <w:t>11</w:t>
            </w:r>
          </w:p>
        </w:tc>
        <w:tc>
          <w:tcPr>
            <w:tcW w:w="100" w:type="dxa"/>
            <w:vAlign w:val="bottom"/>
            <w:shd w:val="clear" w:color="auto" w:fill="D5EAEA"/>
          </w:tcPr>
          <w:p>
            <w:pPr>
              <w:spacing w:after="0"/>
              <w:rPr>
                <w:sz w:val="18"/>
                <w:szCs w:val="18"/>
                <w:color w:val="auto"/>
              </w:rPr>
            </w:pPr>
          </w:p>
        </w:tc>
        <w:tc>
          <w:tcPr>
            <w:tcW w:w="1340" w:type="dxa"/>
            <w:vAlign w:val="bottom"/>
            <w:shd w:val="clear" w:color="auto" w:fill="D5EAEA"/>
          </w:tcPr>
          <w:p>
            <w:pPr>
              <w:jc w:val="right"/>
              <w:ind w:right="30"/>
              <w:spacing w:after="0"/>
              <w:rPr>
                <w:sz w:val="20"/>
                <w:szCs w:val="20"/>
                <w:color w:val="auto"/>
              </w:rPr>
            </w:pPr>
            <w:r>
              <w:rPr>
                <w:rFonts w:ascii="Arial" w:cs="Arial" w:eastAsia="Arial" w:hAnsi="Arial"/>
                <w:sz w:val="18"/>
                <w:szCs w:val="18"/>
                <w:color w:val="auto"/>
              </w:rPr>
              <w:t>402</w:t>
            </w:r>
          </w:p>
        </w:tc>
        <w:tc>
          <w:tcPr>
            <w:tcW w:w="100" w:type="dxa"/>
            <w:vAlign w:val="bottom"/>
            <w:shd w:val="clear" w:color="auto" w:fill="D5EAEA"/>
          </w:tcPr>
          <w:p>
            <w:pPr>
              <w:spacing w:after="0"/>
              <w:rPr>
                <w:sz w:val="18"/>
                <w:szCs w:val="18"/>
                <w:color w:val="auto"/>
              </w:rPr>
            </w:pPr>
          </w:p>
        </w:tc>
        <w:tc>
          <w:tcPr>
            <w:tcW w:w="134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152</w:t>
            </w:r>
          </w:p>
        </w:tc>
      </w:tr>
      <w:tr>
        <w:trPr>
          <w:trHeight w:val="216"/>
        </w:trPr>
        <w:tc>
          <w:tcPr>
            <w:tcW w:w="6980" w:type="dxa"/>
            <w:vAlign w:val="bottom"/>
          </w:tcPr>
          <w:p>
            <w:pPr>
              <w:spacing w:after="0"/>
              <w:rPr>
                <w:sz w:val="20"/>
                <w:szCs w:val="20"/>
                <w:color w:val="auto"/>
              </w:rPr>
            </w:pPr>
            <w:r>
              <w:rPr>
                <w:rFonts w:ascii="Arial" w:cs="Arial" w:eastAsia="Arial" w:hAnsi="Arial"/>
                <w:sz w:val="18"/>
                <w:szCs w:val="18"/>
                <w:b w:val="1"/>
                <w:bCs w:val="1"/>
                <w:color w:val="auto"/>
              </w:rPr>
              <w:t>Changes in working capital:</w:t>
            </w: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16"/>
        </w:trPr>
        <w:tc>
          <w:tcPr>
            <w:tcW w:w="6980" w:type="dxa"/>
            <w:vAlign w:val="bottom"/>
            <w:shd w:val="clear" w:color="auto" w:fill="D5EAEA"/>
          </w:tcPr>
          <w:p>
            <w:pPr>
              <w:spacing w:after="0"/>
              <w:rPr>
                <w:sz w:val="20"/>
                <w:szCs w:val="20"/>
                <w:color w:val="auto"/>
              </w:rPr>
            </w:pPr>
            <w:r>
              <w:rPr>
                <w:rFonts w:ascii="Arial" w:cs="Arial" w:eastAsia="Arial" w:hAnsi="Arial"/>
                <w:sz w:val="18"/>
                <w:szCs w:val="18"/>
                <w:color w:val="auto"/>
              </w:rPr>
              <w:t>Decrease/(increase) in prepaid expenses</w:t>
            </w:r>
          </w:p>
        </w:tc>
        <w:tc>
          <w:tcPr>
            <w:tcW w:w="1380" w:type="dxa"/>
            <w:vAlign w:val="bottom"/>
            <w:shd w:val="clear" w:color="auto" w:fill="D5EAEA"/>
          </w:tcPr>
          <w:p>
            <w:pPr>
              <w:jc w:val="center"/>
              <w:spacing w:after="0"/>
              <w:rPr>
                <w:sz w:val="20"/>
                <w:szCs w:val="20"/>
                <w:color w:val="auto"/>
              </w:rPr>
            </w:pPr>
            <w:r>
              <w:rPr>
                <w:rFonts w:ascii="Arial" w:cs="Arial" w:eastAsia="Arial" w:hAnsi="Arial"/>
                <w:sz w:val="18"/>
                <w:szCs w:val="18"/>
                <w:color w:val="auto"/>
                <w:w w:val="79"/>
              </w:rPr>
              <w:t>7</w:t>
            </w:r>
          </w:p>
        </w:tc>
        <w:tc>
          <w:tcPr>
            <w:tcW w:w="100" w:type="dxa"/>
            <w:vAlign w:val="bottom"/>
            <w:shd w:val="clear" w:color="auto" w:fill="D5EAEA"/>
          </w:tcPr>
          <w:p>
            <w:pPr>
              <w:spacing w:after="0"/>
              <w:rPr>
                <w:sz w:val="18"/>
                <w:szCs w:val="18"/>
                <w:color w:val="auto"/>
              </w:rPr>
            </w:pPr>
          </w:p>
        </w:tc>
        <w:tc>
          <w:tcPr>
            <w:tcW w:w="1340" w:type="dxa"/>
            <w:vAlign w:val="bottom"/>
            <w:shd w:val="clear" w:color="auto" w:fill="D5EAEA"/>
          </w:tcPr>
          <w:p>
            <w:pPr>
              <w:jc w:val="right"/>
              <w:ind w:right="30"/>
              <w:spacing w:after="0"/>
              <w:rPr>
                <w:sz w:val="20"/>
                <w:szCs w:val="20"/>
                <w:color w:val="auto"/>
              </w:rPr>
            </w:pPr>
            <w:r>
              <w:rPr>
                <w:rFonts w:ascii="Arial" w:cs="Arial" w:eastAsia="Arial" w:hAnsi="Arial"/>
                <w:sz w:val="18"/>
                <w:szCs w:val="18"/>
                <w:color w:val="auto"/>
              </w:rPr>
              <w:t>1,900</w:t>
            </w:r>
          </w:p>
        </w:tc>
        <w:tc>
          <w:tcPr>
            <w:tcW w:w="100" w:type="dxa"/>
            <w:vAlign w:val="bottom"/>
            <w:shd w:val="clear" w:color="auto" w:fill="D5EAEA"/>
          </w:tcPr>
          <w:p>
            <w:pPr>
              <w:spacing w:after="0"/>
              <w:rPr>
                <w:sz w:val="18"/>
                <w:szCs w:val="18"/>
                <w:color w:val="auto"/>
              </w:rPr>
            </w:pPr>
          </w:p>
        </w:tc>
        <w:tc>
          <w:tcPr>
            <w:tcW w:w="1340" w:type="dxa"/>
            <w:vAlign w:val="bottom"/>
            <w:shd w:val="clear" w:color="auto" w:fill="D5EAEA"/>
          </w:tcPr>
          <w:p>
            <w:pPr>
              <w:jc w:val="right"/>
              <w:spacing w:after="0"/>
              <w:rPr>
                <w:sz w:val="20"/>
                <w:szCs w:val="20"/>
                <w:color w:val="auto"/>
              </w:rPr>
            </w:pPr>
            <w:r>
              <w:rPr>
                <w:rFonts w:ascii="Arial" w:cs="Arial" w:eastAsia="Arial" w:hAnsi="Arial"/>
                <w:sz w:val="18"/>
                <w:szCs w:val="18"/>
                <w:color w:val="auto"/>
              </w:rPr>
              <w:t>(68)</w:t>
            </w:r>
          </w:p>
        </w:tc>
      </w:tr>
      <w:tr>
        <w:trPr>
          <w:trHeight w:val="216"/>
        </w:trPr>
        <w:tc>
          <w:tcPr>
            <w:tcW w:w="6980" w:type="dxa"/>
            <w:vAlign w:val="bottom"/>
          </w:tcPr>
          <w:p>
            <w:pPr>
              <w:spacing w:after="0"/>
              <w:rPr>
                <w:sz w:val="20"/>
                <w:szCs w:val="20"/>
                <w:color w:val="auto"/>
              </w:rPr>
            </w:pPr>
            <w:r>
              <w:rPr>
                <w:rFonts w:ascii="Arial" w:cs="Arial" w:eastAsia="Arial" w:hAnsi="Arial"/>
                <w:sz w:val="18"/>
                <w:szCs w:val="18"/>
                <w:color w:val="auto"/>
              </w:rPr>
              <w:t>Decrease in accrued income</w:t>
            </w:r>
          </w:p>
        </w:tc>
        <w:tc>
          <w:tcPr>
            <w:tcW w:w="1380" w:type="dxa"/>
            <w:vAlign w:val="bottom"/>
          </w:tcPr>
          <w:p>
            <w:pPr>
              <w:jc w:val="center"/>
              <w:spacing w:after="0"/>
              <w:rPr>
                <w:sz w:val="20"/>
                <w:szCs w:val="20"/>
                <w:color w:val="auto"/>
              </w:rPr>
            </w:pPr>
            <w:r>
              <w:rPr>
                <w:rFonts w:ascii="Arial" w:cs="Arial" w:eastAsia="Arial" w:hAnsi="Arial"/>
                <w:sz w:val="18"/>
                <w:szCs w:val="18"/>
                <w:color w:val="auto"/>
                <w:w w:val="79"/>
              </w:rPr>
              <w:t>3</w:t>
            </w:r>
          </w:p>
        </w:tc>
        <w:tc>
          <w:tcPr>
            <w:tcW w:w="100" w:type="dxa"/>
            <w:vAlign w:val="bottom"/>
          </w:tcPr>
          <w:p>
            <w:pPr>
              <w:spacing w:after="0"/>
              <w:rPr>
                <w:sz w:val="18"/>
                <w:szCs w:val="18"/>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1,447</w:t>
            </w:r>
          </w:p>
        </w:tc>
        <w:tc>
          <w:tcPr>
            <w:tcW w:w="100" w:type="dxa"/>
            <w:vAlign w:val="bottom"/>
          </w:tcPr>
          <w:p>
            <w:pPr>
              <w:spacing w:after="0"/>
              <w:rPr>
                <w:sz w:val="18"/>
                <w:szCs w:val="18"/>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151</w:t>
            </w:r>
          </w:p>
        </w:tc>
      </w:tr>
      <w:tr>
        <w:trPr>
          <w:trHeight w:val="216"/>
        </w:trPr>
        <w:tc>
          <w:tcPr>
            <w:tcW w:w="6980" w:type="dxa"/>
            <w:vAlign w:val="bottom"/>
            <w:shd w:val="clear" w:color="auto" w:fill="D5EAEA"/>
          </w:tcPr>
          <w:p>
            <w:pPr>
              <w:spacing w:after="0"/>
              <w:rPr>
                <w:sz w:val="20"/>
                <w:szCs w:val="20"/>
                <w:color w:val="auto"/>
              </w:rPr>
            </w:pPr>
            <w:r>
              <w:rPr>
                <w:rFonts w:ascii="Arial" w:cs="Arial" w:eastAsia="Arial" w:hAnsi="Arial"/>
                <w:sz w:val="18"/>
                <w:szCs w:val="18"/>
                <w:color w:val="auto"/>
              </w:rPr>
              <w:t>(Increase) in other current receivables</w:t>
            </w:r>
          </w:p>
        </w:tc>
        <w:tc>
          <w:tcPr>
            <w:tcW w:w="1380" w:type="dxa"/>
            <w:vAlign w:val="bottom"/>
            <w:shd w:val="clear" w:color="auto" w:fill="D5EAEA"/>
          </w:tcPr>
          <w:p>
            <w:pPr>
              <w:spacing w:after="0"/>
              <w:rPr>
                <w:sz w:val="18"/>
                <w:szCs w:val="18"/>
                <w:color w:val="auto"/>
              </w:rPr>
            </w:pPr>
          </w:p>
        </w:tc>
        <w:tc>
          <w:tcPr>
            <w:tcW w:w="100" w:type="dxa"/>
            <w:vAlign w:val="bottom"/>
            <w:shd w:val="clear" w:color="auto" w:fill="D5EAEA"/>
          </w:tcPr>
          <w:p>
            <w:pPr>
              <w:spacing w:after="0"/>
              <w:rPr>
                <w:sz w:val="18"/>
                <w:szCs w:val="18"/>
                <w:color w:val="auto"/>
              </w:rPr>
            </w:pPr>
          </w:p>
        </w:tc>
        <w:tc>
          <w:tcPr>
            <w:tcW w:w="1340" w:type="dxa"/>
            <w:vAlign w:val="bottom"/>
            <w:shd w:val="clear" w:color="auto" w:fill="D5EAEA"/>
          </w:tcPr>
          <w:p>
            <w:pPr>
              <w:jc w:val="right"/>
              <w:spacing w:after="0"/>
              <w:rPr>
                <w:sz w:val="20"/>
                <w:szCs w:val="20"/>
                <w:color w:val="auto"/>
              </w:rPr>
            </w:pPr>
            <w:r>
              <w:rPr>
                <w:rFonts w:ascii="Arial" w:cs="Arial" w:eastAsia="Arial" w:hAnsi="Arial"/>
                <w:sz w:val="18"/>
                <w:szCs w:val="18"/>
                <w:color w:val="auto"/>
              </w:rPr>
              <w:t>(11)</w:t>
            </w:r>
          </w:p>
        </w:tc>
        <w:tc>
          <w:tcPr>
            <w:tcW w:w="100" w:type="dxa"/>
            <w:vAlign w:val="bottom"/>
            <w:shd w:val="clear" w:color="auto" w:fill="D5EAEA"/>
          </w:tcPr>
          <w:p>
            <w:pPr>
              <w:spacing w:after="0"/>
              <w:rPr>
                <w:sz w:val="18"/>
                <w:szCs w:val="18"/>
                <w:color w:val="auto"/>
              </w:rPr>
            </w:pPr>
          </w:p>
        </w:tc>
        <w:tc>
          <w:tcPr>
            <w:tcW w:w="1340" w:type="dxa"/>
            <w:vAlign w:val="bottom"/>
            <w:shd w:val="clear" w:color="auto" w:fill="D5EAEA"/>
          </w:tcPr>
          <w:p>
            <w:pPr>
              <w:jc w:val="right"/>
              <w:spacing w:after="0"/>
              <w:rPr>
                <w:sz w:val="20"/>
                <w:szCs w:val="20"/>
                <w:color w:val="auto"/>
              </w:rPr>
            </w:pPr>
            <w:r>
              <w:rPr>
                <w:rFonts w:ascii="Arial" w:cs="Arial" w:eastAsia="Arial" w:hAnsi="Arial"/>
                <w:sz w:val="18"/>
                <w:szCs w:val="18"/>
                <w:color w:val="auto"/>
              </w:rPr>
              <w:t>(9)</w:t>
            </w:r>
          </w:p>
        </w:tc>
      </w:tr>
      <w:tr>
        <w:trPr>
          <w:trHeight w:val="216"/>
        </w:trPr>
        <w:tc>
          <w:tcPr>
            <w:tcW w:w="6980" w:type="dxa"/>
            <w:vAlign w:val="bottom"/>
          </w:tcPr>
          <w:p>
            <w:pPr>
              <w:spacing w:after="0"/>
              <w:rPr>
                <w:sz w:val="20"/>
                <w:szCs w:val="20"/>
                <w:color w:val="auto"/>
              </w:rPr>
            </w:pPr>
            <w:r>
              <w:rPr>
                <w:rFonts w:ascii="Arial" w:cs="Arial" w:eastAsia="Arial" w:hAnsi="Arial"/>
                <w:sz w:val="18"/>
                <w:szCs w:val="18"/>
                <w:color w:val="auto"/>
              </w:rPr>
              <w:t>Increase/(decrease) in accrued expenses</w:t>
            </w: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2,128</w:t>
            </w:r>
          </w:p>
        </w:tc>
        <w:tc>
          <w:tcPr>
            <w:tcW w:w="1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(827)</w:t>
            </w:r>
          </w:p>
        </w:tc>
      </w:tr>
      <w:tr>
        <w:trPr>
          <w:trHeight w:val="216"/>
        </w:trPr>
        <w:tc>
          <w:tcPr>
            <w:tcW w:w="6980" w:type="dxa"/>
            <w:vAlign w:val="bottom"/>
            <w:shd w:val="clear" w:color="auto" w:fill="D5EAEA"/>
          </w:tcPr>
          <w:p>
            <w:pPr>
              <w:spacing w:after="0"/>
              <w:rPr>
                <w:sz w:val="20"/>
                <w:szCs w:val="20"/>
                <w:color w:val="auto"/>
              </w:rPr>
            </w:pPr>
            <w:r>
              <w:rPr>
                <w:rFonts w:ascii="Arial" w:cs="Arial" w:eastAsia="Arial" w:hAnsi="Arial"/>
                <w:sz w:val="18"/>
                <w:szCs w:val="18"/>
                <w:color w:val="auto"/>
              </w:rPr>
              <w:t>(Decrease) in deferred income</w:t>
            </w:r>
          </w:p>
        </w:tc>
        <w:tc>
          <w:tcPr>
            <w:tcW w:w="1380" w:type="dxa"/>
            <w:vAlign w:val="bottom"/>
            <w:shd w:val="clear" w:color="auto" w:fill="D5EAEA"/>
          </w:tcPr>
          <w:p>
            <w:pPr>
              <w:jc w:val="center"/>
              <w:spacing w:after="0"/>
              <w:rPr>
                <w:sz w:val="20"/>
                <w:szCs w:val="20"/>
                <w:color w:val="auto"/>
              </w:rPr>
            </w:pPr>
            <w:r>
              <w:rPr>
                <w:rFonts w:ascii="Arial" w:cs="Arial" w:eastAsia="Arial" w:hAnsi="Arial"/>
                <w:sz w:val="18"/>
                <w:szCs w:val="18"/>
                <w:color w:val="auto"/>
                <w:w w:val="79"/>
              </w:rPr>
              <w:t>3</w:t>
            </w:r>
          </w:p>
        </w:tc>
        <w:tc>
          <w:tcPr>
            <w:tcW w:w="100" w:type="dxa"/>
            <w:vAlign w:val="bottom"/>
            <w:shd w:val="clear" w:color="auto" w:fill="D5EAEA"/>
          </w:tcPr>
          <w:p>
            <w:pPr>
              <w:spacing w:after="0"/>
              <w:rPr>
                <w:sz w:val="18"/>
                <w:szCs w:val="18"/>
                <w:color w:val="auto"/>
              </w:rPr>
            </w:pPr>
          </w:p>
        </w:tc>
        <w:tc>
          <w:tcPr>
            <w:tcW w:w="1340" w:type="dxa"/>
            <w:vAlign w:val="bottom"/>
            <w:shd w:val="clear" w:color="auto" w:fill="D5EAEA"/>
          </w:tcPr>
          <w:p>
            <w:pPr>
              <w:jc w:val="right"/>
              <w:spacing w:after="0"/>
              <w:rPr>
                <w:sz w:val="20"/>
                <w:szCs w:val="20"/>
                <w:color w:val="auto"/>
              </w:rPr>
            </w:pPr>
            <w:r>
              <w:rPr>
                <w:rFonts w:ascii="Arial" w:cs="Arial" w:eastAsia="Arial" w:hAnsi="Arial"/>
                <w:sz w:val="18"/>
                <w:szCs w:val="18"/>
                <w:color w:val="auto"/>
              </w:rPr>
              <w:t>(141)</w:t>
            </w:r>
          </w:p>
        </w:tc>
        <w:tc>
          <w:tcPr>
            <w:tcW w:w="100" w:type="dxa"/>
            <w:vAlign w:val="bottom"/>
            <w:shd w:val="clear" w:color="auto" w:fill="D5EAEA"/>
          </w:tcPr>
          <w:p>
            <w:pPr>
              <w:spacing w:after="0"/>
              <w:rPr>
                <w:sz w:val="18"/>
                <w:szCs w:val="18"/>
                <w:color w:val="auto"/>
              </w:rPr>
            </w:pPr>
          </w:p>
        </w:tc>
        <w:tc>
          <w:tcPr>
            <w:tcW w:w="1340" w:type="dxa"/>
            <w:vAlign w:val="bottom"/>
            <w:shd w:val="clear" w:color="auto" w:fill="D5EAEA"/>
          </w:tcPr>
          <w:p>
            <w:pPr>
              <w:jc w:val="right"/>
              <w:spacing w:after="0"/>
              <w:rPr>
                <w:sz w:val="20"/>
                <w:szCs w:val="20"/>
                <w:color w:val="auto"/>
              </w:rPr>
            </w:pPr>
            <w:r>
              <w:rPr>
                <w:rFonts w:ascii="Arial" w:cs="Arial" w:eastAsia="Arial" w:hAnsi="Arial"/>
                <w:sz w:val="18"/>
                <w:szCs w:val="18"/>
                <w:color w:val="auto"/>
              </w:rPr>
              <w:t>(3,390)</w:t>
            </w:r>
          </w:p>
        </w:tc>
      </w:tr>
      <w:tr>
        <w:trPr>
          <w:trHeight w:val="229"/>
        </w:trPr>
        <w:tc>
          <w:tcPr>
            <w:tcW w:w="6980" w:type="dxa"/>
            <w:vAlign w:val="bottom"/>
            <w:tcBorders>
              <w:bottom w:val="single" w:sz="8" w:color="D5EAEA"/>
            </w:tcBorders>
          </w:tcPr>
          <w:p>
            <w:pPr>
              <w:spacing w:after="0"/>
              <w:rPr>
                <w:sz w:val="20"/>
                <w:szCs w:val="20"/>
                <w:color w:val="auto"/>
              </w:rPr>
            </w:pPr>
            <w:r>
              <w:rPr>
                <w:rFonts w:ascii="Arial" w:cs="Arial" w:eastAsia="Arial" w:hAnsi="Arial"/>
                <w:sz w:val="18"/>
                <w:szCs w:val="18"/>
                <w:color w:val="auto"/>
              </w:rPr>
              <w:t>(Decrease)/increase in trade and other payables</w:t>
            </w:r>
          </w:p>
        </w:tc>
        <w:tc>
          <w:tcPr>
            <w:tcW w:w="1380" w:type="dxa"/>
            <w:vAlign w:val="bottom"/>
            <w:tcBorders>
              <w:bottom w:val="single" w:sz="8" w:color="D5EAEA"/>
            </w:tcBorders>
          </w:tcPr>
          <w:p>
            <w:pPr>
              <w:spacing w:after="0"/>
              <w:rPr>
                <w:sz w:val="19"/>
                <w:szCs w:val="19"/>
                <w:color w:val="auto"/>
              </w:rPr>
            </w:pPr>
          </w:p>
        </w:tc>
        <w:tc>
          <w:tcPr>
            <w:tcW w:w="100" w:type="dxa"/>
            <w:vAlign w:val="bottom"/>
            <w:tcBorders>
              <w:bottom w:val="single" w:sz="8" w:color="D5EAEA"/>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(1,897)</w:t>
            </w:r>
          </w:p>
        </w:tc>
        <w:tc>
          <w:tcPr>
            <w:tcW w:w="100" w:type="dxa"/>
            <w:vAlign w:val="bottom"/>
            <w:tcBorders>
              <w:bottom w:val="single" w:sz="8" w:color="D5EAEA"/>
            </w:tcBorders>
          </w:tcPr>
          <w:p>
            <w:pPr>
              <w:spacing w:after="0"/>
              <w:rPr>
                <w:sz w:val="19"/>
                <w:szCs w:val="19"/>
                <w:color w:val="auto"/>
              </w:rPr>
            </w:pPr>
          </w:p>
        </w:tc>
        <w:tc>
          <w:tcPr>
            <w:tcW w:w="13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943</w:t>
            </w:r>
          </w:p>
        </w:tc>
      </w:tr>
      <w:tr>
        <w:trPr>
          <w:trHeight w:val="210"/>
        </w:trPr>
        <w:tc>
          <w:tcPr>
            <w:tcW w:w="6980" w:type="dxa"/>
            <w:vAlign w:val="bottom"/>
            <w:shd w:val="clear" w:color="auto" w:fill="D5EAEA"/>
          </w:tcPr>
          <w:p>
            <w:pPr>
              <w:spacing w:after="0"/>
              <w:rPr>
                <w:sz w:val="20"/>
                <w:szCs w:val="20"/>
                <w:color w:val="auto"/>
              </w:rPr>
            </w:pPr>
            <w:r>
              <w:rPr>
                <w:rFonts w:ascii="Arial" w:cs="Arial" w:eastAsia="Arial" w:hAnsi="Arial"/>
                <w:sz w:val="18"/>
                <w:szCs w:val="18"/>
                <w:b w:val="1"/>
                <w:bCs w:val="1"/>
                <w:color w:val="auto"/>
              </w:rPr>
              <w:t>Cash used in operating activities</w:t>
            </w:r>
          </w:p>
        </w:tc>
        <w:tc>
          <w:tcPr>
            <w:tcW w:w="1380" w:type="dxa"/>
            <w:vAlign w:val="bottom"/>
            <w:shd w:val="clear" w:color="auto" w:fill="D5EAEA"/>
          </w:tcPr>
          <w:p>
            <w:pPr>
              <w:spacing w:after="0"/>
              <w:rPr>
                <w:sz w:val="18"/>
                <w:szCs w:val="18"/>
                <w:color w:val="auto"/>
              </w:rPr>
            </w:pPr>
          </w:p>
        </w:tc>
        <w:tc>
          <w:tcPr>
            <w:tcW w:w="100" w:type="dxa"/>
            <w:vAlign w:val="bottom"/>
            <w:shd w:val="clear" w:color="auto" w:fill="D5EAEA"/>
          </w:tcPr>
          <w:p>
            <w:pPr>
              <w:spacing w:after="0"/>
              <w:rPr>
                <w:sz w:val="18"/>
                <w:szCs w:val="18"/>
                <w:color w:val="auto"/>
              </w:rPr>
            </w:pPr>
          </w:p>
        </w:tc>
        <w:tc>
          <w:tcPr>
            <w:tcW w:w="1340" w:type="dxa"/>
            <w:vAlign w:val="bottom"/>
            <w:shd w:val="clear" w:color="auto" w:fill="D5EAEA"/>
          </w:tcPr>
          <w:p>
            <w:pPr>
              <w:jc w:val="right"/>
              <w:spacing w:after="0"/>
              <w:rPr>
                <w:sz w:val="20"/>
                <w:szCs w:val="20"/>
                <w:color w:val="auto"/>
              </w:rPr>
            </w:pPr>
            <w:r>
              <w:rPr>
                <w:rFonts w:ascii="Arial" w:cs="Arial" w:eastAsia="Arial" w:hAnsi="Arial"/>
                <w:sz w:val="18"/>
                <w:szCs w:val="18"/>
                <w:color w:val="auto"/>
              </w:rPr>
              <w:t>(47,522)</w:t>
            </w:r>
          </w:p>
        </w:tc>
        <w:tc>
          <w:tcPr>
            <w:tcW w:w="100" w:type="dxa"/>
            <w:vAlign w:val="bottom"/>
            <w:shd w:val="clear" w:color="auto" w:fill="D5EAEA"/>
          </w:tcPr>
          <w:p>
            <w:pPr>
              <w:spacing w:after="0"/>
              <w:rPr>
                <w:sz w:val="18"/>
                <w:szCs w:val="18"/>
                <w:color w:val="auto"/>
              </w:rPr>
            </w:pPr>
          </w:p>
        </w:tc>
        <w:tc>
          <w:tcPr>
            <w:tcW w:w="1340" w:type="dxa"/>
            <w:vAlign w:val="bottom"/>
            <w:shd w:val="clear" w:color="auto" w:fill="D5EAEA"/>
          </w:tcPr>
          <w:p>
            <w:pPr>
              <w:jc w:val="right"/>
              <w:spacing w:after="0"/>
              <w:rPr>
                <w:sz w:val="20"/>
                <w:szCs w:val="20"/>
                <w:color w:val="auto"/>
              </w:rPr>
            </w:pPr>
            <w:r>
              <w:rPr>
                <w:rFonts w:ascii="Arial" w:cs="Arial" w:eastAsia="Arial" w:hAnsi="Arial"/>
                <w:sz w:val="18"/>
                <w:szCs w:val="18"/>
                <w:color w:val="auto"/>
              </w:rPr>
              <w:t>(39,997)</w:t>
            </w:r>
          </w:p>
        </w:tc>
      </w:tr>
      <w:tr>
        <w:trPr>
          <w:trHeight w:val="216"/>
        </w:trPr>
        <w:tc>
          <w:tcPr>
            <w:tcW w:w="6980" w:type="dxa"/>
            <w:vAlign w:val="bottom"/>
          </w:tcPr>
          <w:p>
            <w:pPr>
              <w:spacing w:after="0"/>
              <w:rPr>
                <w:sz w:val="20"/>
                <w:szCs w:val="20"/>
                <w:color w:val="auto"/>
              </w:rPr>
            </w:pPr>
            <w:r>
              <w:rPr>
                <w:rFonts w:ascii="Arial" w:cs="Arial" w:eastAsia="Arial" w:hAnsi="Arial"/>
                <w:sz w:val="18"/>
                <w:szCs w:val="18"/>
                <w:color w:val="auto"/>
              </w:rPr>
              <w:t>Interest income</w:t>
            </w: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78</w:t>
            </w:r>
          </w:p>
        </w:tc>
      </w:tr>
      <w:tr>
        <w:trPr>
          <w:trHeight w:val="216"/>
        </w:trPr>
        <w:tc>
          <w:tcPr>
            <w:tcW w:w="6980" w:type="dxa"/>
            <w:vAlign w:val="bottom"/>
            <w:shd w:val="clear" w:color="auto" w:fill="D5EAEA"/>
          </w:tcPr>
          <w:p>
            <w:pPr>
              <w:spacing w:after="0"/>
              <w:rPr>
                <w:sz w:val="20"/>
                <w:szCs w:val="20"/>
                <w:color w:val="auto"/>
              </w:rPr>
            </w:pPr>
            <w:r>
              <w:rPr>
                <w:rFonts w:ascii="Arial" w:cs="Arial" w:eastAsia="Arial" w:hAnsi="Arial"/>
                <w:sz w:val="18"/>
                <w:szCs w:val="18"/>
                <w:color w:val="auto"/>
              </w:rPr>
              <w:t>Interest paid</w:t>
            </w:r>
          </w:p>
        </w:tc>
        <w:tc>
          <w:tcPr>
            <w:tcW w:w="1380" w:type="dxa"/>
            <w:vAlign w:val="bottom"/>
            <w:shd w:val="clear" w:color="auto" w:fill="D5EAEA"/>
          </w:tcPr>
          <w:p>
            <w:pPr>
              <w:spacing w:after="0"/>
              <w:rPr>
                <w:sz w:val="18"/>
                <w:szCs w:val="18"/>
                <w:color w:val="auto"/>
              </w:rPr>
            </w:pPr>
          </w:p>
        </w:tc>
        <w:tc>
          <w:tcPr>
            <w:tcW w:w="100" w:type="dxa"/>
            <w:vAlign w:val="bottom"/>
            <w:shd w:val="clear" w:color="auto" w:fill="D5EAEA"/>
          </w:tcPr>
          <w:p>
            <w:pPr>
              <w:spacing w:after="0"/>
              <w:rPr>
                <w:sz w:val="18"/>
                <w:szCs w:val="18"/>
                <w:color w:val="auto"/>
              </w:rPr>
            </w:pPr>
          </w:p>
        </w:tc>
        <w:tc>
          <w:tcPr>
            <w:tcW w:w="1340" w:type="dxa"/>
            <w:vAlign w:val="bottom"/>
            <w:shd w:val="clear" w:color="auto" w:fill="D5EAEA"/>
          </w:tcPr>
          <w:p>
            <w:pPr>
              <w:jc w:val="right"/>
              <w:spacing w:after="0"/>
              <w:rPr>
                <w:sz w:val="20"/>
                <w:szCs w:val="20"/>
                <w:color w:val="auto"/>
              </w:rPr>
            </w:pPr>
            <w:r>
              <w:rPr>
                <w:rFonts w:ascii="Arial" w:cs="Arial" w:eastAsia="Arial" w:hAnsi="Arial"/>
                <w:sz w:val="18"/>
                <w:szCs w:val="18"/>
                <w:color w:val="auto"/>
              </w:rPr>
              <w:t>(334)</w:t>
            </w:r>
          </w:p>
        </w:tc>
        <w:tc>
          <w:tcPr>
            <w:tcW w:w="100" w:type="dxa"/>
            <w:vAlign w:val="bottom"/>
            <w:shd w:val="clear" w:color="auto" w:fill="D5EAEA"/>
          </w:tcPr>
          <w:p>
            <w:pPr>
              <w:spacing w:after="0"/>
              <w:rPr>
                <w:sz w:val="18"/>
                <w:szCs w:val="18"/>
                <w:color w:val="auto"/>
              </w:rPr>
            </w:pPr>
          </w:p>
        </w:tc>
        <w:tc>
          <w:tcPr>
            <w:tcW w:w="1340" w:type="dxa"/>
            <w:vAlign w:val="bottom"/>
            <w:shd w:val="clear" w:color="auto" w:fill="D5EAEA"/>
          </w:tcPr>
          <w:p>
            <w:pPr>
              <w:jc w:val="right"/>
              <w:spacing w:after="0"/>
              <w:rPr>
                <w:sz w:val="20"/>
                <w:szCs w:val="20"/>
                <w:color w:val="auto"/>
              </w:rPr>
            </w:pPr>
            <w:r>
              <w:rPr>
                <w:rFonts w:ascii="Arial" w:cs="Arial" w:eastAsia="Arial" w:hAnsi="Arial"/>
                <w:sz w:val="18"/>
                <w:szCs w:val="18"/>
                <w:color w:val="auto"/>
              </w:rPr>
              <w:t>(228)</w:t>
            </w:r>
          </w:p>
        </w:tc>
      </w:tr>
      <w:tr>
        <w:trPr>
          <w:trHeight w:val="230"/>
        </w:trPr>
        <w:tc>
          <w:tcPr>
            <w:tcW w:w="6980" w:type="dxa"/>
            <w:vAlign w:val="bottom"/>
            <w:tcBorders>
              <w:bottom w:val="single" w:sz="8" w:color="D5EAEA"/>
            </w:tcBorders>
          </w:tcPr>
          <w:p>
            <w:pPr>
              <w:spacing w:after="0"/>
              <w:rPr>
                <w:sz w:val="20"/>
                <w:szCs w:val="20"/>
                <w:color w:val="auto"/>
              </w:rPr>
            </w:pPr>
            <w:r>
              <w:rPr>
                <w:rFonts w:ascii="Arial" w:cs="Arial" w:eastAsia="Arial" w:hAnsi="Arial"/>
                <w:sz w:val="18"/>
                <w:szCs w:val="18"/>
                <w:color w:val="auto"/>
              </w:rPr>
              <w:t>Finance costs</w:t>
            </w:r>
          </w:p>
        </w:tc>
        <w:tc>
          <w:tcPr>
            <w:tcW w:w="1380" w:type="dxa"/>
            <w:vAlign w:val="bottom"/>
            <w:tcBorders>
              <w:bottom w:val="single" w:sz="8" w:color="D5EAEA"/>
            </w:tcBorders>
          </w:tcPr>
          <w:p>
            <w:pPr>
              <w:spacing w:after="0"/>
              <w:rPr>
                <w:sz w:val="19"/>
                <w:szCs w:val="19"/>
                <w:color w:val="auto"/>
              </w:rPr>
            </w:pPr>
          </w:p>
        </w:tc>
        <w:tc>
          <w:tcPr>
            <w:tcW w:w="100" w:type="dxa"/>
            <w:vAlign w:val="bottom"/>
            <w:tcBorders>
              <w:bottom w:val="single" w:sz="8" w:color="D5EAEA"/>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D5EAEA"/>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w:t>
            </w:r>
          </w:p>
        </w:tc>
      </w:tr>
      <w:tr>
        <w:trPr>
          <w:trHeight w:val="223"/>
        </w:trPr>
        <w:tc>
          <w:tcPr>
            <w:tcW w:w="6980" w:type="dxa"/>
            <w:vAlign w:val="bottom"/>
            <w:tcBorders>
              <w:bottom w:val="single" w:sz="8" w:color="D5EAEA"/>
            </w:tcBorders>
            <w:shd w:val="clear" w:color="auto" w:fill="D5EAEA"/>
          </w:tcPr>
          <w:p>
            <w:pPr>
              <w:spacing w:after="0"/>
              <w:rPr>
                <w:sz w:val="20"/>
                <w:szCs w:val="20"/>
                <w:color w:val="auto"/>
              </w:rPr>
            </w:pPr>
            <w:r>
              <w:rPr>
                <w:rFonts w:ascii="Arial" w:cs="Arial" w:eastAsia="Arial" w:hAnsi="Arial"/>
                <w:sz w:val="18"/>
                <w:szCs w:val="18"/>
                <w:b w:val="1"/>
                <w:bCs w:val="1"/>
                <w:color w:val="auto"/>
              </w:rPr>
              <w:t>Net cash flows used in operating activities</w:t>
            </w:r>
          </w:p>
        </w:tc>
        <w:tc>
          <w:tcPr>
            <w:tcW w:w="1380" w:type="dxa"/>
            <w:vAlign w:val="bottom"/>
            <w:tcBorders>
              <w:bottom w:val="single" w:sz="8" w:color="D5EAEA"/>
            </w:tcBorders>
            <w:shd w:val="clear" w:color="auto" w:fill="D5EAEA"/>
          </w:tcPr>
          <w:p>
            <w:pPr>
              <w:spacing w:after="0"/>
              <w:rPr>
                <w:sz w:val="19"/>
                <w:szCs w:val="19"/>
                <w:color w:val="auto"/>
              </w:rPr>
            </w:pPr>
          </w:p>
        </w:tc>
        <w:tc>
          <w:tcPr>
            <w:tcW w:w="100" w:type="dxa"/>
            <w:vAlign w:val="bottom"/>
            <w:tcBorders>
              <w:bottom w:val="single" w:sz="8" w:color="D5EAEA"/>
            </w:tcBorders>
            <w:shd w:val="clear" w:color="auto" w:fill="D5EAEA"/>
          </w:tcPr>
          <w:p>
            <w:pPr>
              <w:spacing w:after="0"/>
              <w:rPr>
                <w:sz w:val="19"/>
                <w:szCs w:val="19"/>
                <w:color w:val="auto"/>
              </w:rPr>
            </w:pPr>
          </w:p>
        </w:tc>
        <w:tc>
          <w:tcPr>
            <w:tcW w:w="1340" w:type="dxa"/>
            <w:vAlign w:val="bottom"/>
            <w:tcBorders>
              <w:bottom w:val="single" w:sz="8" w:color="auto"/>
            </w:tcBorders>
            <w:shd w:val="clear" w:color="auto" w:fill="D5EAEA"/>
          </w:tcPr>
          <w:p>
            <w:pPr>
              <w:jc w:val="right"/>
              <w:spacing w:after="0"/>
              <w:rPr>
                <w:sz w:val="20"/>
                <w:szCs w:val="20"/>
                <w:color w:val="auto"/>
              </w:rPr>
            </w:pPr>
            <w:r>
              <w:rPr>
                <w:rFonts w:ascii="Arial" w:cs="Arial" w:eastAsia="Arial" w:hAnsi="Arial"/>
                <w:sz w:val="18"/>
                <w:szCs w:val="18"/>
                <w:color w:val="auto"/>
              </w:rPr>
              <w:t>(47,861)</w:t>
            </w:r>
          </w:p>
        </w:tc>
        <w:tc>
          <w:tcPr>
            <w:tcW w:w="100" w:type="dxa"/>
            <w:vAlign w:val="bottom"/>
            <w:tcBorders>
              <w:bottom w:val="single" w:sz="8" w:color="D5EAEA"/>
            </w:tcBorders>
            <w:shd w:val="clear" w:color="auto" w:fill="D5EAEA"/>
          </w:tcPr>
          <w:p>
            <w:pPr>
              <w:spacing w:after="0"/>
              <w:rPr>
                <w:sz w:val="19"/>
                <w:szCs w:val="19"/>
                <w:color w:val="auto"/>
              </w:rPr>
            </w:pPr>
          </w:p>
        </w:tc>
        <w:tc>
          <w:tcPr>
            <w:tcW w:w="1340" w:type="dxa"/>
            <w:vAlign w:val="bottom"/>
            <w:tcBorders>
              <w:bottom w:val="single" w:sz="8" w:color="auto"/>
            </w:tcBorders>
            <w:shd w:val="clear" w:color="auto" w:fill="D5EAEA"/>
          </w:tcPr>
          <w:p>
            <w:pPr>
              <w:jc w:val="right"/>
              <w:spacing w:after="0"/>
              <w:rPr>
                <w:sz w:val="20"/>
                <w:szCs w:val="20"/>
                <w:color w:val="auto"/>
              </w:rPr>
            </w:pPr>
            <w:r>
              <w:rPr>
                <w:rFonts w:ascii="Arial" w:cs="Arial" w:eastAsia="Arial" w:hAnsi="Arial"/>
                <w:sz w:val="18"/>
                <w:szCs w:val="18"/>
                <w:color w:val="auto"/>
              </w:rPr>
              <w:t>(40,154)</w:t>
            </w:r>
          </w:p>
        </w:tc>
      </w:tr>
      <w:tr>
        <w:trPr>
          <w:trHeight w:val="20"/>
        </w:trPr>
        <w:tc>
          <w:tcPr>
            <w:tcW w:w="69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r>
        <w:trPr>
          <w:trHeight w:val="197"/>
        </w:trPr>
        <w:tc>
          <w:tcPr>
            <w:tcW w:w="69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tcPr>
          <w:p>
            <w:pPr>
              <w:spacing w:after="0"/>
              <w:rPr>
                <w:sz w:val="17"/>
                <w:szCs w:val="17"/>
                <w:color w:val="auto"/>
              </w:rPr>
            </w:pPr>
          </w:p>
        </w:tc>
      </w:tr>
      <w:tr>
        <w:trPr>
          <w:trHeight w:val="216"/>
        </w:trPr>
        <w:tc>
          <w:tcPr>
            <w:tcW w:w="6980" w:type="dxa"/>
            <w:vAlign w:val="bottom"/>
            <w:shd w:val="clear" w:color="auto" w:fill="D5EAEA"/>
          </w:tcPr>
          <w:p>
            <w:pPr>
              <w:spacing w:after="0"/>
              <w:rPr>
                <w:sz w:val="20"/>
                <w:szCs w:val="20"/>
                <w:color w:val="auto"/>
              </w:rPr>
            </w:pPr>
            <w:r>
              <w:rPr>
                <w:rFonts w:ascii="Arial" w:cs="Arial" w:eastAsia="Arial" w:hAnsi="Arial"/>
                <w:sz w:val="18"/>
                <w:szCs w:val="18"/>
                <w:b w:val="1"/>
                <w:bCs w:val="1"/>
                <w:color w:val="auto"/>
              </w:rPr>
              <w:t>Investing activities</w:t>
            </w:r>
          </w:p>
        </w:tc>
        <w:tc>
          <w:tcPr>
            <w:tcW w:w="1380" w:type="dxa"/>
            <w:vAlign w:val="bottom"/>
            <w:shd w:val="clear" w:color="auto" w:fill="D5EAEA"/>
          </w:tcPr>
          <w:p>
            <w:pPr>
              <w:spacing w:after="0"/>
              <w:rPr>
                <w:sz w:val="18"/>
                <w:szCs w:val="18"/>
                <w:color w:val="auto"/>
              </w:rPr>
            </w:pPr>
          </w:p>
        </w:tc>
        <w:tc>
          <w:tcPr>
            <w:tcW w:w="100" w:type="dxa"/>
            <w:vAlign w:val="bottom"/>
            <w:shd w:val="clear" w:color="auto" w:fill="D5EAEA"/>
          </w:tcPr>
          <w:p>
            <w:pPr>
              <w:spacing w:after="0"/>
              <w:rPr>
                <w:sz w:val="18"/>
                <w:szCs w:val="18"/>
                <w:color w:val="auto"/>
              </w:rPr>
            </w:pPr>
          </w:p>
        </w:tc>
        <w:tc>
          <w:tcPr>
            <w:tcW w:w="1340" w:type="dxa"/>
            <w:vAlign w:val="bottom"/>
            <w:shd w:val="clear" w:color="auto" w:fill="D5EAEA"/>
          </w:tcPr>
          <w:p>
            <w:pPr>
              <w:spacing w:after="0"/>
              <w:rPr>
                <w:sz w:val="18"/>
                <w:szCs w:val="18"/>
                <w:color w:val="auto"/>
              </w:rPr>
            </w:pPr>
          </w:p>
        </w:tc>
        <w:tc>
          <w:tcPr>
            <w:tcW w:w="100" w:type="dxa"/>
            <w:vAlign w:val="bottom"/>
            <w:shd w:val="clear" w:color="auto" w:fill="D5EAEA"/>
          </w:tcPr>
          <w:p>
            <w:pPr>
              <w:spacing w:after="0"/>
              <w:rPr>
                <w:sz w:val="18"/>
                <w:szCs w:val="18"/>
                <w:color w:val="auto"/>
              </w:rPr>
            </w:pPr>
          </w:p>
        </w:tc>
        <w:tc>
          <w:tcPr>
            <w:tcW w:w="1340" w:type="dxa"/>
            <w:vAlign w:val="bottom"/>
            <w:shd w:val="clear" w:color="auto" w:fill="D5EAEA"/>
          </w:tcPr>
          <w:p>
            <w:pPr>
              <w:spacing w:after="0"/>
              <w:rPr>
                <w:sz w:val="18"/>
                <w:szCs w:val="18"/>
                <w:color w:val="auto"/>
              </w:rPr>
            </w:pPr>
          </w:p>
        </w:tc>
      </w:tr>
      <w:tr>
        <w:trPr>
          <w:trHeight w:val="216"/>
        </w:trPr>
        <w:tc>
          <w:tcPr>
            <w:tcW w:w="6980" w:type="dxa"/>
            <w:vAlign w:val="bottom"/>
          </w:tcPr>
          <w:p>
            <w:pPr>
              <w:spacing w:after="0"/>
              <w:rPr>
                <w:sz w:val="20"/>
                <w:szCs w:val="20"/>
                <w:color w:val="auto"/>
              </w:rPr>
            </w:pPr>
            <w:r>
              <w:rPr>
                <w:rFonts w:ascii="Arial" w:cs="Arial" w:eastAsia="Arial" w:hAnsi="Arial"/>
                <w:sz w:val="18"/>
                <w:szCs w:val="18"/>
                <w:color w:val="auto"/>
              </w:rPr>
              <w:t>Short-term financial assets, net</w:t>
            </w:r>
          </w:p>
        </w:tc>
        <w:tc>
          <w:tcPr>
            <w:tcW w:w="1380" w:type="dxa"/>
            <w:vAlign w:val="bottom"/>
          </w:tcPr>
          <w:p>
            <w:pPr>
              <w:jc w:val="center"/>
              <w:spacing w:after="0"/>
              <w:rPr>
                <w:sz w:val="20"/>
                <w:szCs w:val="20"/>
                <w:color w:val="auto"/>
              </w:rPr>
            </w:pPr>
            <w:r>
              <w:rPr>
                <w:rFonts w:ascii="Arial" w:cs="Arial" w:eastAsia="Arial" w:hAnsi="Arial"/>
                <w:sz w:val="18"/>
                <w:szCs w:val="18"/>
                <w:color w:val="auto"/>
                <w:w w:val="79"/>
              </w:rPr>
              <w:t>8</w:t>
            </w:r>
          </w:p>
        </w:tc>
        <w:tc>
          <w:tcPr>
            <w:tcW w:w="1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(30,000)</w:t>
            </w:r>
          </w:p>
        </w:tc>
        <w:tc>
          <w:tcPr>
            <w:tcW w:w="100" w:type="dxa"/>
            <w:vAlign w:val="bottom"/>
          </w:tcPr>
          <w:p>
            <w:pPr>
              <w:spacing w:after="0"/>
              <w:rPr>
                <w:sz w:val="18"/>
                <w:szCs w:val="18"/>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25,000</w:t>
            </w:r>
          </w:p>
        </w:tc>
      </w:tr>
      <w:tr>
        <w:trPr>
          <w:trHeight w:val="216"/>
        </w:trPr>
        <w:tc>
          <w:tcPr>
            <w:tcW w:w="6980" w:type="dxa"/>
            <w:vAlign w:val="bottom"/>
            <w:shd w:val="clear" w:color="auto" w:fill="D5EAEA"/>
          </w:tcPr>
          <w:p>
            <w:pPr>
              <w:spacing w:after="0"/>
              <w:rPr>
                <w:sz w:val="20"/>
                <w:szCs w:val="20"/>
                <w:color w:val="auto"/>
              </w:rPr>
            </w:pPr>
            <w:r>
              <w:rPr>
                <w:rFonts w:ascii="Arial" w:cs="Arial" w:eastAsia="Arial" w:hAnsi="Arial"/>
                <w:sz w:val="18"/>
                <w:szCs w:val="18"/>
                <w:color w:val="auto"/>
              </w:rPr>
              <w:t>Purchases of property, plant and equipment</w:t>
            </w:r>
          </w:p>
        </w:tc>
        <w:tc>
          <w:tcPr>
            <w:tcW w:w="1380" w:type="dxa"/>
            <w:vAlign w:val="bottom"/>
            <w:shd w:val="clear" w:color="auto" w:fill="D5EAEA"/>
          </w:tcPr>
          <w:p>
            <w:pPr>
              <w:jc w:val="center"/>
              <w:spacing w:after="0"/>
              <w:rPr>
                <w:sz w:val="20"/>
                <w:szCs w:val="20"/>
                <w:color w:val="auto"/>
              </w:rPr>
            </w:pPr>
            <w:r>
              <w:rPr>
                <w:rFonts w:ascii="Arial" w:cs="Arial" w:eastAsia="Arial" w:hAnsi="Arial"/>
                <w:sz w:val="18"/>
                <w:szCs w:val="18"/>
                <w:color w:val="auto"/>
                <w:w w:val="79"/>
              </w:rPr>
              <w:t>5</w:t>
            </w:r>
          </w:p>
        </w:tc>
        <w:tc>
          <w:tcPr>
            <w:tcW w:w="100" w:type="dxa"/>
            <w:vAlign w:val="bottom"/>
            <w:shd w:val="clear" w:color="auto" w:fill="D5EAEA"/>
          </w:tcPr>
          <w:p>
            <w:pPr>
              <w:spacing w:after="0"/>
              <w:rPr>
                <w:sz w:val="18"/>
                <w:szCs w:val="18"/>
                <w:color w:val="auto"/>
              </w:rPr>
            </w:pPr>
          </w:p>
        </w:tc>
        <w:tc>
          <w:tcPr>
            <w:tcW w:w="1340" w:type="dxa"/>
            <w:vAlign w:val="bottom"/>
            <w:shd w:val="clear" w:color="auto" w:fill="D5EAEA"/>
          </w:tcPr>
          <w:p>
            <w:pPr>
              <w:jc w:val="right"/>
              <w:spacing w:after="0"/>
              <w:rPr>
                <w:sz w:val="20"/>
                <w:szCs w:val="20"/>
                <w:color w:val="auto"/>
              </w:rPr>
            </w:pPr>
            <w:r>
              <w:rPr>
                <w:rFonts w:ascii="Arial" w:cs="Arial" w:eastAsia="Arial" w:hAnsi="Arial"/>
                <w:sz w:val="18"/>
                <w:szCs w:val="18"/>
                <w:color w:val="auto"/>
              </w:rPr>
              <w:t>(1,913)</w:t>
            </w:r>
          </w:p>
        </w:tc>
        <w:tc>
          <w:tcPr>
            <w:tcW w:w="100" w:type="dxa"/>
            <w:vAlign w:val="bottom"/>
            <w:shd w:val="clear" w:color="auto" w:fill="D5EAEA"/>
          </w:tcPr>
          <w:p>
            <w:pPr>
              <w:spacing w:after="0"/>
              <w:rPr>
                <w:sz w:val="18"/>
                <w:szCs w:val="18"/>
                <w:color w:val="auto"/>
              </w:rPr>
            </w:pPr>
          </w:p>
        </w:tc>
        <w:tc>
          <w:tcPr>
            <w:tcW w:w="1340" w:type="dxa"/>
            <w:vAlign w:val="bottom"/>
            <w:shd w:val="clear" w:color="auto" w:fill="D5EAEA"/>
          </w:tcPr>
          <w:p>
            <w:pPr>
              <w:jc w:val="right"/>
              <w:spacing w:after="0"/>
              <w:rPr>
                <w:sz w:val="20"/>
                <w:szCs w:val="20"/>
                <w:color w:val="auto"/>
              </w:rPr>
            </w:pPr>
            <w:r>
              <w:rPr>
                <w:rFonts w:ascii="Arial" w:cs="Arial" w:eastAsia="Arial" w:hAnsi="Arial"/>
                <w:sz w:val="18"/>
                <w:szCs w:val="18"/>
                <w:color w:val="auto"/>
              </w:rPr>
              <w:t>(837)</w:t>
            </w:r>
          </w:p>
        </w:tc>
      </w:tr>
      <w:tr>
        <w:trPr>
          <w:trHeight w:val="230"/>
        </w:trPr>
        <w:tc>
          <w:tcPr>
            <w:tcW w:w="6980" w:type="dxa"/>
            <w:vAlign w:val="bottom"/>
            <w:tcBorders>
              <w:bottom w:val="single" w:sz="8" w:color="D5EAEA"/>
            </w:tcBorders>
          </w:tcPr>
          <w:p>
            <w:pPr>
              <w:spacing w:after="0"/>
              <w:rPr>
                <w:sz w:val="20"/>
                <w:szCs w:val="20"/>
                <w:color w:val="auto"/>
              </w:rPr>
            </w:pPr>
            <w:r>
              <w:rPr>
                <w:rFonts w:ascii="Arial" w:cs="Arial" w:eastAsia="Arial" w:hAnsi="Arial"/>
                <w:sz w:val="18"/>
                <w:szCs w:val="18"/>
                <w:color w:val="auto"/>
              </w:rPr>
              <w:t>Rental deposits</w:t>
            </w:r>
          </w:p>
        </w:tc>
        <w:tc>
          <w:tcPr>
            <w:tcW w:w="1380" w:type="dxa"/>
            <w:vAlign w:val="bottom"/>
            <w:tcBorders>
              <w:bottom w:val="single" w:sz="8" w:color="D5EAEA"/>
            </w:tcBorders>
          </w:tcPr>
          <w:p>
            <w:pPr>
              <w:jc w:val="center"/>
              <w:spacing w:after="0"/>
              <w:rPr>
                <w:sz w:val="20"/>
                <w:szCs w:val="20"/>
                <w:color w:val="auto"/>
              </w:rPr>
            </w:pPr>
            <w:r>
              <w:rPr>
                <w:rFonts w:ascii="Arial" w:cs="Arial" w:eastAsia="Arial" w:hAnsi="Arial"/>
                <w:sz w:val="18"/>
                <w:szCs w:val="18"/>
                <w:color w:val="auto"/>
                <w:w w:val="79"/>
              </w:rPr>
              <w:t>8</w:t>
            </w:r>
          </w:p>
        </w:tc>
        <w:tc>
          <w:tcPr>
            <w:tcW w:w="100" w:type="dxa"/>
            <w:vAlign w:val="bottom"/>
            <w:tcBorders>
              <w:bottom w:val="single" w:sz="8" w:color="D5EAEA"/>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w:t>
            </w:r>
          </w:p>
        </w:tc>
        <w:tc>
          <w:tcPr>
            <w:tcW w:w="100" w:type="dxa"/>
            <w:vAlign w:val="bottom"/>
            <w:tcBorders>
              <w:bottom w:val="single" w:sz="8" w:color="D5EAEA"/>
            </w:tcBorders>
          </w:tcPr>
          <w:p>
            <w:pPr>
              <w:spacing w:after="0"/>
              <w:rPr>
                <w:sz w:val="19"/>
                <w:szCs w:val="19"/>
                <w:color w:val="auto"/>
              </w:rPr>
            </w:pPr>
          </w:p>
        </w:tc>
        <w:tc>
          <w:tcPr>
            <w:tcW w:w="13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r>
      <w:tr>
        <w:trPr>
          <w:trHeight w:val="223"/>
        </w:trPr>
        <w:tc>
          <w:tcPr>
            <w:tcW w:w="6980" w:type="dxa"/>
            <w:vAlign w:val="bottom"/>
            <w:tcBorders>
              <w:bottom w:val="single" w:sz="8" w:color="D5EAEA"/>
            </w:tcBorders>
            <w:shd w:val="clear" w:color="auto" w:fill="D5EAEA"/>
          </w:tcPr>
          <w:p>
            <w:pPr>
              <w:spacing w:after="0"/>
              <w:rPr>
                <w:sz w:val="20"/>
                <w:szCs w:val="20"/>
                <w:color w:val="auto"/>
              </w:rPr>
            </w:pPr>
            <w:r>
              <w:rPr>
                <w:rFonts w:ascii="Arial" w:cs="Arial" w:eastAsia="Arial" w:hAnsi="Arial"/>
                <w:sz w:val="18"/>
                <w:szCs w:val="18"/>
                <w:b w:val="1"/>
                <w:bCs w:val="1"/>
                <w:color w:val="auto"/>
              </w:rPr>
              <w:t>Net cash flows (used in)/provided by investing activities</w:t>
            </w:r>
          </w:p>
        </w:tc>
        <w:tc>
          <w:tcPr>
            <w:tcW w:w="1380" w:type="dxa"/>
            <w:vAlign w:val="bottom"/>
            <w:tcBorders>
              <w:bottom w:val="single" w:sz="8" w:color="D5EAEA"/>
            </w:tcBorders>
            <w:shd w:val="clear" w:color="auto" w:fill="D5EAEA"/>
          </w:tcPr>
          <w:p>
            <w:pPr>
              <w:spacing w:after="0"/>
              <w:rPr>
                <w:sz w:val="19"/>
                <w:szCs w:val="19"/>
                <w:color w:val="auto"/>
              </w:rPr>
            </w:pPr>
          </w:p>
        </w:tc>
        <w:tc>
          <w:tcPr>
            <w:tcW w:w="100" w:type="dxa"/>
            <w:vAlign w:val="bottom"/>
            <w:tcBorders>
              <w:bottom w:val="single" w:sz="8" w:color="D5EAEA"/>
            </w:tcBorders>
            <w:shd w:val="clear" w:color="auto" w:fill="D5EAEA"/>
          </w:tcPr>
          <w:p>
            <w:pPr>
              <w:spacing w:after="0"/>
              <w:rPr>
                <w:sz w:val="19"/>
                <w:szCs w:val="19"/>
                <w:color w:val="auto"/>
              </w:rPr>
            </w:pPr>
          </w:p>
        </w:tc>
        <w:tc>
          <w:tcPr>
            <w:tcW w:w="1340" w:type="dxa"/>
            <w:vAlign w:val="bottom"/>
            <w:tcBorders>
              <w:bottom w:val="single" w:sz="8" w:color="auto"/>
            </w:tcBorders>
            <w:shd w:val="clear" w:color="auto" w:fill="D5EAEA"/>
          </w:tcPr>
          <w:p>
            <w:pPr>
              <w:jc w:val="right"/>
              <w:spacing w:after="0"/>
              <w:rPr>
                <w:sz w:val="20"/>
                <w:szCs w:val="20"/>
                <w:color w:val="auto"/>
              </w:rPr>
            </w:pPr>
            <w:r>
              <w:rPr>
                <w:rFonts w:ascii="Arial" w:cs="Arial" w:eastAsia="Arial" w:hAnsi="Arial"/>
                <w:sz w:val="18"/>
                <w:szCs w:val="18"/>
                <w:color w:val="auto"/>
              </w:rPr>
              <w:t>(31,942)</w:t>
            </w:r>
          </w:p>
        </w:tc>
        <w:tc>
          <w:tcPr>
            <w:tcW w:w="100" w:type="dxa"/>
            <w:vAlign w:val="bottom"/>
            <w:tcBorders>
              <w:bottom w:val="single" w:sz="8" w:color="D5EAEA"/>
            </w:tcBorders>
            <w:shd w:val="clear" w:color="auto" w:fill="D5EAEA"/>
          </w:tcPr>
          <w:p>
            <w:pPr>
              <w:spacing w:after="0"/>
              <w:rPr>
                <w:sz w:val="19"/>
                <w:szCs w:val="19"/>
                <w:color w:val="auto"/>
              </w:rPr>
            </w:pPr>
          </w:p>
        </w:tc>
        <w:tc>
          <w:tcPr>
            <w:tcW w:w="1340" w:type="dxa"/>
            <w:vAlign w:val="bottom"/>
            <w:tcBorders>
              <w:bottom w:val="single" w:sz="8" w:color="auto"/>
            </w:tcBorders>
            <w:shd w:val="clear" w:color="auto" w:fill="D5EAEA"/>
          </w:tcPr>
          <w:p>
            <w:pPr>
              <w:jc w:val="right"/>
              <w:ind w:right="10"/>
              <w:spacing w:after="0"/>
              <w:rPr>
                <w:sz w:val="20"/>
                <w:szCs w:val="20"/>
                <w:color w:val="auto"/>
              </w:rPr>
            </w:pPr>
            <w:r>
              <w:rPr>
                <w:rFonts w:ascii="Arial" w:cs="Arial" w:eastAsia="Arial" w:hAnsi="Arial"/>
                <w:sz w:val="18"/>
                <w:szCs w:val="18"/>
                <w:color w:val="auto"/>
              </w:rPr>
              <w:t>24,163</w:t>
            </w:r>
          </w:p>
        </w:tc>
      </w:tr>
      <w:tr>
        <w:trPr>
          <w:trHeight w:val="20"/>
        </w:trPr>
        <w:tc>
          <w:tcPr>
            <w:tcW w:w="69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r>
        <w:trPr>
          <w:trHeight w:val="196"/>
        </w:trPr>
        <w:tc>
          <w:tcPr>
            <w:tcW w:w="69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tcPr>
          <w:p>
            <w:pPr>
              <w:spacing w:after="0"/>
              <w:rPr>
                <w:sz w:val="17"/>
                <w:szCs w:val="17"/>
                <w:color w:val="auto"/>
              </w:rPr>
            </w:pPr>
          </w:p>
        </w:tc>
      </w:tr>
      <w:tr>
        <w:trPr>
          <w:trHeight w:val="216"/>
        </w:trPr>
        <w:tc>
          <w:tcPr>
            <w:tcW w:w="6980" w:type="dxa"/>
            <w:vAlign w:val="bottom"/>
            <w:shd w:val="clear" w:color="auto" w:fill="D5EAEA"/>
          </w:tcPr>
          <w:p>
            <w:pPr>
              <w:spacing w:after="0"/>
              <w:rPr>
                <w:sz w:val="20"/>
                <w:szCs w:val="20"/>
                <w:color w:val="auto"/>
              </w:rPr>
            </w:pPr>
            <w:r>
              <w:rPr>
                <w:rFonts w:ascii="Arial" w:cs="Arial" w:eastAsia="Arial" w:hAnsi="Arial"/>
                <w:sz w:val="18"/>
                <w:szCs w:val="18"/>
                <w:b w:val="1"/>
                <w:bCs w:val="1"/>
                <w:color w:val="auto"/>
              </w:rPr>
              <w:t>Financing activities</w:t>
            </w:r>
          </w:p>
        </w:tc>
        <w:tc>
          <w:tcPr>
            <w:tcW w:w="1380" w:type="dxa"/>
            <w:vAlign w:val="bottom"/>
            <w:shd w:val="clear" w:color="auto" w:fill="D5EAEA"/>
          </w:tcPr>
          <w:p>
            <w:pPr>
              <w:spacing w:after="0"/>
              <w:rPr>
                <w:sz w:val="18"/>
                <w:szCs w:val="18"/>
                <w:color w:val="auto"/>
              </w:rPr>
            </w:pPr>
          </w:p>
        </w:tc>
        <w:tc>
          <w:tcPr>
            <w:tcW w:w="100" w:type="dxa"/>
            <w:vAlign w:val="bottom"/>
            <w:shd w:val="clear" w:color="auto" w:fill="D5EAEA"/>
          </w:tcPr>
          <w:p>
            <w:pPr>
              <w:spacing w:after="0"/>
              <w:rPr>
                <w:sz w:val="18"/>
                <w:szCs w:val="18"/>
                <w:color w:val="auto"/>
              </w:rPr>
            </w:pPr>
          </w:p>
        </w:tc>
        <w:tc>
          <w:tcPr>
            <w:tcW w:w="1340" w:type="dxa"/>
            <w:vAlign w:val="bottom"/>
            <w:shd w:val="clear" w:color="auto" w:fill="D5EAEA"/>
          </w:tcPr>
          <w:p>
            <w:pPr>
              <w:spacing w:after="0"/>
              <w:rPr>
                <w:sz w:val="18"/>
                <w:szCs w:val="18"/>
                <w:color w:val="auto"/>
              </w:rPr>
            </w:pPr>
          </w:p>
        </w:tc>
        <w:tc>
          <w:tcPr>
            <w:tcW w:w="100" w:type="dxa"/>
            <w:vAlign w:val="bottom"/>
            <w:shd w:val="clear" w:color="auto" w:fill="D5EAEA"/>
          </w:tcPr>
          <w:p>
            <w:pPr>
              <w:spacing w:after="0"/>
              <w:rPr>
                <w:sz w:val="18"/>
                <w:szCs w:val="18"/>
                <w:color w:val="auto"/>
              </w:rPr>
            </w:pPr>
          </w:p>
        </w:tc>
        <w:tc>
          <w:tcPr>
            <w:tcW w:w="1340" w:type="dxa"/>
            <w:vAlign w:val="bottom"/>
            <w:shd w:val="clear" w:color="auto" w:fill="D5EAEA"/>
          </w:tcPr>
          <w:p>
            <w:pPr>
              <w:spacing w:after="0"/>
              <w:rPr>
                <w:sz w:val="18"/>
                <w:szCs w:val="18"/>
                <w:color w:val="auto"/>
              </w:rPr>
            </w:pPr>
          </w:p>
        </w:tc>
      </w:tr>
      <w:tr>
        <w:trPr>
          <w:trHeight w:val="216"/>
        </w:trPr>
        <w:tc>
          <w:tcPr>
            <w:tcW w:w="6980" w:type="dxa"/>
            <w:vAlign w:val="bottom"/>
          </w:tcPr>
          <w:p>
            <w:pPr>
              <w:spacing w:after="0"/>
              <w:rPr>
                <w:sz w:val="20"/>
                <w:szCs w:val="20"/>
                <w:color w:val="auto"/>
              </w:rPr>
            </w:pPr>
            <w:r>
              <w:rPr>
                <w:rFonts w:ascii="Arial" w:cs="Arial" w:eastAsia="Arial" w:hAnsi="Arial"/>
                <w:sz w:val="18"/>
                <w:szCs w:val="18"/>
                <w:color w:val="auto"/>
              </w:rPr>
              <w:t>Repayment of short-term financing obligation</w:t>
            </w: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(263)</w:t>
            </w:r>
          </w:p>
        </w:tc>
      </w:tr>
      <w:tr>
        <w:trPr>
          <w:trHeight w:val="216"/>
        </w:trPr>
        <w:tc>
          <w:tcPr>
            <w:tcW w:w="6980" w:type="dxa"/>
            <w:vAlign w:val="bottom"/>
            <w:shd w:val="clear" w:color="auto" w:fill="D5EAEA"/>
          </w:tcPr>
          <w:p>
            <w:pPr>
              <w:spacing w:after="0"/>
              <w:rPr>
                <w:sz w:val="20"/>
                <w:szCs w:val="20"/>
                <w:color w:val="auto"/>
              </w:rPr>
            </w:pPr>
            <w:r>
              <w:rPr>
                <w:rFonts w:ascii="Arial" w:cs="Arial" w:eastAsia="Arial" w:hAnsi="Arial"/>
                <w:sz w:val="18"/>
                <w:szCs w:val="18"/>
                <w:color w:val="auto"/>
              </w:rPr>
              <w:t>Principal payments of lease obligations</w:t>
            </w:r>
          </w:p>
        </w:tc>
        <w:tc>
          <w:tcPr>
            <w:tcW w:w="1380" w:type="dxa"/>
            <w:vAlign w:val="bottom"/>
            <w:shd w:val="clear" w:color="auto" w:fill="D5EAEA"/>
          </w:tcPr>
          <w:p>
            <w:pPr>
              <w:jc w:val="center"/>
              <w:spacing w:after="0"/>
              <w:rPr>
                <w:sz w:val="20"/>
                <w:szCs w:val="20"/>
                <w:color w:val="auto"/>
              </w:rPr>
            </w:pPr>
            <w:r>
              <w:rPr>
                <w:rFonts w:ascii="Arial" w:cs="Arial" w:eastAsia="Arial" w:hAnsi="Arial"/>
                <w:sz w:val="18"/>
                <w:szCs w:val="18"/>
                <w:color w:val="auto"/>
                <w:w w:val="79"/>
              </w:rPr>
              <w:t>6</w:t>
            </w:r>
          </w:p>
        </w:tc>
        <w:tc>
          <w:tcPr>
            <w:tcW w:w="100" w:type="dxa"/>
            <w:vAlign w:val="bottom"/>
            <w:shd w:val="clear" w:color="auto" w:fill="D5EAEA"/>
          </w:tcPr>
          <w:p>
            <w:pPr>
              <w:spacing w:after="0"/>
              <w:rPr>
                <w:sz w:val="18"/>
                <w:szCs w:val="18"/>
                <w:color w:val="auto"/>
              </w:rPr>
            </w:pPr>
          </w:p>
        </w:tc>
        <w:tc>
          <w:tcPr>
            <w:tcW w:w="1340" w:type="dxa"/>
            <w:vAlign w:val="bottom"/>
            <w:shd w:val="clear" w:color="auto" w:fill="D5EAEA"/>
          </w:tcPr>
          <w:p>
            <w:pPr>
              <w:jc w:val="right"/>
              <w:spacing w:after="0"/>
              <w:rPr>
                <w:sz w:val="20"/>
                <w:szCs w:val="20"/>
                <w:color w:val="auto"/>
              </w:rPr>
            </w:pPr>
            <w:r>
              <w:rPr>
                <w:rFonts w:ascii="Arial" w:cs="Arial" w:eastAsia="Arial" w:hAnsi="Arial"/>
                <w:sz w:val="18"/>
                <w:szCs w:val="18"/>
                <w:color w:val="auto"/>
              </w:rPr>
              <w:t>(369)</w:t>
            </w:r>
          </w:p>
        </w:tc>
        <w:tc>
          <w:tcPr>
            <w:tcW w:w="100" w:type="dxa"/>
            <w:vAlign w:val="bottom"/>
            <w:shd w:val="clear" w:color="auto" w:fill="D5EAEA"/>
          </w:tcPr>
          <w:p>
            <w:pPr>
              <w:spacing w:after="0"/>
              <w:rPr>
                <w:sz w:val="18"/>
                <w:szCs w:val="18"/>
                <w:color w:val="auto"/>
              </w:rPr>
            </w:pPr>
          </w:p>
        </w:tc>
        <w:tc>
          <w:tcPr>
            <w:tcW w:w="1340" w:type="dxa"/>
            <w:vAlign w:val="bottom"/>
            <w:shd w:val="clear" w:color="auto" w:fill="D5EAEA"/>
          </w:tcPr>
          <w:p>
            <w:pPr>
              <w:jc w:val="right"/>
              <w:spacing w:after="0"/>
              <w:rPr>
                <w:sz w:val="20"/>
                <w:szCs w:val="20"/>
                <w:color w:val="auto"/>
              </w:rPr>
            </w:pPr>
            <w:r>
              <w:rPr>
                <w:rFonts w:ascii="Arial" w:cs="Arial" w:eastAsia="Arial" w:hAnsi="Arial"/>
                <w:sz w:val="18"/>
                <w:szCs w:val="18"/>
                <w:color w:val="auto"/>
              </w:rPr>
              <w:t>(323)</w:t>
            </w:r>
          </w:p>
        </w:tc>
      </w:tr>
      <w:tr>
        <w:trPr>
          <w:trHeight w:val="202"/>
        </w:trPr>
        <w:tc>
          <w:tcPr>
            <w:tcW w:w="6980" w:type="dxa"/>
            <w:vAlign w:val="bottom"/>
          </w:tcPr>
          <w:p>
            <w:pPr>
              <w:spacing w:after="0" w:line="201" w:lineRule="exact"/>
              <w:rPr>
                <w:sz w:val="20"/>
                <w:szCs w:val="20"/>
                <w:color w:val="auto"/>
              </w:rPr>
            </w:pPr>
            <w:r>
              <w:rPr>
                <w:rFonts w:ascii="Arial" w:cs="Arial" w:eastAsia="Arial" w:hAnsi="Arial"/>
                <w:sz w:val="18"/>
                <w:szCs w:val="18"/>
                <w:color w:val="auto"/>
              </w:rPr>
              <w:t>Proceeds from sale of treasury shares in public offerings, net of underwriting fees and</w:t>
            </w: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tcPr>
          <w:p>
            <w:pPr>
              <w:spacing w:after="0"/>
              <w:rPr>
                <w:sz w:val="17"/>
                <w:szCs w:val="17"/>
                <w:color w:val="auto"/>
              </w:rPr>
            </w:pPr>
          </w:p>
        </w:tc>
      </w:tr>
      <w:tr>
        <w:trPr>
          <w:trHeight w:val="230"/>
        </w:trPr>
        <w:tc>
          <w:tcPr>
            <w:tcW w:w="6980" w:type="dxa"/>
            <w:vAlign w:val="bottom"/>
          </w:tcPr>
          <w:p>
            <w:pPr>
              <w:spacing w:after="0"/>
              <w:rPr>
                <w:sz w:val="20"/>
                <w:szCs w:val="20"/>
                <w:color w:val="auto"/>
              </w:rPr>
            </w:pPr>
            <w:r>
              <w:rPr>
                <w:rFonts w:ascii="Arial" w:cs="Arial" w:eastAsia="Arial" w:hAnsi="Arial"/>
                <w:sz w:val="18"/>
                <w:szCs w:val="18"/>
                <w:color w:val="auto"/>
              </w:rPr>
              <w:t>transaction costs</w:t>
            </w:r>
          </w:p>
        </w:tc>
        <w:tc>
          <w:tcPr>
            <w:tcW w:w="1380" w:type="dxa"/>
            <w:vAlign w:val="bottom"/>
          </w:tcPr>
          <w:p>
            <w:pPr>
              <w:jc w:val="center"/>
              <w:spacing w:after="0"/>
              <w:rPr>
                <w:sz w:val="20"/>
                <w:szCs w:val="20"/>
                <w:color w:val="auto"/>
              </w:rPr>
            </w:pPr>
            <w:r>
              <w:rPr>
                <w:rFonts w:ascii="Arial" w:cs="Arial" w:eastAsia="Arial" w:hAnsi="Arial"/>
                <w:sz w:val="18"/>
                <w:szCs w:val="18"/>
                <w:color w:val="auto"/>
                <w:w w:val="89"/>
              </w:rPr>
              <w:t>10</w:t>
            </w:r>
          </w:p>
        </w:tc>
        <w:tc>
          <w:tcPr>
            <w:tcW w:w="100" w:type="dxa"/>
            <w:vAlign w:val="bottom"/>
          </w:tcPr>
          <w:p>
            <w:pPr>
              <w:spacing w:after="0"/>
              <w:rPr>
                <w:sz w:val="20"/>
                <w:szCs w:val="20"/>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12,121</w:t>
            </w:r>
          </w:p>
        </w:tc>
        <w:tc>
          <w:tcPr>
            <w:tcW w:w="100" w:type="dxa"/>
            <w:vAlign w:val="bottom"/>
          </w:tcPr>
          <w:p>
            <w:pPr>
              <w:spacing w:after="0"/>
              <w:rPr>
                <w:sz w:val="20"/>
                <w:szCs w:val="20"/>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100</w:t>
            </w:r>
          </w:p>
        </w:tc>
      </w:tr>
      <w:tr>
        <w:trPr>
          <w:trHeight w:val="230"/>
        </w:trPr>
        <w:tc>
          <w:tcPr>
            <w:tcW w:w="6980" w:type="dxa"/>
            <w:vAlign w:val="bottom"/>
            <w:shd w:val="clear" w:color="auto" w:fill="D5EAEA"/>
          </w:tcPr>
          <w:p>
            <w:pPr>
              <w:spacing w:after="0"/>
              <w:rPr>
                <w:sz w:val="20"/>
                <w:szCs w:val="20"/>
                <w:color w:val="auto"/>
              </w:rPr>
            </w:pPr>
            <w:r>
              <w:rPr>
                <w:rFonts w:ascii="Arial" w:cs="Arial" w:eastAsia="Arial" w:hAnsi="Arial"/>
                <w:sz w:val="18"/>
                <w:szCs w:val="18"/>
                <w:color w:val="auto"/>
              </w:rPr>
              <w:t>Proceeds from issuance of common shares</w:t>
            </w:r>
          </w:p>
        </w:tc>
        <w:tc>
          <w:tcPr>
            <w:tcW w:w="1380" w:type="dxa"/>
            <w:vAlign w:val="bottom"/>
            <w:shd w:val="clear" w:color="auto" w:fill="D5EAEA"/>
          </w:tcPr>
          <w:p>
            <w:pPr>
              <w:spacing w:after="0"/>
              <w:rPr>
                <w:sz w:val="19"/>
                <w:szCs w:val="19"/>
                <w:color w:val="auto"/>
              </w:rPr>
            </w:pPr>
          </w:p>
        </w:tc>
        <w:tc>
          <w:tcPr>
            <w:tcW w:w="100" w:type="dxa"/>
            <w:vAlign w:val="bottom"/>
            <w:shd w:val="clear" w:color="auto" w:fill="D5EAEA"/>
          </w:tcPr>
          <w:p>
            <w:pPr>
              <w:spacing w:after="0"/>
              <w:rPr>
                <w:sz w:val="19"/>
                <w:szCs w:val="19"/>
                <w:color w:val="auto"/>
              </w:rPr>
            </w:pPr>
          </w:p>
        </w:tc>
        <w:tc>
          <w:tcPr>
            <w:tcW w:w="1340" w:type="dxa"/>
            <w:vAlign w:val="bottom"/>
            <w:tcBorders>
              <w:bottom w:val="single" w:sz="8" w:color="auto"/>
            </w:tcBorders>
            <w:shd w:val="clear" w:color="auto" w:fill="D5EAEA"/>
          </w:tcPr>
          <w:p>
            <w:pPr>
              <w:jc w:val="right"/>
              <w:ind w:right="30"/>
              <w:spacing w:after="0"/>
              <w:rPr>
                <w:sz w:val="20"/>
                <w:szCs w:val="20"/>
                <w:color w:val="auto"/>
              </w:rPr>
            </w:pPr>
            <w:r>
              <w:rPr>
                <w:rFonts w:ascii="Arial" w:cs="Arial" w:eastAsia="Arial" w:hAnsi="Arial"/>
                <w:sz w:val="18"/>
                <w:szCs w:val="18"/>
                <w:color w:val="auto"/>
              </w:rPr>
              <w:t>261</w:t>
            </w:r>
          </w:p>
        </w:tc>
        <w:tc>
          <w:tcPr>
            <w:tcW w:w="100" w:type="dxa"/>
            <w:vAlign w:val="bottom"/>
            <w:shd w:val="clear" w:color="auto" w:fill="D5EAEA"/>
          </w:tcPr>
          <w:p>
            <w:pPr>
              <w:spacing w:after="0"/>
              <w:rPr>
                <w:sz w:val="19"/>
                <w:szCs w:val="19"/>
                <w:color w:val="auto"/>
              </w:rPr>
            </w:pPr>
          </w:p>
        </w:tc>
        <w:tc>
          <w:tcPr>
            <w:tcW w:w="1340" w:type="dxa"/>
            <w:vAlign w:val="bottom"/>
            <w:tcBorders>
              <w:bottom w:val="single" w:sz="8" w:color="auto"/>
            </w:tcBorders>
            <w:shd w:val="clear" w:color="auto" w:fill="D5EAEA"/>
          </w:tcPr>
          <w:p>
            <w:pPr>
              <w:jc w:val="right"/>
              <w:ind w:right="10"/>
              <w:spacing w:after="0"/>
              <w:rPr>
                <w:sz w:val="20"/>
                <w:szCs w:val="20"/>
                <w:color w:val="auto"/>
              </w:rPr>
            </w:pPr>
            <w:r>
              <w:rPr>
                <w:rFonts w:ascii="Arial" w:cs="Arial" w:eastAsia="Arial" w:hAnsi="Arial"/>
                <w:sz w:val="18"/>
                <w:szCs w:val="18"/>
                <w:color w:val="auto"/>
              </w:rPr>
              <w:t>143</w:t>
            </w:r>
          </w:p>
        </w:tc>
      </w:tr>
      <w:tr>
        <w:trPr>
          <w:trHeight w:val="263"/>
        </w:trPr>
        <w:tc>
          <w:tcPr>
            <w:tcW w:w="6980" w:type="dxa"/>
            <w:vAlign w:val="bottom"/>
            <w:tcBorders>
              <w:bottom w:val="single" w:sz="8" w:color="D5EAEA"/>
            </w:tcBorders>
          </w:tcPr>
          <w:p>
            <w:pPr>
              <w:spacing w:after="0"/>
              <w:rPr>
                <w:sz w:val="20"/>
                <w:szCs w:val="20"/>
                <w:color w:val="auto"/>
              </w:rPr>
            </w:pPr>
            <w:r>
              <w:rPr>
                <w:rFonts w:ascii="Arial" w:cs="Arial" w:eastAsia="Arial" w:hAnsi="Arial"/>
                <w:sz w:val="18"/>
                <w:szCs w:val="18"/>
                <w:b w:val="1"/>
                <w:bCs w:val="1"/>
                <w:color w:val="auto"/>
              </w:rPr>
              <w:t>Net cash flows provided by/(used in) financing activities</w:t>
            </w:r>
          </w:p>
        </w:tc>
        <w:tc>
          <w:tcPr>
            <w:tcW w:w="1380" w:type="dxa"/>
            <w:vAlign w:val="bottom"/>
            <w:tcBorders>
              <w:bottom w:val="single" w:sz="8" w:color="D5EAEA"/>
            </w:tcBorders>
          </w:tcPr>
          <w:p>
            <w:pPr>
              <w:spacing w:after="0"/>
              <w:rPr>
                <w:sz w:val="22"/>
                <w:szCs w:val="22"/>
                <w:color w:val="auto"/>
              </w:rPr>
            </w:pPr>
          </w:p>
        </w:tc>
        <w:tc>
          <w:tcPr>
            <w:tcW w:w="100" w:type="dxa"/>
            <w:vAlign w:val="bottom"/>
            <w:tcBorders>
              <w:bottom w:val="single" w:sz="8" w:color="D5EAEA"/>
            </w:tcBorders>
          </w:tcPr>
          <w:p>
            <w:pPr>
              <w:spacing w:after="0"/>
              <w:rPr>
                <w:sz w:val="22"/>
                <w:szCs w:val="22"/>
                <w:color w:val="auto"/>
              </w:rPr>
            </w:pPr>
          </w:p>
        </w:tc>
        <w:tc>
          <w:tcPr>
            <w:tcW w:w="13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12,013</w:t>
            </w:r>
          </w:p>
        </w:tc>
        <w:tc>
          <w:tcPr>
            <w:tcW w:w="100" w:type="dxa"/>
            <w:vAlign w:val="bottom"/>
            <w:tcBorders>
              <w:bottom w:val="single" w:sz="8" w:color="D5EAEA"/>
            </w:tcBorders>
          </w:tcPr>
          <w:p>
            <w:pPr>
              <w:spacing w:after="0"/>
              <w:rPr>
                <w:sz w:val="22"/>
                <w:szCs w:val="22"/>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(343)</w:t>
            </w:r>
          </w:p>
        </w:tc>
      </w:tr>
      <w:tr>
        <w:trPr>
          <w:trHeight w:val="197"/>
        </w:trPr>
        <w:tc>
          <w:tcPr>
            <w:tcW w:w="6980" w:type="dxa"/>
            <w:vAlign w:val="bottom"/>
            <w:shd w:val="clear" w:color="auto" w:fill="D5EAEA"/>
          </w:tcPr>
          <w:p>
            <w:pPr>
              <w:spacing w:after="0"/>
              <w:rPr>
                <w:sz w:val="17"/>
                <w:szCs w:val="17"/>
                <w:color w:val="auto"/>
              </w:rPr>
            </w:pPr>
          </w:p>
        </w:tc>
        <w:tc>
          <w:tcPr>
            <w:tcW w:w="1380" w:type="dxa"/>
            <w:vAlign w:val="bottom"/>
            <w:shd w:val="clear" w:color="auto" w:fill="D5EAEA"/>
          </w:tcPr>
          <w:p>
            <w:pPr>
              <w:spacing w:after="0"/>
              <w:rPr>
                <w:sz w:val="17"/>
                <w:szCs w:val="17"/>
                <w:color w:val="auto"/>
              </w:rPr>
            </w:pPr>
          </w:p>
        </w:tc>
        <w:tc>
          <w:tcPr>
            <w:tcW w:w="100" w:type="dxa"/>
            <w:vAlign w:val="bottom"/>
            <w:shd w:val="clear" w:color="auto" w:fill="D5EAEA"/>
          </w:tcPr>
          <w:p>
            <w:pPr>
              <w:spacing w:after="0"/>
              <w:rPr>
                <w:sz w:val="17"/>
                <w:szCs w:val="17"/>
                <w:color w:val="auto"/>
              </w:rPr>
            </w:pPr>
          </w:p>
        </w:tc>
        <w:tc>
          <w:tcPr>
            <w:tcW w:w="1340" w:type="dxa"/>
            <w:vAlign w:val="bottom"/>
            <w:shd w:val="clear" w:color="auto" w:fill="D5EAEA"/>
          </w:tcPr>
          <w:p>
            <w:pPr>
              <w:spacing w:after="0"/>
              <w:rPr>
                <w:sz w:val="17"/>
                <w:szCs w:val="17"/>
                <w:color w:val="auto"/>
              </w:rPr>
            </w:pPr>
          </w:p>
        </w:tc>
        <w:tc>
          <w:tcPr>
            <w:tcW w:w="100" w:type="dxa"/>
            <w:vAlign w:val="bottom"/>
            <w:shd w:val="clear" w:color="auto" w:fill="D5EAEA"/>
          </w:tcPr>
          <w:p>
            <w:pPr>
              <w:spacing w:after="0"/>
              <w:rPr>
                <w:sz w:val="17"/>
                <w:szCs w:val="17"/>
                <w:color w:val="auto"/>
              </w:rPr>
            </w:pPr>
          </w:p>
        </w:tc>
        <w:tc>
          <w:tcPr>
            <w:tcW w:w="1340" w:type="dxa"/>
            <w:vAlign w:val="bottom"/>
            <w:shd w:val="clear" w:color="auto" w:fill="D5EAEA"/>
          </w:tcPr>
          <w:p>
            <w:pPr>
              <w:spacing w:after="0"/>
              <w:rPr>
                <w:sz w:val="17"/>
                <w:szCs w:val="17"/>
                <w:color w:val="auto"/>
              </w:rPr>
            </w:pPr>
          </w:p>
        </w:tc>
      </w:tr>
      <w:tr>
        <w:trPr>
          <w:trHeight w:val="283"/>
        </w:trPr>
        <w:tc>
          <w:tcPr>
            <w:tcW w:w="6980" w:type="dxa"/>
            <w:vAlign w:val="bottom"/>
            <w:tcBorders>
              <w:bottom w:val="single" w:sz="8" w:color="D5EAEA"/>
            </w:tcBorders>
          </w:tcPr>
          <w:p>
            <w:pPr>
              <w:spacing w:after="0"/>
              <w:rPr>
                <w:sz w:val="20"/>
                <w:szCs w:val="20"/>
                <w:color w:val="auto"/>
              </w:rPr>
            </w:pPr>
            <w:r>
              <w:rPr>
                <w:rFonts w:ascii="Arial" w:cs="Arial" w:eastAsia="Arial" w:hAnsi="Arial"/>
                <w:sz w:val="18"/>
                <w:szCs w:val="18"/>
                <w:b w:val="1"/>
                <w:bCs w:val="1"/>
                <w:color w:val="auto"/>
              </w:rPr>
              <w:t>Net decrease in cash and cash equivalents</w:t>
            </w:r>
          </w:p>
        </w:tc>
        <w:tc>
          <w:tcPr>
            <w:tcW w:w="1380" w:type="dxa"/>
            <w:vAlign w:val="bottom"/>
            <w:tcBorders>
              <w:bottom w:val="single" w:sz="8" w:color="D5EAEA"/>
            </w:tcBorders>
          </w:tcPr>
          <w:p>
            <w:pPr>
              <w:spacing w:after="0"/>
              <w:rPr>
                <w:sz w:val="24"/>
                <w:szCs w:val="24"/>
                <w:color w:val="auto"/>
              </w:rPr>
            </w:pPr>
          </w:p>
        </w:tc>
        <w:tc>
          <w:tcPr>
            <w:tcW w:w="100" w:type="dxa"/>
            <w:vAlign w:val="bottom"/>
            <w:tcBorders>
              <w:bottom w:val="single" w:sz="8" w:color="D5EAEA"/>
            </w:tcBorders>
          </w:tcPr>
          <w:p>
            <w:pPr>
              <w:spacing w:after="0"/>
              <w:rPr>
                <w:sz w:val="24"/>
                <w:szCs w:val="24"/>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(67,790)</w:t>
            </w:r>
          </w:p>
        </w:tc>
        <w:tc>
          <w:tcPr>
            <w:tcW w:w="100" w:type="dxa"/>
            <w:vAlign w:val="bottom"/>
            <w:tcBorders>
              <w:bottom w:val="single" w:sz="8" w:color="D5EAEA"/>
            </w:tcBorders>
          </w:tcPr>
          <w:p>
            <w:pPr>
              <w:spacing w:after="0"/>
              <w:rPr>
                <w:sz w:val="24"/>
                <w:szCs w:val="24"/>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(16,334)</w:t>
            </w:r>
          </w:p>
        </w:tc>
      </w:tr>
      <w:tr>
        <w:trPr>
          <w:trHeight w:val="196"/>
        </w:trPr>
        <w:tc>
          <w:tcPr>
            <w:tcW w:w="6980" w:type="dxa"/>
            <w:vAlign w:val="bottom"/>
            <w:shd w:val="clear" w:color="auto" w:fill="D5EAEA"/>
          </w:tcPr>
          <w:p>
            <w:pPr>
              <w:spacing w:after="0"/>
              <w:rPr>
                <w:sz w:val="17"/>
                <w:szCs w:val="17"/>
                <w:color w:val="auto"/>
              </w:rPr>
            </w:pPr>
          </w:p>
        </w:tc>
        <w:tc>
          <w:tcPr>
            <w:tcW w:w="1380" w:type="dxa"/>
            <w:vAlign w:val="bottom"/>
            <w:shd w:val="clear" w:color="auto" w:fill="D5EAEA"/>
          </w:tcPr>
          <w:p>
            <w:pPr>
              <w:spacing w:after="0"/>
              <w:rPr>
                <w:sz w:val="17"/>
                <w:szCs w:val="17"/>
                <w:color w:val="auto"/>
              </w:rPr>
            </w:pPr>
          </w:p>
        </w:tc>
        <w:tc>
          <w:tcPr>
            <w:tcW w:w="100" w:type="dxa"/>
            <w:vAlign w:val="bottom"/>
            <w:shd w:val="clear" w:color="auto" w:fill="D5EAEA"/>
          </w:tcPr>
          <w:p>
            <w:pPr>
              <w:spacing w:after="0"/>
              <w:rPr>
                <w:sz w:val="17"/>
                <w:szCs w:val="17"/>
                <w:color w:val="auto"/>
              </w:rPr>
            </w:pPr>
          </w:p>
        </w:tc>
        <w:tc>
          <w:tcPr>
            <w:tcW w:w="1340" w:type="dxa"/>
            <w:vAlign w:val="bottom"/>
            <w:shd w:val="clear" w:color="auto" w:fill="D5EAEA"/>
          </w:tcPr>
          <w:p>
            <w:pPr>
              <w:spacing w:after="0"/>
              <w:rPr>
                <w:sz w:val="17"/>
                <w:szCs w:val="17"/>
                <w:color w:val="auto"/>
              </w:rPr>
            </w:pPr>
          </w:p>
        </w:tc>
        <w:tc>
          <w:tcPr>
            <w:tcW w:w="100" w:type="dxa"/>
            <w:vAlign w:val="bottom"/>
            <w:shd w:val="clear" w:color="auto" w:fill="D5EAEA"/>
          </w:tcPr>
          <w:p>
            <w:pPr>
              <w:spacing w:after="0"/>
              <w:rPr>
                <w:sz w:val="17"/>
                <w:szCs w:val="17"/>
                <w:color w:val="auto"/>
              </w:rPr>
            </w:pPr>
          </w:p>
        </w:tc>
        <w:tc>
          <w:tcPr>
            <w:tcW w:w="1340" w:type="dxa"/>
            <w:vAlign w:val="bottom"/>
            <w:shd w:val="clear" w:color="auto" w:fill="D5EAEA"/>
          </w:tcPr>
          <w:p>
            <w:pPr>
              <w:spacing w:after="0"/>
              <w:rPr>
                <w:sz w:val="17"/>
                <w:szCs w:val="17"/>
                <w:color w:val="auto"/>
              </w:rPr>
            </w:pPr>
          </w:p>
        </w:tc>
      </w:tr>
      <w:tr>
        <w:trPr>
          <w:trHeight w:val="216"/>
        </w:trPr>
        <w:tc>
          <w:tcPr>
            <w:tcW w:w="6980" w:type="dxa"/>
            <w:vAlign w:val="bottom"/>
          </w:tcPr>
          <w:p>
            <w:pPr>
              <w:spacing w:after="0"/>
              <w:rPr>
                <w:sz w:val="20"/>
                <w:szCs w:val="20"/>
                <w:color w:val="auto"/>
              </w:rPr>
            </w:pPr>
            <w:r>
              <w:rPr>
                <w:rFonts w:ascii="Arial" w:cs="Arial" w:eastAsia="Arial" w:hAnsi="Arial"/>
                <w:sz w:val="18"/>
                <w:szCs w:val="18"/>
                <w:color w:val="auto"/>
              </w:rPr>
              <w:t>Cash and cash equivalents at January 1</w:t>
            </w: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160,893</w:t>
            </w:r>
          </w:p>
        </w:tc>
        <w:tc>
          <w:tcPr>
            <w:tcW w:w="100" w:type="dxa"/>
            <w:vAlign w:val="bottom"/>
          </w:tcPr>
          <w:p>
            <w:pPr>
              <w:spacing w:after="0"/>
              <w:rPr>
                <w:sz w:val="18"/>
                <w:szCs w:val="18"/>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193,587</w:t>
            </w:r>
          </w:p>
        </w:tc>
      </w:tr>
      <w:tr>
        <w:trPr>
          <w:trHeight w:val="216"/>
        </w:trPr>
        <w:tc>
          <w:tcPr>
            <w:tcW w:w="6980" w:type="dxa"/>
            <w:vAlign w:val="bottom"/>
            <w:shd w:val="clear" w:color="auto" w:fill="D5EAEA"/>
          </w:tcPr>
          <w:p>
            <w:pPr>
              <w:spacing w:after="0"/>
              <w:rPr>
                <w:sz w:val="20"/>
                <w:szCs w:val="20"/>
                <w:color w:val="auto"/>
              </w:rPr>
            </w:pPr>
            <w:r>
              <w:rPr>
                <w:rFonts w:ascii="Arial" w:cs="Arial" w:eastAsia="Arial" w:hAnsi="Arial"/>
                <w:sz w:val="18"/>
                <w:szCs w:val="18"/>
                <w:color w:val="auto"/>
              </w:rPr>
              <w:t>Exchange gain/(loss) on cash and cash equivalents</w:t>
            </w:r>
          </w:p>
        </w:tc>
        <w:tc>
          <w:tcPr>
            <w:tcW w:w="1380" w:type="dxa"/>
            <w:vAlign w:val="bottom"/>
            <w:shd w:val="clear" w:color="auto" w:fill="D5EAEA"/>
          </w:tcPr>
          <w:p>
            <w:pPr>
              <w:spacing w:after="0"/>
              <w:rPr>
                <w:sz w:val="18"/>
                <w:szCs w:val="18"/>
                <w:color w:val="auto"/>
              </w:rPr>
            </w:pPr>
          </w:p>
        </w:tc>
        <w:tc>
          <w:tcPr>
            <w:tcW w:w="100" w:type="dxa"/>
            <w:vAlign w:val="bottom"/>
            <w:shd w:val="clear" w:color="auto" w:fill="D5EAEA"/>
          </w:tcPr>
          <w:p>
            <w:pPr>
              <w:spacing w:after="0"/>
              <w:rPr>
                <w:sz w:val="18"/>
                <w:szCs w:val="18"/>
                <w:color w:val="auto"/>
              </w:rPr>
            </w:pPr>
          </w:p>
        </w:tc>
        <w:tc>
          <w:tcPr>
            <w:tcW w:w="1340" w:type="dxa"/>
            <w:vAlign w:val="bottom"/>
            <w:shd w:val="clear" w:color="auto" w:fill="D5EAEA"/>
          </w:tcPr>
          <w:p>
            <w:pPr>
              <w:jc w:val="right"/>
              <w:ind w:right="30"/>
              <w:spacing w:after="0"/>
              <w:rPr>
                <w:sz w:val="20"/>
                <w:szCs w:val="20"/>
                <w:color w:val="auto"/>
              </w:rPr>
            </w:pPr>
            <w:r>
              <w:rPr>
                <w:rFonts w:ascii="Arial" w:cs="Arial" w:eastAsia="Arial" w:hAnsi="Arial"/>
                <w:sz w:val="18"/>
                <w:szCs w:val="18"/>
                <w:color w:val="auto"/>
              </w:rPr>
              <w:t>481</w:t>
            </w:r>
          </w:p>
        </w:tc>
        <w:tc>
          <w:tcPr>
            <w:tcW w:w="100" w:type="dxa"/>
            <w:vAlign w:val="bottom"/>
            <w:shd w:val="clear" w:color="auto" w:fill="D5EAEA"/>
          </w:tcPr>
          <w:p>
            <w:pPr>
              <w:spacing w:after="0"/>
              <w:rPr>
                <w:sz w:val="18"/>
                <w:szCs w:val="18"/>
                <w:color w:val="auto"/>
              </w:rPr>
            </w:pPr>
          </w:p>
        </w:tc>
        <w:tc>
          <w:tcPr>
            <w:tcW w:w="1340" w:type="dxa"/>
            <w:vAlign w:val="bottom"/>
            <w:shd w:val="clear" w:color="auto" w:fill="D5EAEA"/>
          </w:tcPr>
          <w:p>
            <w:pPr>
              <w:jc w:val="right"/>
              <w:spacing w:after="0"/>
              <w:rPr>
                <w:sz w:val="20"/>
                <w:szCs w:val="20"/>
                <w:color w:val="auto"/>
              </w:rPr>
            </w:pPr>
            <w:r>
              <w:rPr>
                <w:rFonts w:ascii="Arial" w:cs="Arial" w:eastAsia="Arial" w:hAnsi="Arial"/>
                <w:sz w:val="18"/>
                <w:szCs w:val="18"/>
                <w:color w:val="auto"/>
              </w:rPr>
              <w:t>(686)</w:t>
            </w:r>
          </w:p>
        </w:tc>
      </w:tr>
      <w:tr>
        <w:trPr>
          <w:trHeight w:val="230"/>
        </w:trPr>
        <w:tc>
          <w:tcPr>
            <w:tcW w:w="6980" w:type="dxa"/>
            <w:vAlign w:val="bottom"/>
            <w:tcBorders>
              <w:bottom w:val="single" w:sz="8" w:color="D5EAEA"/>
            </w:tcBorders>
          </w:tcPr>
          <w:p>
            <w:pPr>
              <w:spacing w:after="0"/>
              <w:rPr>
                <w:sz w:val="20"/>
                <w:szCs w:val="20"/>
                <w:color w:val="auto"/>
              </w:rPr>
            </w:pPr>
            <w:r>
              <w:rPr>
                <w:rFonts w:ascii="Arial" w:cs="Arial" w:eastAsia="Arial" w:hAnsi="Arial"/>
                <w:sz w:val="18"/>
                <w:szCs w:val="18"/>
                <w:color w:val="auto"/>
              </w:rPr>
              <w:t>Cash and cash equivalents at September 30</w:t>
            </w:r>
          </w:p>
        </w:tc>
        <w:tc>
          <w:tcPr>
            <w:tcW w:w="1380" w:type="dxa"/>
            <w:vAlign w:val="bottom"/>
            <w:tcBorders>
              <w:bottom w:val="single" w:sz="8" w:color="D5EAEA"/>
            </w:tcBorders>
          </w:tcPr>
          <w:p>
            <w:pPr>
              <w:spacing w:after="0"/>
              <w:rPr>
                <w:sz w:val="19"/>
                <w:szCs w:val="19"/>
                <w:color w:val="auto"/>
              </w:rPr>
            </w:pPr>
          </w:p>
        </w:tc>
        <w:tc>
          <w:tcPr>
            <w:tcW w:w="100" w:type="dxa"/>
            <w:vAlign w:val="bottom"/>
            <w:tcBorders>
              <w:bottom w:val="single" w:sz="8" w:color="D5EAEA"/>
            </w:tcBorders>
          </w:tcPr>
          <w:p>
            <w:pPr>
              <w:spacing w:after="0"/>
              <w:rPr>
                <w:sz w:val="19"/>
                <w:szCs w:val="19"/>
                <w:color w:val="auto"/>
              </w:rPr>
            </w:pPr>
          </w:p>
        </w:tc>
        <w:tc>
          <w:tcPr>
            <w:tcW w:w="13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93,584</w:t>
            </w:r>
          </w:p>
        </w:tc>
        <w:tc>
          <w:tcPr>
            <w:tcW w:w="100" w:type="dxa"/>
            <w:vAlign w:val="bottom"/>
            <w:tcBorders>
              <w:bottom w:val="single" w:sz="8" w:color="D5EAEA"/>
            </w:tcBorders>
          </w:tcPr>
          <w:p>
            <w:pPr>
              <w:spacing w:after="0"/>
              <w:rPr>
                <w:sz w:val="19"/>
                <w:szCs w:val="19"/>
                <w:color w:val="auto"/>
              </w:rPr>
            </w:pPr>
          </w:p>
        </w:tc>
        <w:tc>
          <w:tcPr>
            <w:tcW w:w="13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176,567</w:t>
            </w:r>
          </w:p>
        </w:tc>
      </w:tr>
      <w:tr>
        <w:trPr>
          <w:trHeight w:val="223"/>
        </w:trPr>
        <w:tc>
          <w:tcPr>
            <w:tcW w:w="6980" w:type="dxa"/>
            <w:vAlign w:val="bottom"/>
            <w:tcBorders>
              <w:bottom w:val="single" w:sz="8" w:color="D5EAEA"/>
            </w:tcBorders>
            <w:shd w:val="clear" w:color="auto" w:fill="D5EAEA"/>
          </w:tcPr>
          <w:p>
            <w:pPr>
              <w:spacing w:after="0"/>
              <w:rPr>
                <w:sz w:val="20"/>
                <w:szCs w:val="20"/>
                <w:color w:val="auto"/>
              </w:rPr>
            </w:pPr>
            <w:r>
              <w:rPr>
                <w:rFonts w:ascii="Arial" w:cs="Arial" w:eastAsia="Arial" w:hAnsi="Arial"/>
                <w:sz w:val="18"/>
                <w:szCs w:val="18"/>
                <w:b w:val="1"/>
                <w:bCs w:val="1"/>
                <w:color w:val="auto"/>
              </w:rPr>
              <w:t>Net decrease in cash and cash equivalents</w:t>
            </w:r>
          </w:p>
        </w:tc>
        <w:tc>
          <w:tcPr>
            <w:tcW w:w="1380" w:type="dxa"/>
            <w:vAlign w:val="bottom"/>
            <w:tcBorders>
              <w:bottom w:val="single" w:sz="8" w:color="D5EAEA"/>
            </w:tcBorders>
            <w:shd w:val="clear" w:color="auto" w:fill="D5EAEA"/>
          </w:tcPr>
          <w:p>
            <w:pPr>
              <w:spacing w:after="0"/>
              <w:rPr>
                <w:sz w:val="19"/>
                <w:szCs w:val="19"/>
                <w:color w:val="auto"/>
              </w:rPr>
            </w:pPr>
          </w:p>
        </w:tc>
        <w:tc>
          <w:tcPr>
            <w:tcW w:w="100" w:type="dxa"/>
            <w:vAlign w:val="bottom"/>
            <w:tcBorders>
              <w:bottom w:val="single" w:sz="8" w:color="D5EAEA"/>
            </w:tcBorders>
            <w:shd w:val="clear" w:color="auto" w:fill="D5EAEA"/>
          </w:tcPr>
          <w:p>
            <w:pPr>
              <w:spacing w:after="0"/>
              <w:rPr>
                <w:sz w:val="19"/>
                <w:szCs w:val="19"/>
                <w:color w:val="auto"/>
              </w:rPr>
            </w:pPr>
          </w:p>
        </w:tc>
        <w:tc>
          <w:tcPr>
            <w:tcW w:w="1340" w:type="dxa"/>
            <w:vAlign w:val="bottom"/>
            <w:tcBorders>
              <w:bottom w:val="single" w:sz="8" w:color="auto"/>
            </w:tcBorders>
            <w:shd w:val="clear" w:color="auto" w:fill="D5EAEA"/>
          </w:tcPr>
          <w:p>
            <w:pPr>
              <w:jc w:val="right"/>
              <w:spacing w:after="0"/>
              <w:rPr>
                <w:sz w:val="20"/>
                <w:szCs w:val="20"/>
                <w:color w:val="auto"/>
              </w:rPr>
            </w:pPr>
            <w:r>
              <w:rPr>
                <w:rFonts w:ascii="Arial" w:cs="Arial" w:eastAsia="Arial" w:hAnsi="Arial"/>
                <w:sz w:val="18"/>
                <w:szCs w:val="18"/>
                <w:color w:val="auto"/>
              </w:rPr>
              <w:t>(67,790)</w:t>
            </w:r>
          </w:p>
        </w:tc>
        <w:tc>
          <w:tcPr>
            <w:tcW w:w="100" w:type="dxa"/>
            <w:vAlign w:val="bottom"/>
            <w:tcBorders>
              <w:bottom w:val="single" w:sz="8" w:color="D5EAEA"/>
            </w:tcBorders>
            <w:shd w:val="clear" w:color="auto" w:fill="D5EAEA"/>
          </w:tcPr>
          <w:p>
            <w:pPr>
              <w:spacing w:after="0"/>
              <w:rPr>
                <w:sz w:val="19"/>
                <w:szCs w:val="19"/>
                <w:color w:val="auto"/>
              </w:rPr>
            </w:pPr>
          </w:p>
        </w:tc>
        <w:tc>
          <w:tcPr>
            <w:tcW w:w="1340" w:type="dxa"/>
            <w:vAlign w:val="bottom"/>
            <w:tcBorders>
              <w:bottom w:val="single" w:sz="8" w:color="auto"/>
            </w:tcBorders>
            <w:shd w:val="clear" w:color="auto" w:fill="D5EAEA"/>
          </w:tcPr>
          <w:p>
            <w:pPr>
              <w:jc w:val="right"/>
              <w:spacing w:after="0"/>
              <w:rPr>
                <w:sz w:val="20"/>
                <w:szCs w:val="20"/>
                <w:color w:val="auto"/>
              </w:rPr>
            </w:pPr>
            <w:r>
              <w:rPr>
                <w:rFonts w:ascii="Arial" w:cs="Arial" w:eastAsia="Arial" w:hAnsi="Arial"/>
                <w:sz w:val="18"/>
                <w:szCs w:val="18"/>
                <w:color w:val="auto"/>
              </w:rPr>
              <w:t>(16,334)</w:t>
            </w:r>
          </w:p>
        </w:tc>
      </w:tr>
      <w:tr>
        <w:trPr>
          <w:trHeight w:val="20"/>
        </w:trPr>
        <w:tc>
          <w:tcPr>
            <w:tcW w:w="69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Additional Information:</w:t>
      </w:r>
    </w:p>
    <w:p>
      <w:pPr>
        <w:spacing w:after="0" w:line="229" w:lineRule="exact"/>
        <w:rPr>
          <w:sz w:val="20"/>
          <w:szCs w:val="20"/>
          <w:color w:val="auto"/>
        </w:rPr>
      </w:pPr>
    </w:p>
    <w:p>
      <w:pPr>
        <w:jc w:val="both"/>
        <w:ind w:right="40" w:firstLine="324"/>
        <w:spacing w:after="0" w:line="277" w:lineRule="auto"/>
        <w:rPr>
          <w:sz w:val="20"/>
          <w:szCs w:val="20"/>
          <w:color w:val="auto"/>
        </w:rPr>
      </w:pPr>
      <w:r>
        <w:rPr>
          <w:rFonts w:ascii="Arial" w:cs="Arial" w:eastAsia="Arial" w:hAnsi="Arial"/>
          <w:sz w:val="18"/>
          <w:szCs w:val="18"/>
          <w:color w:val="auto"/>
        </w:rPr>
        <w:t>For the nine months ended September 30, 2021, the acquisition of CHF 0.1 million of property, plant and equipment was non-paid and recorded within accrued expenses.</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accompanying notes form an integral part of these Interim Condensed Consolidated Financial Statements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212090</wp:posOffset>
            </wp:positionV>
            <wp:extent cx="713232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t>Notes to the Interim Condensed Consolidated Financial Statements (Unaudited)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CHF thousands, except share and per share amounts)</w:t>
      </w:r>
    </w:p>
    <w:p>
      <w:pPr>
        <w:spacing w:after="0" w:line="207" w:lineRule="exact"/>
        <w:rPr>
          <w:sz w:val="20"/>
          <w:szCs w:val="20"/>
          <w:color w:val="auto"/>
        </w:rPr>
      </w:pPr>
    </w:p>
    <w:p>
      <w:pPr>
        <w:ind w:left="640" w:hanging="322"/>
        <w:spacing w:after="0"/>
        <w:tabs>
          <w:tab w:leader="none" w:pos="640"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Corporate information</w:t>
      </w:r>
    </w:p>
    <w:p>
      <w:pPr>
        <w:spacing w:after="0" w:line="229" w:lineRule="exact"/>
        <w:rPr>
          <w:sz w:val="20"/>
          <w:szCs w:val="20"/>
          <w:color w:val="auto"/>
        </w:rPr>
      </w:pPr>
    </w:p>
    <w:p>
      <w:pPr>
        <w:ind w:right="160" w:firstLine="324"/>
        <w:spacing w:after="0" w:line="259" w:lineRule="auto"/>
        <w:rPr>
          <w:sz w:val="20"/>
          <w:szCs w:val="20"/>
          <w:color w:val="auto"/>
        </w:rPr>
      </w:pPr>
      <w:r>
        <w:rPr>
          <w:rFonts w:ascii="Arial" w:cs="Arial" w:eastAsia="Arial" w:hAnsi="Arial"/>
          <w:sz w:val="18"/>
          <w:szCs w:val="18"/>
          <w:color w:val="auto"/>
        </w:rPr>
        <w:t>AC Immune SA (together with its subsidiaries, “AC Immune,” “ACIU,” “Company,” “we,” “our,” “ours,” or “us”) was founded in 2003. The Company controls a fully-owned subsidiary, AC Immune USA, Inc. (“AC Immune USA” or “Subsidiary”), which was registered and organized under the laws of Delaware, USA in June 2021. The Company and its Subsidiary form the Group (See “Note 2. Basis of preparation and changes to the Company’s accounting policies”).</w:t>
      </w:r>
    </w:p>
    <w:p>
      <w:pPr>
        <w:spacing w:after="0" w:line="187" w:lineRule="exact"/>
        <w:rPr>
          <w:sz w:val="20"/>
          <w:szCs w:val="20"/>
          <w:color w:val="auto"/>
        </w:rPr>
      </w:pPr>
    </w:p>
    <w:p>
      <w:pPr>
        <w:ind w:firstLine="324"/>
        <w:spacing w:after="0" w:line="272" w:lineRule="auto"/>
        <w:rPr>
          <w:sz w:val="20"/>
          <w:szCs w:val="20"/>
          <w:color w:val="auto"/>
        </w:rPr>
      </w:pPr>
      <w:r>
        <w:rPr>
          <w:rFonts w:ascii="Arial" w:cs="Arial" w:eastAsia="Arial" w:hAnsi="Arial"/>
          <w:sz w:val="17"/>
          <w:szCs w:val="17"/>
          <w:color w:val="auto"/>
        </w:rPr>
        <w:t>AC Immune SA is a clinical-stage biopharmaceutical company leveraging our two proprietary technology platforms to discover, design and develop novel proprietary medicines and diagnostics for prevention and treatment of neurodegenerative diseases (NDD) associated with protein misfolding. Misfolded proteins are generally recognized as the leading cause of NDD, such as Alzheimer’s disease (AD) and Parkinson’s disease (PD), with common mechanisms and drug targets, such as amyloid beta (Abeta), Tau, alpha-synuclein (a-syn) and TDP-43. Our corporate strategy is founded upon a three-pillar approach that targets (i) AD, (ii) focused non-AD NDD including Parkinson’s disease, LATE and NeuroOrphan indications and (iii) diagnostics. We use our two unique proprietary platform technologies, SupraAntigen (conformation-specific biologics) and Morphomer (conformation-specific small molecules), to discover, design and develop novel medicines and diagnostics to target misfolded proteins.</w:t>
      </w:r>
    </w:p>
    <w:p>
      <w:pPr>
        <w:spacing w:after="0" w:line="177" w:lineRule="exact"/>
        <w:rPr>
          <w:sz w:val="20"/>
          <w:szCs w:val="20"/>
          <w:color w:val="auto"/>
        </w:rPr>
      </w:pPr>
    </w:p>
    <w:p>
      <w:pPr>
        <w:ind w:right="40" w:firstLine="324"/>
        <w:spacing w:after="0" w:line="277" w:lineRule="auto"/>
        <w:rPr>
          <w:sz w:val="20"/>
          <w:szCs w:val="20"/>
          <w:color w:val="auto"/>
        </w:rPr>
      </w:pPr>
      <w:r>
        <w:rPr>
          <w:rFonts w:ascii="Arial" w:cs="Arial" w:eastAsia="Arial" w:hAnsi="Arial"/>
          <w:sz w:val="18"/>
          <w:szCs w:val="18"/>
          <w:color w:val="auto"/>
        </w:rPr>
        <w:t>The Interim Condensed Consolidated Financial Statements of AC Immune SA as of and for the three and nine months ended September 30, 2021 were authorized for issuance by the Company’s Audit and Finance Committee on November 3, 2021.</w:t>
      </w:r>
    </w:p>
    <w:p>
      <w:pPr>
        <w:spacing w:after="0" w:line="166" w:lineRule="exact"/>
        <w:rPr>
          <w:sz w:val="20"/>
          <w:szCs w:val="20"/>
          <w:color w:val="auto"/>
        </w:rPr>
      </w:pPr>
    </w:p>
    <w:p>
      <w:pPr>
        <w:ind w:right="5380" w:firstLine="102"/>
        <w:spacing w:after="0" w:line="503" w:lineRule="auto"/>
        <w:tabs>
          <w:tab w:leader="none" w:pos="418"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Basis of preparation and changes to the Company’s accounting policies Statement of compliance</w:t>
      </w:r>
    </w:p>
    <w:p>
      <w:pPr>
        <w:ind w:right="200" w:firstLine="324"/>
        <w:spacing w:after="0" w:line="279" w:lineRule="auto"/>
        <w:rPr>
          <w:sz w:val="20"/>
          <w:szCs w:val="20"/>
          <w:color w:val="auto"/>
        </w:rPr>
      </w:pPr>
      <w:r>
        <w:rPr>
          <w:rFonts w:ascii="Arial" w:cs="Arial" w:eastAsia="Arial" w:hAnsi="Arial"/>
          <w:sz w:val="17"/>
          <w:szCs w:val="17"/>
          <w:color w:val="auto"/>
        </w:rPr>
        <w:t xml:space="preserve">These Interim Condensed Consolidated Financial Statements as of September 30, 2021 and for the three and nine months ended September 30, 2021 and 2020, have been prepared in accordance with International Accounting Standard 34 (IAS 34), </w:t>
      </w:r>
      <w:r>
        <w:rPr>
          <w:rFonts w:ascii="Arial" w:cs="Arial" w:eastAsia="Arial" w:hAnsi="Arial"/>
          <w:sz w:val="17"/>
          <w:szCs w:val="17"/>
          <w:i w:val="1"/>
          <w:iCs w:val="1"/>
          <w:color w:val="auto"/>
        </w:rPr>
        <w:t>Interim Financial Reporting</w:t>
      </w:r>
      <w:r>
        <w:rPr>
          <w:rFonts w:ascii="Arial" w:cs="Arial" w:eastAsia="Arial" w:hAnsi="Arial"/>
          <w:sz w:val="17"/>
          <w:szCs w:val="17"/>
          <w:color w:val="auto"/>
        </w:rPr>
        <w:t>, and such financial information should be read in conjunction with the audited financial statements in AC Immune’s Annual Report on Form 20-F for the year ended December 31, 2020, and any public announcements made by the Company during the interim reporting period.</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measurement</w:t>
      </w:r>
    </w:p>
    <w:p>
      <w:pPr>
        <w:spacing w:after="0" w:line="229" w:lineRule="exact"/>
        <w:rPr>
          <w:sz w:val="20"/>
          <w:szCs w:val="20"/>
          <w:color w:val="auto"/>
        </w:rPr>
      </w:pPr>
    </w:p>
    <w:p>
      <w:pPr>
        <w:ind w:right="40" w:firstLine="324"/>
        <w:spacing w:after="0" w:line="277" w:lineRule="auto"/>
        <w:rPr>
          <w:sz w:val="20"/>
          <w:szCs w:val="20"/>
          <w:color w:val="auto"/>
        </w:rPr>
      </w:pPr>
      <w:r>
        <w:rPr>
          <w:rFonts w:ascii="Arial" w:cs="Arial" w:eastAsia="Arial" w:hAnsi="Arial"/>
          <w:sz w:val="18"/>
          <w:szCs w:val="18"/>
          <w:color w:val="auto"/>
        </w:rPr>
        <w:t>These Interim Condensed Consolidated Financial Statements have been prepared under the historical cost convention except for items that are required to be accounted for at fair value.</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Functional and reporting currency</w:t>
      </w:r>
    </w:p>
    <w:p>
      <w:pPr>
        <w:spacing w:after="0" w:line="225" w:lineRule="exact"/>
        <w:rPr>
          <w:sz w:val="20"/>
          <w:szCs w:val="20"/>
          <w:color w:val="auto"/>
        </w:rPr>
      </w:pPr>
    </w:p>
    <w:p>
      <w:pPr>
        <w:ind w:right="200" w:firstLine="324"/>
        <w:spacing w:after="0" w:line="263" w:lineRule="auto"/>
        <w:rPr>
          <w:sz w:val="20"/>
          <w:szCs w:val="20"/>
          <w:color w:val="auto"/>
        </w:rPr>
      </w:pPr>
      <w:r>
        <w:rPr>
          <w:rFonts w:ascii="Arial" w:cs="Arial" w:eastAsia="Arial" w:hAnsi="Arial"/>
          <w:sz w:val="18"/>
          <w:szCs w:val="18"/>
          <w:color w:val="auto"/>
        </w:rPr>
        <w:t>These Interim Condensed Consolidated Financial Statements and accompanying notes are presented in Swiss Francs (“CHF”), which is AC Immune SA’s functional currency and the Group’s reporting currency. The Company’s subsidiary has a functional currency of the US Dollar (“USD”). The following exchange rates have been used for the translation of the financial statements of AC Immune USA:</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0" w:type="dxa"/>
            <w:vAlign w:val="bottom"/>
            <w:gridSpan w:val="3"/>
          </w:tcPr>
          <w:p>
            <w:pPr>
              <w:jc w:val="center"/>
              <w:spacing w:after="0"/>
              <w:rPr>
                <w:sz w:val="20"/>
                <w:szCs w:val="20"/>
                <w:color w:val="auto"/>
              </w:rPr>
            </w:pPr>
            <w:r>
              <w:rPr>
                <w:rFonts w:ascii="Arial" w:cs="Arial" w:eastAsia="Arial" w:hAnsi="Arial"/>
                <w:sz w:val="18"/>
                <w:szCs w:val="18"/>
                <w:b w:val="1"/>
                <w:bCs w:val="1"/>
                <w:color w:val="auto"/>
                <w:w w:val="92"/>
              </w:rPr>
              <w:t>For the Three Months</w:t>
            </w:r>
          </w:p>
        </w:tc>
      </w:tr>
      <w:tr>
        <w:trPr>
          <w:trHeight w:val="234"/>
        </w:trPr>
        <w:tc>
          <w:tcPr>
            <w:tcW w:w="8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w w:val="89"/>
              </w:rPr>
              <w:t>Ended September 30,</w:t>
            </w:r>
          </w:p>
        </w:tc>
      </w:tr>
      <w:tr>
        <w:trPr>
          <w:trHeight w:val="223"/>
        </w:trPr>
        <w:tc>
          <w:tcPr>
            <w:tcW w:w="8320" w:type="dxa"/>
            <w:vAlign w:val="bottom"/>
            <w:tcBorders>
              <w:bottom w:val="single" w:sz="8" w:color="auto"/>
            </w:tcBorders>
          </w:tcPr>
          <w:p>
            <w:pPr>
              <w:spacing w:after="0"/>
              <w:rPr>
                <w:sz w:val="19"/>
                <w:szCs w:val="19"/>
                <w:color w:val="auto"/>
              </w:rPr>
            </w:pPr>
          </w:p>
        </w:tc>
        <w:tc>
          <w:tcPr>
            <w:tcW w:w="120" w:type="dxa"/>
            <w:vAlign w:val="bottom"/>
            <w:tcBorders>
              <w:bottom w:val="single" w:sz="8" w:color="D5EAEA"/>
            </w:tcBorders>
          </w:tcPr>
          <w:p>
            <w:pPr>
              <w:spacing w:after="0"/>
              <w:rPr>
                <w:sz w:val="19"/>
                <w:szCs w:val="19"/>
                <w:color w:val="auto"/>
              </w:rPr>
            </w:pPr>
          </w:p>
        </w:tc>
        <w:tc>
          <w:tcPr>
            <w:tcW w:w="13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bottom w:val="single" w:sz="8" w:color="D5EAEA"/>
            </w:tcBorders>
          </w:tcPr>
          <w:p>
            <w:pPr>
              <w:spacing w:after="0"/>
              <w:rPr>
                <w:sz w:val="19"/>
                <w:szCs w:val="19"/>
                <w:color w:val="auto"/>
              </w:rPr>
            </w:pPr>
          </w:p>
        </w:tc>
        <w:tc>
          <w:tcPr>
            <w:tcW w:w="134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2020</w:t>
            </w:r>
          </w:p>
        </w:tc>
      </w:tr>
      <w:tr>
        <w:trPr>
          <w:trHeight w:val="210"/>
        </w:trPr>
        <w:tc>
          <w:tcPr>
            <w:tcW w:w="8320" w:type="dxa"/>
            <w:vAlign w:val="bottom"/>
            <w:shd w:val="clear" w:color="auto" w:fill="D5EAEA"/>
          </w:tcPr>
          <w:p>
            <w:pPr>
              <w:spacing w:after="0"/>
              <w:rPr>
                <w:sz w:val="20"/>
                <w:szCs w:val="20"/>
                <w:color w:val="auto"/>
              </w:rPr>
            </w:pPr>
            <w:r>
              <w:rPr>
                <w:rFonts w:ascii="Arial" w:cs="Arial" w:eastAsia="Arial" w:hAnsi="Arial"/>
                <w:sz w:val="18"/>
                <w:szCs w:val="18"/>
                <w:color w:val="auto"/>
              </w:rPr>
              <w:t>CHF/USD</w:t>
            </w:r>
          </w:p>
        </w:tc>
        <w:tc>
          <w:tcPr>
            <w:tcW w:w="120" w:type="dxa"/>
            <w:vAlign w:val="bottom"/>
            <w:shd w:val="clear" w:color="auto" w:fill="D5EAEA"/>
          </w:tcPr>
          <w:p>
            <w:pPr>
              <w:spacing w:after="0"/>
              <w:rPr>
                <w:sz w:val="18"/>
                <w:szCs w:val="18"/>
                <w:color w:val="auto"/>
              </w:rPr>
            </w:pPr>
          </w:p>
        </w:tc>
        <w:tc>
          <w:tcPr>
            <w:tcW w:w="1360" w:type="dxa"/>
            <w:vAlign w:val="bottom"/>
            <w:shd w:val="clear" w:color="auto" w:fill="D5EAEA"/>
          </w:tcPr>
          <w:p>
            <w:pPr>
              <w:spacing w:after="0"/>
              <w:rPr>
                <w:sz w:val="18"/>
                <w:szCs w:val="18"/>
                <w:color w:val="auto"/>
              </w:rPr>
            </w:pPr>
          </w:p>
        </w:tc>
        <w:tc>
          <w:tcPr>
            <w:tcW w:w="100" w:type="dxa"/>
            <w:vAlign w:val="bottom"/>
            <w:shd w:val="clear" w:color="auto" w:fill="D5EAEA"/>
          </w:tcPr>
          <w:p>
            <w:pPr>
              <w:spacing w:after="0"/>
              <w:rPr>
                <w:sz w:val="18"/>
                <w:szCs w:val="18"/>
                <w:color w:val="auto"/>
              </w:rPr>
            </w:pPr>
          </w:p>
        </w:tc>
        <w:tc>
          <w:tcPr>
            <w:tcW w:w="1340" w:type="dxa"/>
            <w:vAlign w:val="bottom"/>
            <w:shd w:val="clear" w:color="auto" w:fill="D5EAEA"/>
          </w:tcPr>
          <w:p>
            <w:pPr>
              <w:spacing w:after="0"/>
              <w:rPr>
                <w:sz w:val="18"/>
                <w:szCs w:val="18"/>
                <w:color w:val="auto"/>
              </w:rPr>
            </w:pPr>
          </w:p>
        </w:tc>
      </w:tr>
      <w:tr>
        <w:trPr>
          <w:trHeight w:val="216"/>
        </w:trPr>
        <w:tc>
          <w:tcPr>
            <w:tcW w:w="8440" w:type="dxa"/>
            <w:vAlign w:val="bottom"/>
            <w:gridSpan w:val="2"/>
          </w:tcPr>
          <w:p>
            <w:pPr>
              <w:spacing w:after="0"/>
              <w:rPr>
                <w:sz w:val="20"/>
                <w:szCs w:val="20"/>
                <w:color w:val="auto"/>
              </w:rPr>
            </w:pPr>
            <w:r>
              <w:rPr>
                <w:rFonts w:ascii="Arial" w:cs="Arial" w:eastAsia="Arial" w:hAnsi="Arial"/>
                <w:sz w:val="18"/>
                <w:szCs w:val="18"/>
                <w:color w:val="auto"/>
              </w:rPr>
              <w:t>Closing rate, USD 1</w:t>
            </w: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0.943</w:t>
            </w:r>
          </w:p>
        </w:tc>
        <w:tc>
          <w:tcPr>
            <w:tcW w:w="100" w:type="dxa"/>
            <w:vAlign w:val="bottom"/>
          </w:tcPr>
          <w:p>
            <w:pPr>
              <w:spacing w:after="0"/>
              <w:rPr>
                <w:sz w:val="18"/>
                <w:szCs w:val="18"/>
                <w:color w:val="auto"/>
              </w:rPr>
            </w:pPr>
          </w:p>
        </w:tc>
        <w:tc>
          <w:tcPr>
            <w:tcW w:w="1340" w:type="dxa"/>
            <w:vAlign w:val="bottom"/>
          </w:tcPr>
          <w:p>
            <w:pPr>
              <w:ind w:left="1060"/>
              <w:spacing w:after="0"/>
              <w:rPr>
                <w:sz w:val="20"/>
                <w:szCs w:val="20"/>
                <w:color w:val="auto"/>
              </w:rPr>
            </w:pPr>
            <w:r>
              <w:rPr>
                <w:rFonts w:ascii="Arial" w:cs="Arial" w:eastAsia="Arial" w:hAnsi="Arial"/>
                <w:sz w:val="18"/>
                <w:szCs w:val="18"/>
                <w:color w:val="auto"/>
              </w:rPr>
              <w:t>—</w:t>
            </w:r>
          </w:p>
        </w:tc>
      </w:tr>
      <w:tr>
        <w:trPr>
          <w:trHeight w:val="216"/>
        </w:trPr>
        <w:tc>
          <w:tcPr>
            <w:tcW w:w="8440" w:type="dxa"/>
            <w:vAlign w:val="bottom"/>
            <w:gridSpan w:val="2"/>
            <w:shd w:val="clear" w:color="auto" w:fill="D5EAEA"/>
          </w:tcPr>
          <w:p>
            <w:pPr>
              <w:spacing w:after="0"/>
              <w:rPr>
                <w:sz w:val="20"/>
                <w:szCs w:val="20"/>
                <w:color w:val="auto"/>
              </w:rPr>
            </w:pPr>
            <w:r>
              <w:rPr>
                <w:rFonts w:ascii="Arial" w:cs="Arial" w:eastAsia="Arial" w:hAnsi="Arial"/>
                <w:sz w:val="18"/>
                <w:szCs w:val="18"/>
                <w:color w:val="auto"/>
              </w:rPr>
              <w:t>Weighted average exchange rate, USD 1</w:t>
            </w:r>
          </w:p>
        </w:tc>
        <w:tc>
          <w:tcPr>
            <w:tcW w:w="1360" w:type="dxa"/>
            <w:vAlign w:val="bottom"/>
            <w:shd w:val="clear" w:color="auto" w:fill="D5EAEA"/>
          </w:tcPr>
          <w:p>
            <w:pPr>
              <w:jc w:val="right"/>
              <w:ind w:right="30"/>
              <w:spacing w:after="0"/>
              <w:rPr>
                <w:sz w:val="20"/>
                <w:szCs w:val="20"/>
                <w:color w:val="auto"/>
              </w:rPr>
            </w:pPr>
            <w:r>
              <w:rPr>
                <w:rFonts w:ascii="Arial" w:cs="Arial" w:eastAsia="Arial" w:hAnsi="Arial"/>
                <w:sz w:val="18"/>
                <w:szCs w:val="18"/>
                <w:color w:val="auto"/>
              </w:rPr>
              <w:t>0.927</w:t>
            </w:r>
          </w:p>
        </w:tc>
        <w:tc>
          <w:tcPr>
            <w:tcW w:w="100" w:type="dxa"/>
            <w:vAlign w:val="bottom"/>
            <w:shd w:val="clear" w:color="auto" w:fill="D5EAEA"/>
          </w:tcPr>
          <w:p>
            <w:pPr>
              <w:spacing w:after="0"/>
              <w:rPr>
                <w:sz w:val="18"/>
                <w:szCs w:val="18"/>
                <w:color w:val="auto"/>
              </w:rPr>
            </w:pPr>
          </w:p>
        </w:tc>
        <w:tc>
          <w:tcPr>
            <w:tcW w:w="1340" w:type="dxa"/>
            <w:vAlign w:val="bottom"/>
            <w:shd w:val="clear" w:color="auto" w:fill="D5EAEA"/>
          </w:tcPr>
          <w:p>
            <w:pPr>
              <w:ind w:left="1060"/>
              <w:spacing w:after="0"/>
              <w:rPr>
                <w:sz w:val="20"/>
                <w:szCs w:val="20"/>
                <w:color w:val="auto"/>
              </w:rPr>
            </w:pPr>
            <w:r>
              <w:rPr>
                <w:rFonts w:ascii="Arial" w:cs="Arial" w:eastAsia="Arial" w:hAnsi="Arial"/>
                <w:sz w:val="18"/>
                <w:szCs w:val="18"/>
                <w:color w:val="auto"/>
              </w:rPr>
              <w:t>—</w:t>
            </w:r>
          </w:p>
        </w:tc>
      </w:tr>
    </w:tbl>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0" w:type="dxa"/>
            <w:vAlign w:val="bottom"/>
            <w:gridSpan w:val="3"/>
          </w:tcPr>
          <w:p>
            <w:pPr>
              <w:ind w:left="600"/>
              <w:spacing w:after="0"/>
              <w:rPr>
                <w:sz w:val="20"/>
                <w:szCs w:val="20"/>
                <w:color w:val="auto"/>
              </w:rPr>
            </w:pPr>
            <w:r>
              <w:rPr>
                <w:rFonts w:ascii="Arial" w:cs="Arial" w:eastAsia="Arial" w:hAnsi="Arial"/>
                <w:sz w:val="18"/>
                <w:szCs w:val="18"/>
                <w:b w:val="1"/>
                <w:bCs w:val="1"/>
                <w:color w:val="auto"/>
              </w:rPr>
              <w:t>For the Nine Months</w:t>
            </w:r>
          </w:p>
        </w:tc>
      </w:tr>
      <w:tr>
        <w:trPr>
          <w:trHeight w:val="234"/>
        </w:trPr>
        <w:tc>
          <w:tcPr>
            <w:tcW w:w="8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0" w:type="dxa"/>
            <w:vAlign w:val="bottom"/>
            <w:tcBorders>
              <w:bottom w:val="single" w:sz="8" w:color="auto"/>
            </w:tcBorders>
            <w:gridSpan w:val="3"/>
          </w:tcPr>
          <w:p>
            <w:pPr>
              <w:ind w:left="580"/>
              <w:spacing w:after="0"/>
              <w:rPr>
                <w:sz w:val="20"/>
                <w:szCs w:val="20"/>
                <w:color w:val="auto"/>
              </w:rPr>
            </w:pPr>
            <w:r>
              <w:rPr>
                <w:rFonts w:ascii="Arial" w:cs="Arial" w:eastAsia="Arial" w:hAnsi="Arial"/>
                <w:sz w:val="18"/>
                <w:szCs w:val="18"/>
                <w:b w:val="1"/>
                <w:bCs w:val="1"/>
                <w:color w:val="auto"/>
              </w:rPr>
              <w:t>Ended September 30,</w:t>
            </w:r>
          </w:p>
        </w:tc>
      </w:tr>
      <w:tr>
        <w:trPr>
          <w:trHeight w:val="223"/>
        </w:trPr>
        <w:tc>
          <w:tcPr>
            <w:tcW w:w="8320" w:type="dxa"/>
            <w:vAlign w:val="bottom"/>
            <w:tcBorders>
              <w:bottom w:val="single" w:sz="8" w:color="auto"/>
            </w:tcBorders>
          </w:tcPr>
          <w:p>
            <w:pPr>
              <w:spacing w:after="0"/>
              <w:rPr>
                <w:sz w:val="19"/>
                <w:szCs w:val="19"/>
                <w:color w:val="auto"/>
              </w:rPr>
            </w:pPr>
          </w:p>
        </w:tc>
        <w:tc>
          <w:tcPr>
            <w:tcW w:w="120" w:type="dxa"/>
            <w:vAlign w:val="bottom"/>
            <w:tcBorders>
              <w:bottom w:val="single" w:sz="8" w:color="D5EAEA"/>
            </w:tcBorders>
          </w:tcPr>
          <w:p>
            <w:pPr>
              <w:spacing w:after="0"/>
              <w:rPr>
                <w:sz w:val="19"/>
                <w:szCs w:val="19"/>
                <w:color w:val="auto"/>
              </w:rPr>
            </w:pPr>
          </w:p>
        </w:tc>
        <w:tc>
          <w:tcPr>
            <w:tcW w:w="13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bottom w:val="single" w:sz="8" w:color="D5EAEA"/>
            </w:tcBorders>
          </w:tcPr>
          <w:p>
            <w:pPr>
              <w:spacing w:after="0"/>
              <w:rPr>
                <w:sz w:val="19"/>
                <w:szCs w:val="19"/>
                <w:color w:val="auto"/>
              </w:rPr>
            </w:pPr>
          </w:p>
        </w:tc>
        <w:tc>
          <w:tcPr>
            <w:tcW w:w="134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2020</w:t>
            </w:r>
          </w:p>
        </w:tc>
      </w:tr>
      <w:tr>
        <w:trPr>
          <w:trHeight w:val="209"/>
        </w:trPr>
        <w:tc>
          <w:tcPr>
            <w:tcW w:w="8320" w:type="dxa"/>
            <w:vAlign w:val="bottom"/>
            <w:shd w:val="clear" w:color="auto" w:fill="D5EAEA"/>
          </w:tcPr>
          <w:p>
            <w:pPr>
              <w:spacing w:after="0"/>
              <w:rPr>
                <w:sz w:val="20"/>
                <w:szCs w:val="20"/>
                <w:color w:val="auto"/>
              </w:rPr>
            </w:pPr>
            <w:r>
              <w:rPr>
                <w:rFonts w:ascii="Arial" w:cs="Arial" w:eastAsia="Arial" w:hAnsi="Arial"/>
                <w:sz w:val="18"/>
                <w:szCs w:val="18"/>
                <w:color w:val="auto"/>
              </w:rPr>
              <w:t>Weighted average exchange rate, USD 1</w:t>
            </w:r>
          </w:p>
        </w:tc>
        <w:tc>
          <w:tcPr>
            <w:tcW w:w="120" w:type="dxa"/>
            <w:vAlign w:val="bottom"/>
            <w:shd w:val="clear" w:color="auto" w:fill="D5EAEA"/>
          </w:tcPr>
          <w:p>
            <w:pPr>
              <w:spacing w:after="0"/>
              <w:rPr>
                <w:sz w:val="18"/>
                <w:szCs w:val="18"/>
                <w:color w:val="auto"/>
              </w:rPr>
            </w:pPr>
          </w:p>
        </w:tc>
        <w:tc>
          <w:tcPr>
            <w:tcW w:w="1360" w:type="dxa"/>
            <w:vAlign w:val="bottom"/>
            <w:shd w:val="clear" w:color="auto" w:fill="D5EAEA"/>
          </w:tcPr>
          <w:p>
            <w:pPr>
              <w:jc w:val="right"/>
              <w:ind w:right="30"/>
              <w:spacing w:after="0"/>
              <w:rPr>
                <w:sz w:val="20"/>
                <w:szCs w:val="20"/>
                <w:color w:val="auto"/>
              </w:rPr>
            </w:pPr>
            <w:r>
              <w:rPr>
                <w:rFonts w:ascii="Arial" w:cs="Arial" w:eastAsia="Arial" w:hAnsi="Arial"/>
                <w:sz w:val="18"/>
                <w:szCs w:val="18"/>
                <w:color w:val="auto"/>
              </w:rPr>
              <w:t>0.920</w:t>
            </w:r>
          </w:p>
        </w:tc>
        <w:tc>
          <w:tcPr>
            <w:tcW w:w="100" w:type="dxa"/>
            <w:vAlign w:val="bottom"/>
            <w:shd w:val="clear" w:color="auto" w:fill="D5EAEA"/>
          </w:tcPr>
          <w:p>
            <w:pPr>
              <w:spacing w:after="0"/>
              <w:rPr>
                <w:sz w:val="18"/>
                <w:szCs w:val="18"/>
                <w:color w:val="auto"/>
              </w:rPr>
            </w:pPr>
          </w:p>
        </w:tc>
        <w:tc>
          <w:tcPr>
            <w:tcW w:w="134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w:t>
            </w:r>
          </w:p>
        </w:tc>
      </w:tr>
      <w:tr>
        <w:trPr>
          <w:trHeight w:val="526"/>
        </w:trPr>
        <w:tc>
          <w:tcPr>
            <w:tcW w:w="83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580" w:right="339" w:bottom="1440" w:gutter="0" w:footer="0" w:header="0"/>
        </w:sectPr>
      </w:pPr>
    </w:p>
    <w:bookmarkStart w:id="9" w:name="page10"/>
    <w:bookmarkEnd w:id="9"/>
    <w:p>
      <w:pPr>
        <w:ind w:left="340"/>
        <w:spacing w:after="0"/>
        <w:rPr>
          <w:sz w:val="20"/>
          <w:szCs w:val="20"/>
          <w:color w:val="auto"/>
        </w:rPr>
      </w:pPr>
      <w:r>
        <w:rPr>
          <w:rFonts w:ascii="Arial" w:cs="Arial" w:eastAsia="Arial" w:hAnsi="Arial"/>
          <w:sz w:val="18"/>
          <w:szCs w:val="18"/>
          <w:b w:val="1"/>
          <w:bCs w:val="1"/>
          <w:i w:val="1"/>
          <w:iCs w:val="1"/>
          <w:color w:val="auto"/>
        </w:rPr>
        <w:t>Basis of consolidation</w:t>
      </w:r>
    </w:p>
    <w:p>
      <w:pPr>
        <w:spacing w:after="0" w:line="225" w:lineRule="exact"/>
        <w:rPr>
          <w:sz w:val="20"/>
          <w:szCs w:val="20"/>
          <w:color w:val="auto"/>
        </w:rPr>
      </w:pPr>
    </w:p>
    <w:p>
      <w:pPr>
        <w:ind w:right="700" w:firstLine="324"/>
        <w:spacing w:after="0" w:line="277" w:lineRule="auto"/>
        <w:rPr>
          <w:sz w:val="20"/>
          <w:szCs w:val="20"/>
          <w:color w:val="auto"/>
        </w:rPr>
      </w:pPr>
      <w:r>
        <w:rPr>
          <w:rFonts w:ascii="Arial" w:cs="Arial" w:eastAsia="Arial" w:hAnsi="Arial"/>
          <w:sz w:val="18"/>
          <w:szCs w:val="18"/>
          <w:color w:val="auto"/>
        </w:rPr>
        <w:t>The Company wholly owns its Subsidiary and fully consolidates its financial statements into these Interim Condensed Consolidated Financial Statements.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judgments and accounting estimates</w:t>
      </w:r>
    </w:p>
    <w:p>
      <w:pPr>
        <w:spacing w:after="0" w:line="229" w:lineRule="exact"/>
        <w:rPr>
          <w:sz w:val="20"/>
          <w:szCs w:val="20"/>
          <w:color w:val="auto"/>
        </w:rPr>
      </w:pPr>
    </w:p>
    <w:p>
      <w:pPr>
        <w:jc w:val="both"/>
        <w:ind w:right="320" w:firstLine="324"/>
        <w:spacing w:after="0" w:line="311" w:lineRule="auto"/>
        <w:rPr>
          <w:sz w:val="20"/>
          <w:szCs w:val="20"/>
          <w:color w:val="auto"/>
        </w:rPr>
      </w:pPr>
      <w:r>
        <w:rPr>
          <w:rFonts w:ascii="Arial" w:cs="Arial" w:eastAsia="Arial" w:hAnsi="Arial"/>
          <w:sz w:val="16"/>
          <w:szCs w:val="16"/>
          <w:color w:val="auto"/>
        </w:rPr>
        <w:t>The preparation of the Company’s Interim Condensed Consolidated Financial Statements in conformity with IAS 34 requires management to make judgments, estimates and assumptions that affect the amounts reported in the Interim Condensed Consolidated Financial Statements and accompanying notes, and the related application of accounting policies as it relates to the reported amounts of assets, liabilities, income and expenses.</w:t>
      </w:r>
    </w:p>
    <w:p>
      <w:pPr>
        <w:spacing w:after="0" w:line="149" w:lineRule="exact"/>
        <w:rPr>
          <w:sz w:val="20"/>
          <w:szCs w:val="20"/>
          <w:color w:val="auto"/>
        </w:rPr>
      </w:pPr>
    </w:p>
    <w:p>
      <w:pPr>
        <w:ind w:right="500" w:firstLine="324"/>
        <w:spacing w:after="0" w:line="257" w:lineRule="auto"/>
        <w:rPr>
          <w:sz w:val="20"/>
          <w:szCs w:val="20"/>
          <w:color w:val="auto"/>
        </w:rPr>
      </w:pPr>
      <w:r>
        <w:rPr>
          <w:rFonts w:ascii="Arial" w:cs="Arial" w:eastAsia="Arial" w:hAnsi="Arial"/>
          <w:sz w:val="18"/>
          <w:szCs w:val="18"/>
          <w:color w:val="auto"/>
        </w:rPr>
        <w:t>The areas in which the Company has had to make judgments, estimates and assumptions relate to (i) revenue recognition on licensing and collaboration agreements (LCAs), (ii) clinical development accruals, (iii) net employee defined-benefit liability, (iv) income taxes, (v) share-based compensation, (vi) right-of-use assets and lease liabilities and (vii) derivative financial instruments. Actual results may differ from these estimates. Estimates and underlying assumptions are reviewed on an ongoing basis. Revisions to accounting estimates are recognized in the period in which the estimates are revised.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of financial assets and liabilities</w:t>
      </w:r>
    </w:p>
    <w:p>
      <w:pPr>
        <w:spacing w:after="0" w:line="229" w:lineRule="exact"/>
        <w:rPr>
          <w:sz w:val="20"/>
          <w:szCs w:val="20"/>
          <w:color w:val="auto"/>
        </w:rPr>
      </w:pPr>
    </w:p>
    <w:p>
      <w:pPr>
        <w:jc w:val="both"/>
        <w:ind w:right="120" w:firstLine="324"/>
        <w:spacing w:after="0" w:line="311" w:lineRule="auto"/>
        <w:rPr>
          <w:sz w:val="20"/>
          <w:szCs w:val="20"/>
          <w:color w:val="auto"/>
        </w:rPr>
      </w:pPr>
      <w:r>
        <w:rPr>
          <w:rFonts w:ascii="Arial" w:cs="Arial" w:eastAsia="Arial" w:hAnsi="Arial"/>
          <w:sz w:val="16"/>
          <w:szCs w:val="16"/>
          <w:color w:val="auto"/>
        </w:rPr>
        <w:t>The Company’s financial assets and liabilities are composed of receivables, short-term financial assets, cash and cash equivalents, derivative financial instruments, trade payables and lease liabilities. The fair value of these financial instruments approximate their respective carrying values due to the short-term maturity of these instruments, and are held at their amortized cost in accordance with IFRS 9, unless otherwise explicitly noted.</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Derivative Financial Instruments</w:t>
      </w:r>
    </w:p>
    <w:p>
      <w:pPr>
        <w:spacing w:after="0" w:line="225" w:lineRule="exact"/>
        <w:rPr>
          <w:sz w:val="20"/>
          <w:szCs w:val="20"/>
          <w:color w:val="auto"/>
        </w:rPr>
      </w:pPr>
    </w:p>
    <w:p>
      <w:pPr>
        <w:ind w:right="160" w:firstLine="324"/>
        <w:spacing w:after="0" w:line="291" w:lineRule="auto"/>
        <w:rPr>
          <w:sz w:val="20"/>
          <w:szCs w:val="20"/>
          <w:color w:val="auto"/>
        </w:rPr>
      </w:pPr>
      <w:r>
        <w:rPr>
          <w:rFonts w:ascii="Arial" w:cs="Arial" w:eastAsia="Arial" w:hAnsi="Arial"/>
          <w:sz w:val="16"/>
          <w:szCs w:val="16"/>
          <w:color w:val="auto"/>
        </w:rPr>
        <w:t>The Company entered into two convertible notes in July 2021, which were subject to closing conditions that were fully met subsequent to the period ended September 30, 2021. These convertible notes each had a derivative conversion feature which is remeasured to fair value at each reporting date. The</w:t>
      </w:r>
    </w:p>
    <w:p>
      <w:pPr>
        <w:ind w:right="20" w:firstLine="8"/>
        <w:spacing w:after="0" w:line="253" w:lineRule="auto"/>
        <w:tabs>
          <w:tab w:leader="none" w:pos="215" w:val="left"/>
        </w:tabs>
        <w:numPr>
          <w:ilvl w:val="0"/>
          <w:numId w:val="3"/>
        </w:numPr>
        <w:rPr>
          <w:rFonts w:ascii="Arial" w:cs="Arial" w:eastAsia="Arial" w:hAnsi="Arial"/>
          <w:sz w:val="18"/>
          <w:szCs w:val="18"/>
          <w:color w:val="auto"/>
        </w:rPr>
      </w:pPr>
      <w:r>
        <w:rPr>
          <w:rFonts w:ascii="Arial" w:cs="Arial" w:eastAsia="Arial" w:hAnsi="Arial"/>
          <w:sz w:val="18"/>
          <w:szCs w:val="18"/>
          <w:color w:val="auto"/>
        </w:rPr>
        <w:t>investors’ call options represent derivative liabilities and the (ii) Company’s put options represent derivative assets. The Company determined that these derivatives have the same risk exposure and are recorded net as derivative financial assets in the balance sheets. These instruments are classified as non-equity in accordance with IFRS 9. The changes in the fair value at each period end (gains or losses) of the derivative conversion features are recorded in the statements of income/(loss) within financial income.</w:t>
      </w:r>
    </w:p>
    <w:p>
      <w:pPr>
        <w:spacing w:after="0" w:line="193" w:lineRule="exact"/>
        <w:rPr>
          <w:sz w:val="20"/>
          <w:szCs w:val="20"/>
          <w:color w:val="auto"/>
        </w:rPr>
      </w:pPr>
    </w:p>
    <w:p>
      <w:pPr>
        <w:ind w:right="260" w:firstLine="324"/>
        <w:spacing w:after="0" w:line="277" w:lineRule="auto"/>
        <w:rPr>
          <w:sz w:val="20"/>
          <w:szCs w:val="20"/>
          <w:color w:val="auto"/>
        </w:rPr>
      </w:pPr>
      <w:r>
        <w:rPr>
          <w:rFonts w:ascii="Arial" w:cs="Arial" w:eastAsia="Arial" w:hAnsi="Arial"/>
          <w:sz w:val="18"/>
          <w:szCs w:val="18"/>
          <w:color w:val="auto"/>
        </w:rPr>
        <w:t>The Company used the Black-Scholes option pricing model to calculate the fair value of the derivative financial instruments. The valuation of these instruments are classified as Level 2 of the valuation hierarchy set out below.</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different levels of the valuation hierarchy have been defined as follows:</w:t>
      </w:r>
    </w:p>
    <w:p>
      <w:pPr>
        <w:spacing w:after="0" w:line="225" w:lineRule="exact"/>
        <w:rPr>
          <w:sz w:val="20"/>
          <w:szCs w:val="20"/>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Level 1: quoted prices (unadjusted) in active markets for identical assets or liabilities;</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Level 2: inputs other than quoted prices within Level 1 that are observable for the asset or liability, either directly (for example, as prices) or indirectly (for example, derived from prices);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Level 3: inputs for the asset or liability that are not based on observable market data.</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There were no transfers between the respective levels during the period.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Accounting policies, new standards, interpretations and amendments adopted by the Company</w:t>
      </w:r>
    </w:p>
    <w:p>
      <w:pPr>
        <w:spacing w:after="0" w:line="229" w:lineRule="exact"/>
        <w:rPr>
          <w:sz w:val="20"/>
          <w:szCs w:val="20"/>
          <w:color w:val="auto"/>
        </w:rPr>
      </w:pPr>
    </w:p>
    <w:p>
      <w:pPr>
        <w:ind w:right="140" w:firstLine="324"/>
        <w:spacing w:after="0" w:line="277" w:lineRule="auto"/>
        <w:rPr>
          <w:sz w:val="20"/>
          <w:szCs w:val="20"/>
          <w:color w:val="auto"/>
        </w:rPr>
      </w:pPr>
      <w:r>
        <w:rPr>
          <w:rFonts w:ascii="Arial" w:cs="Arial" w:eastAsia="Arial" w:hAnsi="Arial"/>
          <w:sz w:val="18"/>
          <w:szCs w:val="18"/>
          <w:color w:val="auto"/>
        </w:rPr>
        <w:t>The accounting policies adopted in the preparation of the Interim Condensed Consolidated Financial Statements are consistent with those followed in the preparation of the Company’s annual financial statements for the year ended December 31, 2020.</w:t>
      </w:r>
    </w:p>
    <w:p>
      <w:pPr>
        <w:spacing w:after="0" w:line="170" w:lineRule="exact"/>
        <w:rPr>
          <w:sz w:val="20"/>
          <w:szCs w:val="20"/>
          <w:color w:val="auto"/>
        </w:rPr>
      </w:pPr>
    </w:p>
    <w:p>
      <w:pPr>
        <w:ind w:right="360" w:firstLine="324"/>
        <w:spacing w:after="0" w:line="342" w:lineRule="auto"/>
        <w:rPr>
          <w:sz w:val="20"/>
          <w:szCs w:val="20"/>
          <w:color w:val="auto"/>
        </w:rPr>
      </w:pPr>
      <w:r>
        <w:rPr>
          <w:rFonts w:ascii="Arial" w:cs="Arial" w:eastAsia="Arial" w:hAnsi="Arial"/>
          <w:sz w:val="16"/>
          <w:szCs w:val="16"/>
          <w:color w:val="auto"/>
        </w:rPr>
        <w:t>The Company has not adopted any other standard, interpretation or amendment that has been issued but is not yet effective. Such standards are not currently expected to have a material impact on the entity in the current or future reporting periods, and on foreseeable future transactions.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284480</wp:posOffset>
            </wp:positionV>
            <wp:extent cx="713232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auto"/>
        </w:rPr>
        <w:t>Going concern</w:t>
      </w:r>
    </w:p>
    <w:p>
      <w:pPr>
        <w:spacing w:after="0" w:line="229" w:lineRule="exact"/>
        <w:rPr>
          <w:sz w:val="20"/>
          <w:szCs w:val="20"/>
          <w:color w:val="auto"/>
        </w:rPr>
      </w:pPr>
    </w:p>
    <w:p>
      <w:pPr>
        <w:ind w:right="260" w:firstLine="324"/>
        <w:spacing w:after="0" w:line="286" w:lineRule="auto"/>
        <w:rPr>
          <w:sz w:val="20"/>
          <w:szCs w:val="20"/>
          <w:color w:val="auto"/>
        </w:rPr>
      </w:pPr>
      <w:r>
        <w:rPr>
          <w:rFonts w:ascii="Arial" w:cs="Arial" w:eastAsia="Arial" w:hAnsi="Arial"/>
          <w:sz w:val="17"/>
          <w:szCs w:val="17"/>
          <w:color w:val="auto"/>
        </w:rPr>
        <w:t>The Company believes that it will be able to meet all of its obligations as they fall due for at least 12 months from September 30, 2021, after considering the Company’s cash position of CHF 93.6 million and short-term financial assets of CHF 95.0 million as of September 30, 2021. Hence, the unaudited Interim Condensed Consolidated Financial Statements have been prepared on a going-concern basis.</w:t>
      </w:r>
    </w:p>
    <w:p>
      <w:pPr>
        <w:spacing w:after="0" w:line="165" w:lineRule="exact"/>
        <w:rPr>
          <w:sz w:val="20"/>
          <w:szCs w:val="20"/>
          <w:color w:val="auto"/>
        </w:rPr>
      </w:pPr>
    </w:p>
    <w:p>
      <w:pPr>
        <w:ind w:right="160" w:firstLine="324"/>
        <w:spacing w:after="0" w:line="273" w:lineRule="auto"/>
        <w:rPr>
          <w:sz w:val="20"/>
          <w:szCs w:val="20"/>
          <w:color w:val="auto"/>
        </w:rPr>
      </w:pPr>
      <w:r>
        <w:rPr>
          <w:rFonts w:ascii="Arial" w:cs="Arial" w:eastAsia="Arial" w:hAnsi="Arial"/>
          <w:sz w:val="17"/>
          <w:szCs w:val="17"/>
          <w:color w:val="auto"/>
        </w:rPr>
        <w:t>To date, the Company has financed its cash requirements primarily from its public offerings, share issuances, contract revenues from license and collaboration agreements and grants. The Company is a clinical-stage company and is exposed to all the risks inherent to establishing a business. Inherent to the Company’s business are various risks and uncertainties, including the substantial uncertainty as to whether current projects will succeed. The Company’s success may depend in part upon its ability to (i) establish and maintain a strong patent position and protection; (ii) enter into collaborations with partners in the pharmaceutical and biopharmaceutical industries; (iii) successfully move its product candidates through clinical development; (iv) attract and retain key personnel; and (v) acquire capital to support its operations.</w:t>
      </w:r>
    </w:p>
    <w:p>
      <w:pPr>
        <w:spacing w:after="0" w:line="178" w:lineRule="exact"/>
        <w:rPr>
          <w:sz w:val="20"/>
          <w:szCs w:val="20"/>
          <w:color w:val="auto"/>
        </w:rPr>
      </w:pPr>
    </w:p>
    <w:p>
      <w:pPr>
        <w:ind w:right="60" w:firstLine="324"/>
        <w:spacing w:after="0" w:line="259" w:lineRule="auto"/>
        <w:rPr>
          <w:sz w:val="20"/>
          <w:szCs w:val="20"/>
          <w:color w:val="auto"/>
        </w:rPr>
      </w:pPr>
      <w:r>
        <w:rPr>
          <w:rFonts w:ascii="Arial" w:cs="Arial" w:eastAsia="Arial" w:hAnsi="Arial"/>
          <w:sz w:val="18"/>
          <w:szCs w:val="18"/>
          <w:color w:val="auto"/>
        </w:rPr>
        <w:t>In addition to the foregoing, based on the Company’s current assessment, the Company does not expect any material impact on its long-term development timeline, its liquidity or ability to remain a going concern due to the worldwide spread of the Covid-19 virus. The Company continues to assess the effect on its operations by carefully monitoring the spread of Covid-19 and taking appropriate steps intended to offset any negative impacts from the Covid-19 virus.</w:t>
      </w:r>
    </w:p>
    <w:p>
      <w:pPr>
        <w:spacing w:after="0" w:line="183" w:lineRule="exact"/>
        <w:rPr>
          <w:sz w:val="20"/>
          <w:szCs w:val="20"/>
          <w:color w:val="auto"/>
        </w:rPr>
      </w:pPr>
    </w:p>
    <w:p>
      <w:pPr>
        <w:ind w:left="720" w:hanging="321"/>
        <w:spacing w:after="0"/>
        <w:tabs>
          <w:tab w:leader="none" w:pos="72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Contract revenues</w:t>
      </w:r>
    </w:p>
    <w:p>
      <w:pPr>
        <w:spacing w:after="0" w:line="229" w:lineRule="exact"/>
        <w:rPr>
          <w:sz w:val="20"/>
          <w:szCs w:val="20"/>
          <w:color w:val="auto"/>
        </w:rPr>
      </w:pPr>
    </w:p>
    <w:p>
      <w:pPr>
        <w:ind w:right="120" w:firstLine="324"/>
        <w:spacing w:after="0" w:line="342" w:lineRule="auto"/>
        <w:rPr>
          <w:sz w:val="20"/>
          <w:szCs w:val="20"/>
          <w:color w:val="auto"/>
        </w:rPr>
      </w:pPr>
      <w:r>
        <w:rPr>
          <w:rFonts w:ascii="Arial" w:cs="Arial" w:eastAsia="Arial" w:hAnsi="Arial"/>
          <w:sz w:val="16"/>
          <w:szCs w:val="16"/>
          <w:color w:val="auto"/>
        </w:rPr>
        <w:t>For the three and nine months ended September 30, 2021, AC Immune generated no contract revenues compared with CHF 1.1 million and CHF 14.5 million for the comparable periods in 2020, respectively. This represents a decrease of CHF 1.1 million and CHF 14.5 million, respectively.</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0" w:type="dxa"/>
            <w:vAlign w:val="bottom"/>
            <w:gridSpan w:val="3"/>
          </w:tcPr>
          <w:p>
            <w:pPr>
              <w:jc w:val="right"/>
              <w:ind w:right="450"/>
              <w:spacing w:after="0"/>
              <w:rPr>
                <w:sz w:val="20"/>
                <w:szCs w:val="20"/>
                <w:color w:val="auto"/>
              </w:rPr>
            </w:pPr>
            <w:r>
              <w:rPr>
                <w:rFonts w:ascii="Arial" w:cs="Arial" w:eastAsia="Arial" w:hAnsi="Arial"/>
                <w:sz w:val="18"/>
                <w:szCs w:val="18"/>
                <w:b w:val="1"/>
                <w:bCs w:val="1"/>
                <w:color w:val="auto"/>
              </w:rPr>
              <w:t>For the Three Months</w:t>
            </w:r>
          </w:p>
        </w:tc>
      </w:tr>
      <w:tr>
        <w:trPr>
          <w:trHeight w:val="234"/>
        </w:trPr>
        <w:tc>
          <w:tcPr>
            <w:tcW w:w="8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0" w:type="dxa"/>
            <w:vAlign w:val="bottom"/>
            <w:tcBorders>
              <w:bottom w:val="single" w:sz="8" w:color="auto"/>
            </w:tcBorders>
            <w:gridSpan w:val="3"/>
          </w:tcPr>
          <w:p>
            <w:pPr>
              <w:jc w:val="right"/>
              <w:ind w:right="490"/>
              <w:spacing w:after="0"/>
              <w:rPr>
                <w:sz w:val="20"/>
                <w:szCs w:val="20"/>
                <w:color w:val="auto"/>
              </w:rPr>
            </w:pPr>
            <w:r>
              <w:rPr>
                <w:rFonts w:ascii="Arial" w:cs="Arial" w:eastAsia="Arial" w:hAnsi="Arial"/>
                <w:sz w:val="18"/>
                <w:szCs w:val="18"/>
                <w:b w:val="1"/>
                <w:bCs w:val="1"/>
                <w:color w:val="auto"/>
              </w:rPr>
              <w:t>Ended September 30,</w:t>
            </w:r>
          </w:p>
        </w:tc>
      </w:tr>
      <w:tr>
        <w:trPr>
          <w:trHeight w:val="223"/>
        </w:trPr>
        <w:tc>
          <w:tcPr>
            <w:tcW w:w="8440" w:type="dxa"/>
            <w:vAlign w:val="bottom"/>
            <w:gridSpan w:val="2"/>
          </w:tcPr>
          <w:p>
            <w:pPr>
              <w:ind w:left="3460"/>
              <w:spacing w:after="0"/>
              <w:rPr>
                <w:sz w:val="20"/>
                <w:szCs w:val="20"/>
                <w:color w:val="auto"/>
              </w:rPr>
            </w:pPr>
            <w:r>
              <w:rPr>
                <w:rFonts w:ascii="Arial" w:cs="Arial" w:eastAsia="Arial" w:hAnsi="Arial"/>
                <w:sz w:val="18"/>
                <w:szCs w:val="18"/>
                <w:b w:val="1"/>
                <w:bCs w:val="1"/>
                <w:color w:val="auto"/>
              </w:rPr>
              <w:t>in CHF thousands</w:t>
            </w:r>
          </w:p>
        </w:tc>
        <w:tc>
          <w:tcPr>
            <w:tcW w:w="1360" w:type="dxa"/>
            <w:vAlign w:val="bottom"/>
          </w:tcPr>
          <w:p>
            <w:pPr>
              <w:ind w:left="50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9"/>
                <w:szCs w:val="19"/>
                <w:color w:val="auto"/>
              </w:rPr>
            </w:pPr>
          </w:p>
        </w:tc>
        <w:tc>
          <w:tcPr>
            <w:tcW w:w="1340" w:type="dxa"/>
            <w:vAlign w:val="bottom"/>
          </w:tcPr>
          <w:p>
            <w:pPr>
              <w:jc w:val="right"/>
              <w:ind w:right="390"/>
              <w:spacing w:after="0"/>
              <w:rPr>
                <w:sz w:val="20"/>
                <w:szCs w:val="20"/>
                <w:color w:val="auto"/>
              </w:rPr>
            </w:pPr>
            <w:r>
              <w:rPr>
                <w:rFonts w:ascii="Arial" w:cs="Arial" w:eastAsia="Arial" w:hAnsi="Arial"/>
                <w:sz w:val="18"/>
                <w:szCs w:val="18"/>
                <w:b w:val="1"/>
                <w:bCs w:val="1"/>
                <w:color w:val="auto"/>
              </w:rPr>
              <w:t>2020</w:t>
            </w:r>
          </w:p>
        </w:tc>
      </w:tr>
      <w:tr>
        <w:trPr>
          <w:trHeight w:val="210"/>
        </w:trPr>
        <w:tc>
          <w:tcPr>
            <w:tcW w:w="8320" w:type="dxa"/>
            <w:vAlign w:val="bottom"/>
            <w:tcBorders>
              <w:top w:val="single" w:sz="8" w:color="auto"/>
            </w:tcBorders>
            <w:shd w:val="clear" w:color="auto" w:fill="D5EAEA"/>
          </w:tcPr>
          <w:p>
            <w:pPr>
              <w:spacing w:after="0"/>
              <w:rPr>
                <w:sz w:val="20"/>
                <w:szCs w:val="20"/>
                <w:color w:val="auto"/>
              </w:rPr>
            </w:pPr>
            <w:r>
              <w:rPr>
                <w:rFonts w:ascii="Arial" w:cs="Arial" w:eastAsia="Arial" w:hAnsi="Arial"/>
                <w:sz w:val="18"/>
                <w:szCs w:val="18"/>
                <w:color w:val="auto"/>
              </w:rPr>
              <w:t>Eli Lilly and Company</w:t>
            </w:r>
          </w:p>
        </w:tc>
        <w:tc>
          <w:tcPr>
            <w:tcW w:w="120" w:type="dxa"/>
            <w:vAlign w:val="bottom"/>
            <w:tcBorders>
              <w:top w:val="single" w:sz="8" w:color="D5EAEA"/>
            </w:tcBorders>
            <w:shd w:val="clear" w:color="auto" w:fill="D5EAEA"/>
          </w:tcPr>
          <w:p>
            <w:pPr>
              <w:spacing w:after="0"/>
              <w:rPr>
                <w:sz w:val="18"/>
                <w:szCs w:val="18"/>
                <w:color w:val="auto"/>
              </w:rPr>
            </w:pPr>
          </w:p>
        </w:tc>
        <w:tc>
          <w:tcPr>
            <w:tcW w:w="1360" w:type="dxa"/>
            <w:vAlign w:val="bottom"/>
            <w:tcBorders>
              <w:top w:val="single" w:sz="8" w:color="auto"/>
            </w:tcBorders>
            <w:shd w:val="clear" w:color="auto" w:fill="D5EAEA"/>
          </w:tcPr>
          <w:p>
            <w:pPr>
              <w:ind w:left="106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D5EAEA"/>
            </w:tcBorders>
            <w:shd w:val="clear" w:color="auto" w:fill="D5EAEA"/>
          </w:tcPr>
          <w:p>
            <w:pPr>
              <w:spacing w:after="0"/>
              <w:rPr>
                <w:sz w:val="18"/>
                <w:szCs w:val="18"/>
                <w:color w:val="auto"/>
              </w:rPr>
            </w:pPr>
          </w:p>
        </w:tc>
        <w:tc>
          <w:tcPr>
            <w:tcW w:w="1340" w:type="dxa"/>
            <w:vAlign w:val="bottom"/>
            <w:tcBorders>
              <w:top w:val="single" w:sz="8" w:color="auto"/>
            </w:tcBorders>
            <w:shd w:val="clear" w:color="auto" w:fill="D5EAEA"/>
          </w:tcPr>
          <w:p>
            <w:pPr>
              <w:jc w:val="right"/>
              <w:ind w:right="10"/>
              <w:spacing w:after="0"/>
              <w:rPr>
                <w:sz w:val="20"/>
                <w:szCs w:val="20"/>
                <w:color w:val="auto"/>
              </w:rPr>
            </w:pPr>
            <w:r>
              <w:rPr>
                <w:rFonts w:ascii="Arial" w:cs="Arial" w:eastAsia="Arial" w:hAnsi="Arial"/>
                <w:sz w:val="18"/>
                <w:szCs w:val="18"/>
                <w:color w:val="auto"/>
              </w:rPr>
              <w:t>1,123</w:t>
            </w:r>
          </w:p>
        </w:tc>
      </w:tr>
      <w:tr>
        <w:trPr>
          <w:trHeight w:val="216"/>
        </w:trPr>
        <w:tc>
          <w:tcPr>
            <w:tcW w:w="8440" w:type="dxa"/>
            <w:vAlign w:val="bottom"/>
            <w:gridSpan w:val="2"/>
          </w:tcPr>
          <w:p>
            <w:pPr>
              <w:spacing w:after="0"/>
              <w:rPr>
                <w:sz w:val="20"/>
                <w:szCs w:val="20"/>
                <w:color w:val="auto"/>
              </w:rPr>
            </w:pPr>
            <w:r>
              <w:rPr>
                <w:rFonts w:ascii="Arial" w:cs="Arial" w:eastAsia="Arial" w:hAnsi="Arial"/>
                <w:sz w:val="18"/>
                <w:szCs w:val="18"/>
                <w:color w:val="auto"/>
              </w:rPr>
              <w:t>Genentech</w:t>
            </w:r>
          </w:p>
        </w:tc>
        <w:tc>
          <w:tcPr>
            <w:tcW w:w="1460" w:type="dxa"/>
            <w:vAlign w:val="bottom"/>
            <w:gridSpan w:val="2"/>
          </w:tcPr>
          <w:p>
            <w:pPr>
              <w:ind w:left="1060"/>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29"/>
        </w:trPr>
        <w:tc>
          <w:tcPr>
            <w:tcW w:w="8440" w:type="dxa"/>
            <w:vAlign w:val="bottom"/>
            <w:gridSpan w:val="2"/>
            <w:shd w:val="clear" w:color="auto" w:fill="D5EAEA"/>
          </w:tcPr>
          <w:p>
            <w:pPr>
              <w:spacing w:after="0"/>
              <w:rPr>
                <w:sz w:val="20"/>
                <w:szCs w:val="20"/>
                <w:color w:val="auto"/>
              </w:rPr>
            </w:pPr>
            <w:r>
              <w:rPr>
                <w:rFonts w:ascii="Arial" w:cs="Arial" w:eastAsia="Arial" w:hAnsi="Arial"/>
                <w:sz w:val="18"/>
                <w:szCs w:val="18"/>
                <w:color w:val="auto"/>
              </w:rPr>
              <w:t>Janssen</w:t>
            </w:r>
          </w:p>
        </w:tc>
        <w:tc>
          <w:tcPr>
            <w:tcW w:w="1460" w:type="dxa"/>
            <w:vAlign w:val="bottom"/>
            <w:gridSpan w:val="2"/>
            <w:shd w:val="clear" w:color="auto" w:fill="D5EAEA"/>
          </w:tcPr>
          <w:p>
            <w:pPr>
              <w:ind w:left="1060"/>
              <w:spacing w:after="0"/>
              <w:rPr>
                <w:sz w:val="20"/>
                <w:szCs w:val="20"/>
                <w:color w:val="auto"/>
              </w:rPr>
            </w:pPr>
            <w:r>
              <w:rPr>
                <w:rFonts w:ascii="Arial" w:cs="Arial" w:eastAsia="Arial" w:hAnsi="Arial"/>
                <w:sz w:val="18"/>
                <w:szCs w:val="18"/>
                <w:color w:val="auto"/>
              </w:rPr>
              <w:t>—</w:t>
            </w:r>
          </w:p>
        </w:tc>
        <w:tc>
          <w:tcPr>
            <w:tcW w:w="134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w:t>
            </w:r>
          </w:p>
        </w:tc>
      </w:tr>
      <w:tr>
        <w:trPr>
          <w:trHeight w:val="223"/>
        </w:trPr>
        <w:tc>
          <w:tcPr>
            <w:tcW w:w="8440" w:type="dxa"/>
            <w:vAlign w:val="bottom"/>
            <w:gridSpan w:val="2"/>
          </w:tcPr>
          <w:p>
            <w:pPr>
              <w:spacing w:after="0"/>
              <w:rPr>
                <w:sz w:val="20"/>
                <w:szCs w:val="20"/>
                <w:color w:val="auto"/>
              </w:rPr>
            </w:pPr>
            <w:r>
              <w:rPr>
                <w:rFonts w:ascii="Arial" w:cs="Arial" w:eastAsia="Arial" w:hAnsi="Arial"/>
                <w:sz w:val="18"/>
                <w:szCs w:val="18"/>
                <w:b w:val="1"/>
                <w:bCs w:val="1"/>
                <w:color w:val="auto"/>
              </w:rPr>
              <w:t>Total contract revenue</w:t>
            </w:r>
          </w:p>
        </w:tc>
        <w:tc>
          <w:tcPr>
            <w:tcW w:w="1360" w:type="dxa"/>
            <w:vAlign w:val="bottom"/>
            <w:tcBorders>
              <w:top w:val="single" w:sz="8" w:color="auto"/>
              <w:bottom w:val="single" w:sz="8" w:color="auto"/>
            </w:tcBorders>
          </w:tcPr>
          <w:p>
            <w:pPr>
              <w:ind w:left="10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3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1,123</w:t>
            </w:r>
          </w:p>
        </w:tc>
      </w:tr>
      <w:tr>
        <w:trPr>
          <w:trHeight w:val="20"/>
        </w:trPr>
        <w:tc>
          <w:tcPr>
            <w:tcW w:w="8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0" w:type="dxa"/>
            <w:vAlign w:val="bottom"/>
            <w:gridSpan w:val="3"/>
          </w:tcPr>
          <w:p>
            <w:pPr>
              <w:jc w:val="right"/>
              <w:ind w:right="510"/>
              <w:spacing w:after="0"/>
              <w:rPr>
                <w:sz w:val="20"/>
                <w:szCs w:val="20"/>
                <w:color w:val="auto"/>
              </w:rPr>
            </w:pPr>
            <w:r>
              <w:rPr>
                <w:rFonts w:ascii="Arial" w:cs="Arial" w:eastAsia="Arial" w:hAnsi="Arial"/>
                <w:sz w:val="18"/>
                <w:szCs w:val="18"/>
                <w:b w:val="1"/>
                <w:bCs w:val="1"/>
                <w:color w:val="auto"/>
              </w:rPr>
              <w:t>For the Nine Months</w:t>
            </w:r>
          </w:p>
        </w:tc>
      </w:tr>
      <w:tr>
        <w:trPr>
          <w:trHeight w:val="234"/>
        </w:trPr>
        <w:tc>
          <w:tcPr>
            <w:tcW w:w="8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0" w:type="dxa"/>
            <w:vAlign w:val="bottom"/>
            <w:tcBorders>
              <w:bottom w:val="single" w:sz="8" w:color="auto"/>
            </w:tcBorders>
            <w:gridSpan w:val="3"/>
          </w:tcPr>
          <w:p>
            <w:pPr>
              <w:jc w:val="right"/>
              <w:ind w:right="490"/>
              <w:spacing w:after="0"/>
              <w:rPr>
                <w:sz w:val="20"/>
                <w:szCs w:val="20"/>
                <w:color w:val="auto"/>
              </w:rPr>
            </w:pPr>
            <w:r>
              <w:rPr>
                <w:rFonts w:ascii="Arial" w:cs="Arial" w:eastAsia="Arial" w:hAnsi="Arial"/>
                <w:sz w:val="18"/>
                <w:szCs w:val="18"/>
                <w:b w:val="1"/>
                <w:bCs w:val="1"/>
                <w:color w:val="auto"/>
              </w:rPr>
              <w:t>Ended September 30,</w:t>
            </w:r>
          </w:p>
        </w:tc>
      </w:tr>
      <w:tr>
        <w:trPr>
          <w:trHeight w:val="223"/>
        </w:trPr>
        <w:tc>
          <w:tcPr>
            <w:tcW w:w="8440" w:type="dxa"/>
            <w:vAlign w:val="bottom"/>
            <w:gridSpan w:val="2"/>
          </w:tcPr>
          <w:p>
            <w:pPr>
              <w:ind w:left="3460"/>
              <w:spacing w:after="0"/>
              <w:rPr>
                <w:sz w:val="20"/>
                <w:szCs w:val="20"/>
                <w:color w:val="auto"/>
              </w:rPr>
            </w:pPr>
            <w:r>
              <w:rPr>
                <w:rFonts w:ascii="Arial" w:cs="Arial" w:eastAsia="Arial" w:hAnsi="Arial"/>
                <w:sz w:val="18"/>
                <w:szCs w:val="18"/>
                <w:b w:val="1"/>
                <w:bCs w:val="1"/>
                <w:color w:val="auto"/>
              </w:rPr>
              <w:t>in CHF thousands</w:t>
            </w:r>
          </w:p>
        </w:tc>
        <w:tc>
          <w:tcPr>
            <w:tcW w:w="1360" w:type="dxa"/>
            <w:vAlign w:val="bottom"/>
          </w:tcPr>
          <w:p>
            <w:pPr>
              <w:ind w:left="50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9"/>
                <w:szCs w:val="19"/>
                <w:color w:val="auto"/>
              </w:rPr>
            </w:pPr>
          </w:p>
        </w:tc>
        <w:tc>
          <w:tcPr>
            <w:tcW w:w="1340" w:type="dxa"/>
            <w:vAlign w:val="bottom"/>
          </w:tcPr>
          <w:p>
            <w:pPr>
              <w:jc w:val="right"/>
              <w:ind w:right="390"/>
              <w:spacing w:after="0"/>
              <w:rPr>
                <w:sz w:val="20"/>
                <w:szCs w:val="20"/>
                <w:color w:val="auto"/>
              </w:rPr>
            </w:pPr>
            <w:r>
              <w:rPr>
                <w:rFonts w:ascii="Arial" w:cs="Arial" w:eastAsia="Arial" w:hAnsi="Arial"/>
                <w:sz w:val="18"/>
                <w:szCs w:val="18"/>
                <w:b w:val="1"/>
                <w:bCs w:val="1"/>
                <w:color w:val="auto"/>
              </w:rPr>
              <w:t>2020</w:t>
            </w:r>
          </w:p>
        </w:tc>
      </w:tr>
      <w:tr>
        <w:trPr>
          <w:trHeight w:val="209"/>
        </w:trPr>
        <w:tc>
          <w:tcPr>
            <w:tcW w:w="8320" w:type="dxa"/>
            <w:vAlign w:val="bottom"/>
            <w:tcBorders>
              <w:top w:val="single" w:sz="8" w:color="auto"/>
            </w:tcBorders>
            <w:shd w:val="clear" w:color="auto" w:fill="D5EAEA"/>
          </w:tcPr>
          <w:p>
            <w:pPr>
              <w:spacing w:after="0"/>
              <w:rPr>
                <w:sz w:val="20"/>
                <w:szCs w:val="20"/>
                <w:color w:val="auto"/>
              </w:rPr>
            </w:pPr>
            <w:r>
              <w:rPr>
                <w:rFonts w:ascii="Arial" w:cs="Arial" w:eastAsia="Arial" w:hAnsi="Arial"/>
                <w:sz w:val="18"/>
                <w:szCs w:val="18"/>
                <w:color w:val="auto"/>
              </w:rPr>
              <w:t>Eli Lilly and Company</w:t>
            </w:r>
          </w:p>
        </w:tc>
        <w:tc>
          <w:tcPr>
            <w:tcW w:w="120" w:type="dxa"/>
            <w:vAlign w:val="bottom"/>
            <w:tcBorders>
              <w:top w:val="single" w:sz="8" w:color="D5EAEA"/>
            </w:tcBorders>
            <w:shd w:val="clear" w:color="auto" w:fill="D5EAEA"/>
          </w:tcPr>
          <w:p>
            <w:pPr>
              <w:spacing w:after="0"/>
              <w:rPr>
                <w:sz w:val="18"/>
                <w:szCs w:val="18"/>
                <w:color w:val="auto"/>
              </w:rPr>
            </w:pPr>
          </w:p>
        </w:tc>
        <w:tc>
          <w:tcPr>
            <w:tcW w:w="1360" w:type="dxa"/>
            <w:vAlign w:val="bottom"/>
            <w:tcBorders>
              <w:top w:val="single" w:sz="8" w:color="auto"/>
            </w:tcBorders>
            <w:shd w:val="clear" w:color="auto" w:fill="D5EAEA"/>
          </w:tcPr>
          <w:p>
            <w:pPr>
              <w:ind w:left="106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D5EAEA"/>
            </w:tcBorders>
            <w:shd w:val="clear" w:color="auto" w:fill="D5EAEA"/>
          </w:tcPr>
          <w:p>
            <w:pPr>
              <w:spacing w:after="0"/>
              <w:rPr>
                <w:sz w:val="18"/>
                <w:szCs w:val="18"/>
                <w:color w:val="auto"/>
              </w:rPr>
            </w:pPr>
          </w:p>
        </w:tc>
        <w:tc>
          <w:tcPr>
            <w:tcW w:w="1340" w:type="dxa"/>
            <w:vAlign w:val="bottom"/>
            <w:tcBorders>
              <w:top w:val="single" w:sz="8" w:color="auto"/>
            </w:tcBorders>
            <w:shd w:val="clear" w:color="auto" w:fill="D5EAEA"/>
          </w:tcPr>
          <w:p>
            <w:pPr>
              <w:jc w:val="right"/>
              <w:ind w:right="10"/>
              <w:spacing w:after="0"/>
              <w:rPr>
                <w:sz w:val="20"/>
                <w:szCs w:val="20"/>
                <w:color w:val="auto"/>
              </w:rPr>
            </w:pPr>
            <w:r>
              <w:rPr>
                <w:rFonts w:ascii="Arial" w:cs="Arial" w:eastAsia="Arial" w:hAnsi="Arial"/>
                <w:sz w:val="18"/>
                <w:szCs w:val="18"/>
                <w:color w:val="auto"/>
              </w:rPr>
              <w:t>14,063</w:t>
            </w:r>
          </w:p>
        </w:tc>
      </w:tr>
      <w:tr>
        <w:trPr>
          <w:trHeight w:val="216"/>
        </w:trPr>
        <w:tc>
          <w:tcPr>
            <w:tcW w:w="8440" w:type="dxa"/>
            <w:vAlign w:val="bottom"/>
            <w:gridSpan w:val="2"/>
          </w:tcPr>
          <w:p>
            <w:pPr>
              <w:spacing w:after="0"/>
              <w:rPr>
                <w:sz w:val="20"/>
                <w:szCs w:val="20"/>
                <w:color w:val="auto"/>
              </w:rPr>
            </w:pPr>
            <w:r>
              <w:rPr>
                <w:rFonts w:ascii="Arial" w:cs="Arial" w:eastAsia="Arial" w:hAnsi="Arial"/>
                <w:sz w:val="18"/>
                <w:szCs w:val="18"/>
                <w:color w:val="auto"/>
              </w:rPr>
              <w:t>Genentech</w:t>
            </w:r>
          </w:p>
        </w:tc>
        <w:tc>
          <w:tcPr>
            <w:tcW w:w="1460" w:type="dxa"/>
            <w:vAlign w:val="bottom"/>
            <w:gridSpan w:val="2"/>
          </w:tcPr>
          <w:p>
            <w:pPr>
              <w:ind w:left="1060"/>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30"/>
        </w:trPr>
        <w:tc>
          <w:tcPr>
            <w:tcW w:w="8440" w:type="dxa"/>
            <w:vAlign w:val="bottom"/>
            <w:gridSpan w:val="2"/>
            <w:shd w:val="clear" w:color="auto" w:fill="D5EAEA"/>
          </w:tcPr>
          <w:p>
            <w:pPr>
              <w:spacing w:after="0"/>
              <w:rPr>
                <w:sz w:val="20"/>
                <w:szCs w:val="20"/>
                <w:color w:val="auto"/>
              </w:rPr>
            </w:pPr>
            <w:r>
              <w:rPr>
                <w:rFonts w:ascii="Arial" w:cs="Arial" w:eastAsia="Arial" w:hAnsi="Arial"/>
                <w:sz w:val="18"/>
                <w:szCs w:val="18"/>
                <w:color w:val="auto"/>
              </w:rPr>
              <w:t>Janssen</w:t>
            </w:r>
          </w:p>
        </w:tc>
        <w:tc>
          <w:tcPr>
            <w:tcW w:w="1460" w:type="dxa"/>
            <w:vAlign w:val="bottom"/>
            <w:gridSpan w:val="2"/>
            <w:shd w:val="clear" w:color="auto" w:fill="D5EAEA"/>
          </w:tcPr>
          <w:p>
            <w:pPr>
              <w:ind w:left="1060"/>
              <w:spacing w:after="0"/>
              <w:rPr>
                <w:sz w:val="20"/>
                <w:szCs w:val="20"/>
                <w:color w:val="auto"/>
              </w:rPr>
            </w:pPr>
            <w:r>
              <w:rPr>
                <w:rFonts w:ascii="Arial" w:cs="Arial" w:eastAsia="Arial" w:hAnsi="Arial"/>
                <w:sz w:val="18"/>
                <w:szCs w:val="18"/>
                <w:color w:val="auto"/>
              </w:rPr>
              <w:t>—</w:t>
            </w:r>
          </w:p>
        </w:tc>
        <w:tc>
          <w:tcPr>
            <w:tcW w:w="134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424</w:t>
            </w:r>
          </w:p>
        </w:tc>
      </w:tr>
      <w:tr>
        <w:trPr>
          <w:trHeight w:val="223"/>
        </w:trPr>
        <w:tc>
          <w:tcPr>
            <w:tcW w:w="8440" w:type="dxa"/>
            <w:vAlign w:val="bottom"/>
            <w:gridSpan w:val="2"/>
          </w:tcPr>
          <w:p>
            <w:pPr>
              <w:spacing w:after="0"/>
              <w:rPr>
                <w:sz w:val="20"/>
                <w:szCs w:val="20"/>
                <w:color w:val="auto"/>
              </w:rPr>
            </w:pPr>
            <w:r>
              <w:rPr>
                <w:rFonts w:ascii="Arial" w:cs="Arial" w:eastAsia="Arial" w:hAnsi="Arial"/>
                <w:sz w:val="18"/>
                <w:szCs w:val="18"/>
                <w:b w:val="1"/>
                <w:bCs w:val="1"/>
                <w:color w:val="auto"/>
              </w:rPr>
              <w:t>Total contract revenue</w:t>
            </w:r>
          </w:p>
        </w:tc>
        <w:tc>
          <w:tcPr>
            <w:tcW w:w="1360" w:type="dxa"/>
            <w:vAlign w:val="bottom"/>
            <w:tcBorders>
              <w:top w:val="single" w:sz="8" w:color="auto"/>
              <w:bottom w:val="single" w:sz="8" w:color="auto"/>
            </w:tcBorders>
          </w:tcPr>
          <w:p>
            <w:pPr>
              <w:ind w:left="10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3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14,487</w:t>
            </w:r>
          </w:p>
        </w:tc>
      </w:tr>
      <w:tr>
        <w:trPr>
          <w:trHeight w:val="20"/>
        </w:trPr>
        <w:tc>
          <w:tcPr>
            <w:tcW w:w="8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r>
        <w:trPr>
          <w:trHeight w:val="507"/>
        </w:trPr>
        <w:tc>
          <w:tcPr>
            <w:tcW w:w="83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580" w:right="339" w:bottom="1440" w:gutter="0" w:footer="0" w:header="0"/>
        </w:sectPr>
      </w:pPr>
    </w:p>
    <w:bookmarkStart w:id="11" w:name="page12"/>
    <w:bookmarkEnd w:id="11"/>
    <w:p>
      <w:pPr>
        <w:ind w:left="340"/>
        <w:spacing w:after="0"/>
        <w:rPr>
          <w:sz w:val="20"/>
          <w:szCs w:val="20"/>
          <w:color w:val="auto"/>
        </w:rPr>
      </w:pPr>
      <w:r>
        <w:rPr>
          <w:rFonts w:ascii="Arial" w:cs="Arial" w:eastAsia="Arial" w:hAnsi="Arial"/>
          <w:sz w:val="16"/>
          <w:szCs w:val="16"/>
          <w:color w:val="auto"/>
        </w:rPr>
        <w:t>The following table presents changes in the Company’s contract assets and liabilities during the nine months ended September 30, 2021 and 2020:</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8"/>
              </w:rPr>
              <w:t>Balance at the</w:t>
            </w: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jc w:val="center"/>
              <w:spacing w:after="0"/>
              <w:rPr>
                <w:sz w:val="20"/>
                <w:szCs w:val="20"/>
                <w:color w:val="auto"/>
              </w:rPr>
            </w:pPr>
            <w:r>
              <w:rPr>
                <w:rFonts w:ascii="Arial" w:cs="Arial" w:eastAsia="Arial" w:hAnsi="Arial"/>
                <w:sz w:val="18"/>
                <w:szCs w:val="18"/>
                <w:b w:val="1"/>
                <w:bCs w:val="1"/>
                <w:color w:val="auto"/>
                <w:w w:val="90"/>
              </w:rPr>
              <w:t>Balance at the</w:t>
            </w:r>
          </w:p>
        </w:tc>
      </w:tr>
      <w:tr>
        <w:trPr>
          <w:trHeight w:val="216"/>
        </w:trPr>
        <w:tc>
          <w:tcPr>
            <w:tcW w:w="5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8"/>
              </w:rPr>
              <w:t>beginning of the</w:t>
            </w: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jc w:val="center"/>
              <w:spacing w:after="0"/>
              <w:rPr>
                <w:sz w:val="20"/>
                <w:szCs w:val="20"/>
                <w:color w:val="auto"/>
              </w:rPr>
            </w:pPr>
            <w:r>
              <w:rPr>
                <w:rFonts w:ascii="Arial" w:cs="Arial" w:eastAsia="Arial" w:hAnsi="Arial"/>
                <w:sz w:val="18"/>
                <w:szCs w:val="18"/>
                <w:b w:val="1"/>
                <w:bCs w:val="1"/>
                <w:color w:val="auto"/>
                <w:w w:val="88"/>
              </w:rPr>
              <w:t>end of the</w:t>
            </w:r>
          </w:p>
        </w:tc>
      </w:tr>
      <w:tr>
        <w:trPr>
          <w:trHeight w:val="234"/>
        </w:trPr>
        <w:tc>
          <w:tcPr>
            <w:tcW w:w="5520" w:type="dxa"/>
            <w:vAlign w:val="bottom"/>
            <w:gridSpan w:val="2"/>
          </w:tcPr>
          <w:p>
            <w:pPr>
              <w:ind w:left="2000"/>
              <w:spacing w:after="0"/>
              <w:rPr>
                <w:sz w:val="20"/>
                <w:szCs w:val="20"/>
                <w:color w:val="auto"/>
              </w:rPr>
            </w:pPr>
            <w:r>
              <w:rPr>
                <w:rFonts w:ascii="Arial" w:cs="Arial" w:eastAsia="Arial" w:hAnsi="Arial"/>
                <w:sz w:val="18"/>
                <w:szCs w:val="18"/>
                <w:b w:val="1"/>
                <w:bCs w:val="1"/>
                <w:color w:val="auto"/>
              </w:rPr>
              <w:t>in CHF thousands</w:t>
            </w:r>
          </w:p>
        </w:tc>
        <w:tc>
          <w:tcPr>
            <w:tcW w:w="15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2"/>
              </w:rPr>
              <w:t>reporting period</w:t>
            </w:r>
          </w:p>
        </w:tc>
        <w:tc>
          <w:tcPr>
            <w:tcW w:w="1440" w:type="dxa"/>
            <w:vAlign w:val="bottom"/>
            <w:gridSpan w:val="2"/>
          </w:tcPr>
          <w:p>
            <w:pPr>
              <w:ind w:left="280"/>
              <w:spacing w:after="0"/>
              <w:rPr>
                <w:sz w:val="20"/>
                <w:szCs w:val="20"/>
                <w:color w:val="auto"/>
              </w:rPr>
            </w:pPr>
            <w:r>
              <w:rPr>
                <w:rFonts w:ascii="Arial" w:cs="Arial" w:eastAsia="Arial" w:hAnsi="Arial"/>
                <w:sz w:val="18"/>
                <w:szCs w:val="18"/>
                <w:b w:val="1"/>
                <w:bCs w:val="1"/>
                <w:color w:val="auto"/>
              </w:rPr>
              <w:t>Additions</w:t>
            </w:r>
          </w:p>
        </w:tc>
        <w:tc>
          <w:tcPr>
            <w:tcW w:w="1440" w:type="dxa"/>
            <w:vAlign w:val="bottom"/>
            <w:gridSpan w:val="2"/>
          </w:tcPr>
          <w:p>
            <w:pPr>
              <w:ind w:left="240"/>
              <w:spacing w:after="0"/>
              <w:rPr>
                <w:sz w:val="20"/>
                <w:szCs w:val="20"/>
                <w:color w:val="auto"/>
              </w:rPr>
            </w:pPr>
            <w:r>
              <w:rPr>
                <w:rFonts w:ascii="Arial" w:cs="Arial" w:eastAsia="Arial" w:hAnsi="Arial"/>
                <w:sz w:val="18"/>
                <w:szCs w:val="18"/>
                <w:b w:val="1"/>
                <w:bCs w:val="1"/>
                <w:color w:val="auto"/>
              </w:rPr>
              <w:t>Deductions</w:t>
            </w:r>
          </w:p>
        </w:tc>
        <w:tc>
          <w:tcPr>
            <w:tcW w:w="1340" w:type="dxa"/>
            <w:vAlign w:val="bottom"/>
          </w:tcPr>
          <w:p>
            <w:pPr>
              <w:jc w:val="center"/>
              <w:spacing w:after="0"/>
              <w:rPr>
                <w:sz w:val="20"/>
                <w:szCs w:val="20"/>
                <w:color w:val="auto"/>
              </w:rPr>
            </w:pPr>
            <w:r>
              <w:rPr>
                <w:rFonts w:ascii="Arial" w:cs="Arial" w:eastAsia="Arial" w:hAnsi="Arial"/>
                <w:sz w:val="18"/>
                <w:szCs w:val="18"/>
                <w:b w:val="1"/>
                <w:bCs w:val="1"/>
                <w:color w:val="auto"/>
                <w:w w:val="90"/>
              </w:rPr>
              <w:t>reporting period</w:t>
            </w:r>
          </w:p>
        </w:tc>
      </w:tr>
      <w:tr>
        <w:trPr>
          <w:trHeight w:val="209"/>
        </w:trPr>
        <w:tc>
          <w:tcPr>
            <w:tcW w:w="5400" w:type="dxa"/>
            <w:vAlign w:val="bottom"/>
            <w:tcBorders>
              <w:top w:val="single" w:sz="8" w:color="auto"/>
            </w:tcBorders>
            <w:shd w:val="clear" w:color="auto" w:fill="D5EAEA"/>
          </w:tcPr>
          <w:p>
            <w:pPr>
              <w:spacing w:after="0"/>
              <w:rPr>
                <w:sz w:val="20"/>
                <w:szCs w:val="20"/>
                <w:color w:val="auto"/>
              </w:rPr>
            </w:pPr>
            <w:r>
              <w:rPr>
                <w:rFonts w:ascii="Arial" w:cs="Arial" w:eastAsia="Arial" w:hAnsi="Arial"/>
                <w:sz w:val="18"/>
                <w:szCs w:val="18"/>
                <w:b w:val="1"/>
                <w:bCs w:val="1"/>
                <w:color w:val="auto"/>
              </w:rPr>
              <w:t>Nine months ended September 30, 2021</w:t>
            </w:r>
          </w:p>
        </w:tc>
        <w:tc>
          <w:tcPr>
            <w:tcW w:w="120" w:type="dxa"/>
            <w:vAlign w:val="bottom"/>
            <w:tcBorders>
              <w:top w:val="single" w:sz="8" w:color="D5EAEA"/>
            </w:tcBorders>
            <w:shd w:val="clear" w:color="auto" w:fill="D5EAEA"/>
          </w:tcPr>
          <w:p>
            <w:pPr>
              <w:spacing w:after="0"/>
              <w:rPr>
                <w:sz w:val="18"/>
                <w:szCs w:val="18"/>
                <w:color w:val="auto"/>
              </w:rPr>
            </w:pPr>
          </w:p>
        </w:tc>
        <w:tc>
          <w:tcPr>
            <w:tcW w:w="1380" w:type="dxa"/>
            <w:vAlign w:val="bottom"/>
            <w:tcBorders>
              <w:top w:val="single" w:sz="8" w:color="auto"/>
            </w:tcBorders>
            <w:shd w:val="clear" w:color="auto" w:fill="D5EAEA"/>
          </w:tcPr>
          <w:p>
            <w:pPr>
              <w:spacing w:after="0"/>
              <w:rPr>
                <w:sz w:val="18"/>
                <w:szCs w:val="18"/>
                <w:color w:val="auto"/>
              </w:rPr>
            </w:pPr>
          </w:p>
        </w:tc>
        <w:tc>
          <w:tcPr>
            <w:tcW w:w="120" w:type="dxa"/>
            <w:vAlign w:val="bottom"/>
            <w:tcBorders>
              <w:top w:val="single" w:sz="8" w:color="D5EAEA"/>
            </w:tcBorders>
            <w:shd w:val="clear" w:color="auto" w:fill="D5EAEA"/>
          </w:tcPr>
          <w:p>
            <w:pPr>
              <w:spacing w:after="0"/>
              <w:rPr>
                <w:sz w:val="18"/>
                <w:szCs w:val="18"/>
                <w:color w:val="auto"/>
              </w:rPr>
            </w:pPr>
          </w:p>
        </w:tc>
        <w:tc>
          <w:tcPr>
            <w:tcW w:w="1340" w:type="dxa"/>
            <w:vAlign w:val="bottom"/>
            <w:tcBorders>
              <w:top w:val="single" w:sz="8" w:color="auto"/>
            </w:tcBorders>
            <w:shd w:val="clear" w:color="auto" w:fill="D5EAEA"/>
          </w:tcPr>
          <w:p>
            <w:pPr>
              <w:spacing w:after="0"/>
              <w:rPr>
                <w:sz w:val="18"/>
                <w:szCs w:val="18"/>
                <w:color w:val="auto"/>
              </w:rPr>
            </w:pPr>
          </w:p>
        </w:tc>
        <w:tc>
          <w:tcPr>
            <w:tcW w:w="100" w:type="dxa"/>
            <w:vAlign w:val="bottom"/>
            <w:tcBorders>
              <w:top w:val="single" w:sz="8" w:color="D5EAEA"/>
            </w:tcBorders>
            <w:shd w:val="clear" w:color="auto" w:fill="D5EAEA"/>
          </w:tcPr>
          <w:p>
            <w:pPr>
              <w:spacing w:after="0"/>
              <w:rPr>
                <w:sz w:val="18"/>
                <w:szCs w:val="18"/>
                <w:color w:val="auto"/>
              </w:rPr>
            </w:pPr>
          </w:p>
        </w:tc>
        <w:tc>
          <w:tcPr>
            <w:tcW w:w="1340" w:type="dxa"/>
            <w:vAlign w:val="bottom"/>
            <w:tcBorders>
              <w:top w:val="single" w:sz="8" w:color="auto"/>
            </w:tcBorders>
            <w:shd w:val="clear" w:color="auto" w:fill="D5EAEA"/>
          </w:tcPr>
          <w:p>
            <w:pPr>
              <w:spacing w:after="0"/>
              <w:rPr>
                <w:sz w:val="18"/>
                <w:szCs w:val="18"/>
                <w:color w:val="auto"/>
              </w:rPr>
            </w:pPr>
          </w:p>
        </w:tc>
        <w:tc>
          <w:tcPr>
            <w:tcW w:w="100" w:type="dxa"/>
            <w:vAlign w:val="bottom"/>
            <w:tcBorders>
              <w:top w:val="single" w:sz="8" w:color="D5EAEA"/>
            </w:tcBorders>
            <w:shd w:val="clear" w:color="auto" w:fill="D5EAEA"/>
          </w:tcPr>
          <w:p>
            <w:pPr>
              <w:spacing w:after="0"/>
              <w:rPr>
                <w:sz w:val="18"/>
                <w:szCs w:val="18"/>
                <w:color w:val="auto"/>
              </w:rPr>
            </w:pPr>
          </w:p>
        </w:tc>
        <w:tc>
          <w:tcPr>
            <w:tcW w:w="1340" w:type="dxa"/>
            <w:vAlign w:val="bottom"/>
            <w:tcBorders>
              <w:top w:val="single" w:sz="8" w:color="auto"/>
            </w:tcBorders>
            <w:shd w:val="clear" w:color="auto" w:fill="D5EAEA"/>
          </w:tcPr>
          <w:p>
            <w:pPr>
              <w:spacing w:after="0"/>
              <w:rPr>
                <w:sz w:val="18"/>
                <w:szCs w:val="18"/>
                <w:color w:val="auto"/>
              </w:rPr>
            </w:pPr>
          </w:p>
        </w:tc>
      </w:tr>
      <w:tr>
        <w:trPr>
          <w:trHeight w:val="216"/>
        </w:trPr>
        <w:tc>
          <w:tcPr>
            <w:tcW w:w="5520" w:type="dxa"/>
            <w:vAlign w:val="bottom"/>
            <w:gridSpan w:val="2"/>
          </w:tcPr>
          <w:p>
            <w:pPr>
              <w:spacing w:after="0"/>
              <w:rPr>
                <w:sz w:val="20"/>
                <w:szCs w:val="20"/>
                <w:color w:val="auto"/>
              </w:rPr>
            </w:pPr>
            <w:r>
              <w:rPr>
                <w:rFonts w:ascii="Arial" w:cs="Arial" w:eastAsia="Arial" w:hAnsi="Arial"/>
                <w:sz w:val="18"/>
                <w:szCs w:val="18"/>
                <w:color w:val="auto"/>
              </w:rPr>
              <w:t>Accrued income</w:t>
            </w: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1,591</w:t>
            </w:r>
          </w:p>
        </w:tc>
        <w:tc>
          <w:tcPr>
            <w:tcW w:w="120" w:type="dxa"/>
            <w:vAlign w:val="bottom"/>
          </w:tcPr>
          <w:p>
            <w:pPr>
              <w:spacing w:after="0"/>
              <w:rPr>
                <w:sz w:val="18"/>
                <w:szCs w:val="18"/>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781</w:t>
            </w:r>
          </w:p>
        </w:tc>
        <w:tc>
          <w:tcPr>
            <w:tcW w:w="1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(2,249)</w:t>
            </w:r>
          </w:p>
        </w:tc>
        <w:tc>
          <w:tcPr>
            <w:tcW w:w="100" w:type="dxa"/>
            <w:vAlign w:val="bottom"/>
          </w:tcPr>
          <w:p>
            <w:pPr>
              <w:spacing w:after="0"/>
              <w:rPr>
                <w:sz w:val="18"/>
                <w:szCs w:val="18"/>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123</w:t>
            </w:r>
          </w:p>
        </w:tc>
      </w:tr>
      <w:tr>
        <w:trPr>
          <w:trHeight w:val="216"/>
        </w:trPr>
        <w:tc>
          <w:tcPr>
            <w:tcW w:w="5520" w:type="dxa"/>
            <w:vAlign w:val="bottom"/>
            <w:gridSpan w:val="2"/>
            <w:shd w:val="clear" w:color="auto" w:fill="D5EAEA"/>
          </w:tcPr>
          <w:p>
            <w:pPr>
              <w:spacing w:after="0"/>
              <w:rPr>
                <w:sz w:val="20"/>
                <w:szCs w:val="20"/>
                <w:color w:val="auto"/>
              </w:rPr>
            </w:pPr>
            <w:r>
              <w:rPr>
                <w:rFonts w:ascii="Arial" w:cs="Arial" w:eastAsia="Arial" w:hAnsi="Arial"/>
                <w:sz w:val="18"/>
                <w:szCs w:val="18"/>
                <w:color w:val="auto"/>
              </w:rPr>
              <w:t>Deferred income</w:t>
            </w:r>
          </w:p>
        </w:tc>
        <w:tc>
          <w:tcPr>
            <w:tcW w:w="1380" w:type="dxa"/>
            <w:vAlign w:val="bottom"/>
            <w:shd w:val="clear" w:color="auto" w:fill="D5EAEA"/>
          </w:tcPr>
          <w:p>
            <w:pPr>
              <w:jc w:val="right"/>
              <w:ind w:right="30"/>
              <w:spacing w:after="0"/>
              <w:rPr>
                <w:sz w:val="20"/>
                <w:szCs w:val="20"/>
                <w:color w:val="auto"/>
              </w:rPr>
            </w:pPr>
            <w:r>
              <w:rPr>
                <w:rFonts w:ascii="Arial" w:cs="Arial" w:eastAsia="Arial" w:hAnsi="Arial"/>
                <w:sz w:val="18"/>
                <w:szCs w:val="18"/>
                <w:color w:val="auto"/>
              </w:rPr>
              <w:t>306</w:t>
            </w:r>
          </w:p>
        </w:tc>
        <w:tc>
          <w:tcPr>
            <w:tcW w:w="120" w:type="dxa"/>
            <w:vAlign w:val="bottom"/>
            <w:shd w:val="clear" w:color="auto" w:fill="D5EAEA"/>
          </w:tcPr>
          <w:p>
            <w:pPr>
              <w:spacing w:after="0"/>
              <w:rPr>
                <w:sz w:val="18"/>
                <w:szCs w:val="18"/>
                <w:color w:val="auto"/>
              </w:rPr>
            </w:pPr>
          </w:p>
        </w:tc>
        <w:tc>
          <w:tcPr>
            <w:tcW w:w="1340" w:type="dxa"/>
            <w:vAlign w:val="bottom"/>
            <w:shd w:val="clear" w:color="auto" w:fill="D5EAEA"/>
          </w:tcPr>
          <w:p>
            <w:pPr>
              <w:jc w:val="right"/>
              <w:ind w:right="30"/>
              <w:spacing w:after="0"/>
              <w:rPr>
                <w:sz w:val="20"/>
                <w:szCs w:val="20"/>
                <w:color w:val="auto"/>
              </w:rPr>
            </w:pPr>
            <w:r>
              <w:rPr>
                <w:rFonts w:ascii="Arial" w:cs="Arial" w:eastAsia="Arial" w:hAnsi="Arial"/>
                <w:sz w:val="18"/>
                <w:szCs w:val="18"/>
                <w:color w:val="auto"/>
              </w:rPr>
              <w:t>781</w:t>
            </w:r>
          </w:p>
        </w:tc>
        <w:tc>
          <w:tcPr>
            <w:tcW w:w="100" w:type="dxa"/>
            <w:vAlign w:val="bottom"/>
            <w:shd w:val="clear" w:color="auto" w:fill="D5EAEA"/>
          </w:tcPr>
          <w:p>
            <w:pPr>
              <w:spacing w:after="0"/>
              <w:rPr>
                <w:sz w:val="18"/>
                <w:szCs w:val="18"/>
                <w:color w:val="auto"/>
              </w:rPr>
            </w:pPr>
          </w:p>
        </w:tc>
        <w:tc>
          <w:tcPr>
            <w:tcW w:w="1340" w:type="dxa"/>
            <w:vAlign w:val="bottom"/>
            <w:shd w:val="clear" w:color="auto" w:fill="D5EAEA"/>
          </w:tcPr>
          <w:p>
            <w:pPr>
              <w:jc w:val="right"/>
              <w:spacing w:after="0"/>
              <w:rPr>
                <w:sz w:val="20"/>
                <w:szCs w:val="20"/>
                <w:color w:val="auto"/>
              </w:rPr>
            </w:pPr>
            <w:r>
              <w:rPr>
                <w:rFonts w:ascii="Arial" w:cs="Arial" w:eastAsia="Arial" w:hAnsi="Arial"/>
                <w:sz w:val="18"/>
                <w:szCs w:val="18"/>
                <w:color w:val="auto"/>
              </w:rPr>
              <w:t>(933)</w:t>
            </w:r>
          </w:p>
        </w:tc>
        <w:tc>
          <w:tcPr>
            <w:tcW w:w="100" w:type="dxa"/>
            <w:vAlign w:val="bottom"/>
            <w:shd w:val="clear" w:color="auto" w:fill="D5EAEA"/>
          </w:tcPr>
          <w:p>
            <w:pPr>
              <w:spacing w:after="0"/>
              <w:rPr>
                <w:sz w:val="18"/>
                <w:szCs w:val="18"/>
                <w:color w:val="auto"/>
              </w:rPr>
            </w:pPr>
          </w:p>
        </w:tc>
        <w:tc>
          <w:tcPr>
            <w:tcW w:w="134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154</w:t>
            </w:r>
          </w:p>
        </w:tc>
      </w:tr>
      <w:tr>
        <w:trPr>
          <w:trHeight w:val="459"/>
        </w:trPr>
        <w:tc>
          <w:tcPr>
            <w:tcW w:w="5520" w:type="dxa"/>
            <w:vAlign w:val="bottom"/>
            <w:gridSpan w:val="2"/>
          </w:tcPr>
          <w:p>
            <w:pPr>
              <w:spacing w:after="0"/>
              <w:rPr>
                <w:sz w:val="20"/>
                <w:szCs w:val="20"/>
                <w:color w:val="auto"/>
              </w:rPr>
            </w:pPr>
            <w:r>
              <w:rPr>
                <w:rFonts w:ascii="Arial" w:cs="Arial" w:eastAsia="Arial" w:hAnsi="Arial"/>
                <w:sz w:val="18"/>
                <w:szCs w:val="18"/>
                <w:b w:val="1"/>
                <w:bCs w:val="1"/>
                <w:color w:val="auto"/>
              </w:rPr>
              <w:t>Nine months ended September 30, 2020:</w:t>
            </w:r>
          </w:p>
        </w:tc>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216"/>
        </w:trPr>
        <w:tc>
          <w:tcPr>
            <w:tcW w:w="5520" w:type="dxa"/>
            <w:vAlign w:val="bottom"/>
            <w:gridSpan w:val="2"/>
            <w:shd w:val="clear" w:color="auto" w:fill="D5EAEA"/>
          </w:tcPr>
          <w:p>
            <w:pPr>
              <w:spacing w:after="0"/>
              <w:rPr>
                <w:sz w:val="20"/>
                <w:szCs w:val="20"/>
                <w:color w:val="auto"/>
              </w:rPr>
            </w:pPr>
            <w:r>
              <w:rPr>
                <w:rFonts w:ascii="Arial" w:cs="Arial" w:eastAsia="Arial" w:hAnsi="Arial"/>
                <w:sz w:val="18"/>
                <w:szCs w:val="18"/>
                <w:color w:val="auto"/>
              </w:rPr>
              <w:t>Accrued income</w:t>
            </w:r>
          </w:p>
        </w:tc>
        <w:tc>
          <w:tcPr>
            <w:tcW w:w="1380" w:type="dxa"/>
            <w:vAlign w:val="bottom"/>
            <w:shd w:val="clear" w:color="auto" w:fill="D5EAEA"/>
          </w:tcPr>
          <w:p>
            <w:pPr>
              <w:jc w:val="right"/>
              <w:ind w:right="30"/>
              <w:spacing w:after="0"/>
              <w:rPr>
                <w:sz w:val="20"/>
                <w:szCs w:val="20"/>
                <w:color w:val="auto"/>
              </w:rPr>
            </w:pPr>
            <w:r>
              <w:rPr>
                <w:rFonts w:ascii="Arial" w:cs="Arial" w:eastAsia="Arial" w:hAnsi="Arial"/>
                <w:sz w:val="18"/>
                <w:szCs w:val="18"/>
                <w:color w:val="auto"/>
              </w:rPr>
              <w:t>1,095</w:t>
            </w:r>
          </w:p>
        </w:tc>
        <w:tc>
          <w:tcPr>
            <w:tcW w:w="120" w:type="dxa"/>
            <w:vAlign w:val="bottom"/>
            <w:shd w:val="clear" w:color="auto" w:fill="D5EAEA"/>
          </w:tcPr>
          <w:p>
            <w:pPr>
              <w:spacing w:after="0"/>
              <w:rPr>
                <w:sz w:val="18"/>
                <w:szCs w:val="18"/>
                <w:color w:val="auto"/>
              </w:rPr>
            </w:pPr>
          </w:p>
        </w:tc>
        <w:tc>
          <w:tcPr>
            <w:tcW w:w="1340" w:type="dxa"/>
            <w:vAlign w:val="bottom"/>
            <w:shd w:val="clear" w:color="auto" w:fill="D5EAEA"/>
          </w:tcPr>
          <w:p>
            <w:pPr>
              <w:jc w:val="right"/>
              <w:ind w:right="30"/>
              <w:spacing w:after="0"/>
              <w:rPr>
                <w:sz w:val="20"/>
                <w:szCs w:val="20"/>
                <w:color w:val="auto"/>
              </w:rPr>
            </w:pPr>
            <w:r>
              <w:rPr>
                <w:rFonts w:ascii="Arial" w:cs="Arial" w:eastAsia="Arial" w:hAnsi="Arial"/>
                <w:sz w:val="18"/>
                <w:szCs w:val="18"/>
                <w:color w:val="auto"/>
              </w:rPr>
              <w:t>1,707</w:t>
            </w:r>
          </w:p>
        </w:tc>
        <w:tc>
          <w:tcPr>
            <w:tcW w:w="100" w:type="dxa"/>
            <w:vAlign w:val="bottom"/>
            <w:shd w:val="clear" w:color="auto" w:fill="D5EAEA"/>
          </w:tcPr>
          <w:p>
            <w:pPr>
              <w:spacing w:after="0"/>
              <w:rPr>
                <w:sz w:val="18"/>
                <w:szCs w:val="18"/>
                <w:color w:val="auto"/>
              </w:rPr>
            </w:pPr>
          </w:p>
        </w:tc>
        <w:tc>
          <w:tcPr>
            <w:tcW w:w="1340" w:type="dxa"/>
            <w:vAlign w:val="bottom"/>
            <w:shd w:val="clear" w:color="auto" w:fill="D5EAEA"/>
          </w:tcPr>
          <w:p>
            <w:pPr>
              <w:jc w:val="right"/>
              <w:spacing w:after="0"/>
              <w:rPr>
                <w:sz w:val="20"/>
                <w:szCs w:val="20"/>
                <w:color w:val="auto"/>
              </w:rPr>
            </w:pPr>
            <w:r>
              <w:rPr>
                <w:rFonts w:ascii="Arial" w:cs="Arial" w:eastAsia="Arial" w:hAnsi="Arial"/>
                <w:sz w:val="18"/>
                <w:szCs w:val="18"/>
                <w:color w:val="auto"/>
              </w:rPr>
              <w:t>(1,858)</w:t>
            </w:r>
          </w:p>
        </w:tc>
        <w:tc>
          <w:tcPr>
            <w:tcW w:w="100" w:type="dxa"/>
            <w:vAlign w:val="bottom"/>
            <w:shd w:val="clear" w:color="auto" w:fill="D5EAEA"/>
          </w:tcPr>
          <w:p>
            <w:pPr>
              <w:spacing w:after="0"/>
              <w:rPr>
                <w:sz w:val="18"/>
                <w:szCs w:val="18"/>
                <w:color w:val="auto"/>
              </w:rPr>
            </w:pPr>
          </w:p>
        </w:tc>
        <w:tc>
          <w:tcPr>
            <w:tcW w:w="134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944</w:t>
            </w:r>
          </w:p>
        </w:tc>
      </w:tr>
      <w:tr>
        <w:trPr>
          <w:trHeight w:val="230"/>
        </w:trPr>
        <w:tc>
          <w:tcPr>
            <w:tcW w:w="5520" w:type="dxa"/>
            <w:vAlign w:val="bottom"/>
            <w:gridSpan w:val="2"/>
          </w:tcPr>
          <w:p>
            <w:pPr>
              <w:spacing w:after="0"/>
              <w:rPr>
                <w:sz w:val="20"/>
                <w:szCs w:val="20"/>
                <w:color w:val="auto"/>
              </w:rPr>
            </w:pPr>
            <w:r>
              <w:rPr>
                <w:rFonts w:ascii="Arial" w:cs="Arial" w:eastAsia="Arial" w:hAnsi="Arial"/>
                <w:sz w:val="18"/>
                <w:szCs w:val="18"/>
                <w:color w:val="auto"/>
              </w:rPr>
              <w:t>Deferred income</w:t>
            </w: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4,477</w:t>
            </w:r>
          </w:p>
        </w:tc>
        <w:tc>
          <w:tcPr>
            <w:tcW w:w="120" w:type="dxa"/>
            <w:vAlign w:val="bottom"/>
          </w:tcPr>
          <w:p>
            <w:pPr>
              <w:spacing w:after="0"/>
              <w:rPr>
                <w:sz w:val="20"/>
                <w:szCs w:val="20"/>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1,473</w:t>
            </w:r>
          </w:p>
        </w:tc>
        <w:tc>
          <w:tcPr>
            <w:tcW w:w="10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(4,870)</w:t>
            </w:r>
          </w:p>
        </w:tc>
        <w:tc>
          <w:tcPr>
            <w:tcW w:w="100" w:type="dxa"/>
            <w:vAlign w:val="bottom"/>
          </w:tcPr>
          <w:p>
            <w:pPr>
              <w:spacing w:after="0"/>
              <w:rPr>
                <w:sz w:val="20"/>
                <w:szCs w:val="20"/>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1,080</w:t>
            </w:r>
          </w:p>
        </w:tc>
      </w:tr>
    </w:tbl>
    <w:p>
      <w:pPr>
        <w:spacing w:after="0" w:line="187" w:lineRule="exact"/>
        <w:rPr>
          <w:sz w:val="20"/>
          <w:szCs w:val="20"/>
          <w:color w:val="auto"/>
        </w:rPr>
      </w:pPr>
    </w:p>
    <w:p>
      <w:pPr>
        <w:jc w:val="both"/>
        <w:ind w:right="40" w:firstLine="324"/>
        <w:spacing w:after="0" w:line="277" w:lineRule="auto"/>
        <w:rPr>
          <w:sz w:val="20"/>
          <w:szCs w:val="20"/>
          <w:color w:val="auto"/>
        </w:rPr>
      </w:pPr>
      <w:r>
        <w:rPr>
          <w:rFonts w:ascii="Arial" w:cs="Arial" w:eastAsia="Arial" w:hAnsi="Arial"/>
          <w:sz w:val="18"/>
          <w:szCs w:val="18"/>
          <w:color w:val="auto"/>
        </w:rPr>
        <w:t>During the three and nine months ended September 30, 2021 and 2020, the Company recognized the following contract revenues as a result of changes in the contract asset and the contract liability balances in the respective periods: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0" w:type="dxa"/>
            <w:vAlign w:val="bottom"/>
            <w:gridSpan w:val="3"/>
          </w:tcPr>
          <w:p>
            <w:pPr>
              <w:jc w:val="right"/>
              <w:ind w:right="450"/>
              <w:spacing w:after="0"/>
              <w:rPr>
                <w:sz w:val="20"/>
                <w:szCs w:val="20"/>
                <w:color w:val="auto"/>
              </w:rPr>
            </w:pPr>
            <w:r>
              <w:rPr>
                <w:rFonts w:ascii="Arial" w:cs="Arial" w:eastAsia="Arial" w:hAnsi="Arial"/>
                <w:sz w:val="18"/>
                <w:szCs w:val="18"/>
                <w:b w:val="1"/>
                <w:bCs w:val="1"/>
                <w:color w:val="auto"/>
              </w:rPr>
              <w:t>For the Three Months</w:t>
            </w:r>
          </w:p>
        </w:tc>
      </w:tr>
      <w:tr>
        <w:trPr>
          <w:trHeight w:val="234"/>
        </w:trPr>
        <w:tc>
          <w:tcPr>
            <w:tcW w:w="8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0" w:type="dxa"/>
            <w:vAlign w:val="bottom"/>
            <w:tcBorders>
              <w:bottom w:val="single" w:sz="8" w:color="auto"/>
            </w:tcBorders>
            <w:gridSpan w:val="3"/>
          </w:tcPr>
          <w:p>
            <w:pPr>
              <w:jc w:val="right"/>
              <w:ind w:right="490"/>
              <w:spacing w:after="0"/>
              <w:rPr>
                <w:sz w:val="20"/>
                <w:szCs w:val="20"/>
                <w:color w:val="auto"/>
              </w:rPr>
            </w:pPr>
            <w:r>
              <w:rPr>
                <w:rFonts w:ascii="Arial" w:cs="Arial" w:eastAsia="Arial" w:hAnsi="Arial"/>
                <w:sz w:val="18"/>
                <w:szCs w:val="18"/>
                <w:b w:val="1"/>
                <w:bCs w:val="1"/>
                <w:color w:val="auto"/>
              </w:rPr>
              <w:t>Ended September 30,</w:t>
            </w:r>
          </w:p>
        </w:tc>
      </w:tr>
      <w:tr>
        <w:trPr>
          <w:trHeight w:val="223"/>
        </w:trPr>
        <w:tc>
          <w:tcPr>
            <w:tcW w:w="8440" w:type="dxa"/>
            <w:vAlign w:val="bottom"/>
            <w:gridSpan w:val="2"/>
          </w:tcPr>
          <w:p>
            <w:pPr>
              <w:ind w:left="3460"/>
              <w:spacing w:after="0"/>
              <w:rPr>
                <w:sz w:val="20"/>
                <w:szCs w:val="20"/>
                <w:color w:val="auto"/>
              </w:rPr>
            </w:pPr>
            <w:r>
              <w:rPr>
                <w:rFonts w:ascii="Arial" w:cs="Arial" w:eastAsia="Arial" w:hAnsi="Arial"/>
                <w:sz w:val="18"/>
                <w:szCs w:val="18"/>
                <w:b w:val="1"/>
                <w:bCs w:val="1"/>
                <w:color w:val="auto"/>
              </w:rPr>
              <w:t>in CHF thousands</w:t>
            </w:r>
          </w:p>
        </w:tc>
        <w:tc>
          <w:tcPr>
            <w:tcW w:w="1360" w:type="dxa"/>
            <w:vAlign w:val="bottom"/>
          </w:tcPr>
          <w:p>
            <w:pPr>
              <w:jc w:val="right"/>
              <w:ind w:right="41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9"/>
                <w:szCs w:val="19"/>
                <w:color w:val="auto"/>
              </w:rPr>
            </w:pPr>
          </w:p>
        </w:tc>
        <w:tc>
          <w:tcPr>
            <w:tcW w:w="1340" w:type="dxa"/>
            <w:vAlign w:val="bottom"/>
          </w:tcPr>
          <w:p>
            <w:pPr>
              <w:jc w:val="right"/>
              <w:ind w:right="390"/>
              <w:spacing w:after="0"/>
              <w:rPr>
                <w:sz w:val="20"/>
                <w:szCs w:val="20"/>
                <w:color w:val="auto"/>
              </w:rPr>
            </w:pPr>
            <w:r>
              <w:rPr>
                <w:rFonts w:ascii="Arial" w:cs="Arial" w:eastAsia="Arial" w:hAnsi="Arial"/>
                <w:sz w:val="18"/>
                <w:szCs w:val="18"/>
                <w:b w:val="1"/>
                <w:bCs w:val="1"/>
                <w:color w:val="auto"/>
              </w:rPr>
              <w:t>2020</w:t>
            </w:r>
          </w:p>
        </w:tc>
      </w:tr>
      <w:tr>
        <w:trPr>
          <w:trHeight w:val="209"/>
        </w:trPr>
        <w:tc>
          <w:tcPr>
            <w:tcW w:w="8320" w:type="dxa"/>
            <w:vAlign w:val="bottom"/>
            <w:tcBorders>
              <w:top w:val="single" w:sz="8" w:color="auto"/>
            </w:tcBorders>
            <w:shd w:val="clear" w:color="auto" w:fill="D5EAEA"/>
          </w:tcPr>
          <w:p>
            <w:pPr>
              <w:spacing w:after="0"/>
              <w:rPr>
                <w:sz w:val="20"/>
                <w:szCs w:val="20"/>
                <w:color w:val="auto"/>
              </w:rPr>
            </w:pPr>
            <w:r>
              <w:rPr>
                <w:rFonts w:ascii="Arial" w:cs="Arial" w:eastAsia="Arial" w:hAnsi="Arial"/>
                <w:sz w:val="18"/>
                <w:szCs w:val="18"/>
                <w:b w:val="1"/>
                <w:bCs w:val="1"/>
                <w:color w:val="auto"/>
              </w:rPr>
              <w:t>Revenue recognized in the period from:</w:t>
            </w:r>
          </w:p>
        </w:tc>
        <w:tc>
          <w:tcPr>
            <w:tcW w:w="120" w:type="dxa"/>
            <w:vAlign w:val="bottom"/>
            <w:tcBorders>
              <w:top w:val="single" w:sz="8" w:color="D5EAEA"/>
            </w:tcBorders>
            <w:shd w:val="clear" w:color="auto" w:fill="D5EAEA"/>
          </w:tcPr>
          <w:p>
            <w:pPr>
              <w:spacing w:after="0"/>
              <w:rPr>
                <w:sz w:val="18"/>
                <w:szCs w:val="18"/>
                <w:color w:val="auto"/>
              </w:rPr>
            </w:pPr>
          </w:p>
        </w:tc>
        <w:tc>
          <w:tcPr>
            <w:tcW w:w="1360" w:type="dxa"/>
            <w:vAlign w:val="bottom"/>
            <w:tcBorders>
              <w:top w:val="single" w:sz="8" w:color="auto"/>
            </w:tcBorders>
            <w:shd w:val="clear" w:color="auto" w:fill="D5EAEA"/>
          </w:tcPr>
          <w:p>
            <w:pPr>
              <w:spacing w:after="0"/>
              <w:rPr>
                <w:sz w:val="18"/>
                <w:szCs w:val="18"/>
                <w:color w:val="auto"/>
              </w:rPr>
            </w:pPr>
          </w:p>
        </w:tc>
        <w:tc>
          <w:tcPr>
            <w:tcW w:w="100" w:type="dxa"/>
            <w:vAlign w:val="bottom"/>
            <w:tcBorders>
              <w:top w:val="single" w:sz="8" w:color="D5EAEA"/>
            </w:tcBorders>
            <w:shd w:val="clear" w:color="auto" w:fill="D5EAEA"/>
          </w:tcPr>
          <w:p>
            <w:pPr>
              <w:spacing w:after="0"/>
              <w:rPr>
                <w:sz w:val="18"/>
                <w:szCs w:val="18"/>
                <w:color w:val="auto"/>
              </w:rPr>
            </w:pPr>
          </w:p>
        </w:tc>
        <w:tc>
          <w:tcPr>
            <w:tcW w:w="1340" w:type="dxa"/>
            <w:vAlign w:val="bottom"/>
            <w:tcBorders>
              <w:top w:val="single" w:sz="8" w:color="auto"/>
            </w:tcBorders>
            <w:shd w:val="clear" w:color="auto" w:fill="D5EAEA"/>
          </w:tcPr>
          <w:p>
            <w:pPr>
              <w:spacing w:after="0"/>
              <w:rPr>
                <w:sz w:val="18"/>
                <w:szCs w:val="18"/>
                <w:color w:val="auto"/>
              </w:rPr>
            </w:pPr>
          </w:p>
        </w:tc>
      </w:tr>
      <w:tr>
        <w:trPr>
          <w:trHeight w:val="216"/>
        </w:trPr>
        <w:tc>
          <w:tcPr>
            <w:tcW w:w="8440" w:type="dxa"/>
            <w:vAlign w:val="bottom"/>
            <w:gridSpan w:val="2"/>
          </w:tcPr>
          <w:p>
            <w:pPr>
              <w:spacing w:after="0"/>
              <w:rPr>
                <w:sz w:val="20"/>
                <w:szCs w:val="20"/>
                <w:color w:val="auto"/>
              </w:rPr>
            </w:pPr>
            <w:r>
              <w:rPr>
                <w:rFonts w:ascii="Arial" w:cs="Arial" w:eastAsia="Arial" w:hAnsi="Arial"/>
                <w:sz w:val="18"/>
                <w:szCs w:val="18"/>
                <w:color w:val="auto"/>
              </w:rPr>
              <w:t>Amounts included in the contract liability at the beginning of the period</w:t>
            </w:r>
          </w:p>
        </w:tc>
        <w:tc>
          <w:tcPr>
            <w:tcW w:w="1460" w:type="dxa"/>
            <w:vAlign w:val="bottom"/>
            <w:gridSpan w:val="2"/>
          </w:tcPr>
          <w:p>
            <w:pPr>
              <w:ind w:left="1060"/>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1,123</w:t>
            </w:r>
          </w:p>
        </w:tc>
      </w:tr>
      <w:tr>
        <w:trPr>
          <w:trHeight w:val="216"/>
        </w:trPr>
        <w:tc>
          <w:tcPr>
            <w:tcW w:w="8440" w:type="dxa"/>
            <w:vAlign w:val="bottom"/>
            <w:gridSpan w:val="2"/>
            <w:shd w:val="clear" w:color="auto" w:fill="D5EAEA"/>
          </w:tcPr>
          <w:p>
            <w:pPr>
              <w:spacing w:after="0"/>
              <w:rPr>
                <w:sz w:val="20"/>
                <w:szCs w:val="20"/>
                <w:color w:val="auto"/>
              </w:rPr>
            </w:pPr>
            <w:r>
              <w:rPr>
                <w:rFonts w:ascii="Arial" w:cs="Arial" w:eastAsia="Arial" w:hAnsi="Arial"/>
                <w:sz w:val="18"/>
                <w:szCs w:val="18"/>
                <w:color w:val="auto"/>
              </w:rPr>
              <w:t>Performance obligations satisfied in previous periods</w:t>
            </w:r>
          </w:p>
        </w:tc>
        <w:tc>
          <w:tcPr>
            <w:tcW w:w="1460" w:type="dxa"/>
            <w:vAlign w:val="bottom"/>
            <w:gridSpan w:val="2"/>
            <w:shd w:val="clear" w:color="auto" w:fill="D5EAEA"/>
          </w:tcPr>
          <w:p>
            <w:pPr>
              <w:ind w:left="1060"/>
              <w:spacing w:after="0"/>
              <w:rPr>
                <w:sz w:val="20"/>
                <w:szCs w:val="20"/>
                <w:color w:val="auto"/>
              </w:rPr>
            </w:pPr>
            <w:r>
              <w:rPr>
                <w:rFonts w:ascii="Arial" w:cs="Arial" w:eastAsia="Arial" w:hAnsi="Arial"/>
                <w:sz w:val="18"/>
                <w:szCs w:val="18"/>
                <w:color w:val="auto"/>
              </w:rPr>
              <w:t>—</w:t>
            </w:r>
          </w:p>
        </w:tc>
        <w:tc>
          <w:tcPr>
            <w:tcW w:w="134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w:t>
            </w:r>
          </w:p>
        </w:tc>
      </w:tr>
    </w:tbl>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0" w:type="dxa"/>
            <w:vAlign w:val="bottom"/>
            <w:gridSpan w:val="3"/>
          </w:tcPr>
          <w:p>
            <w:pPr>
              <w:jc w:val="right"/>
              <w:ind w:right="510"/>
              <w:spacing w:after="0"/>
              <w:rPr>
                <w:sz w:val="20"/>
                <w:szCs w:val="20"/>
                <w:color w:val="auto"/>
              </w:rPr>
            </w:pPr>
            <w:r>
              <w:rPr>
                <w:rFonts w:ascii="Arial" w:cs="Arial" w:eastAsia="Arial" w:hAnsi="Arial"/>
                <w:sz w:val="18"/>
                <w:szCs w:val="18"/>
                <w:b w:val="1"/>
                <w:bCs w:val="1"/>
                <w:color w:val="auto"/>
              </w:rPr>
              <w:t>For the Nine Months</w:t>
            </w:r>
          </w:p>
        </w:tc>
      </w:tr>
      <w:tr>
        <w:trPr>
          <w:trHeight w:val="234"/>
        </w:trPr>
        <w:tc>
          <w:tcPr>
            <w:tcW w:w="8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0" w:type="dxa"/>
            <w:vAlign w:val="bottom"/>
            <w:tcBorders>
              <w:bottom w:val="single" w:sz="8" w:color="auto"/>
            </w:tcBorders>
            <w:gridSpan w:val="3"/>
          </w:tcPr>
          <w:p>
            <w:pPr>
              <w:jc w:val="right"/>
              <w:ind w:right="490"/>
              <w:spacing w:after="0"/>
              <w:rPr>
                <w:sz w:val="20"/>
                <w:szCs w:val="20"/>
                <w:color w:val="auto"/>
              </w:rPr>
            </w:pPr>
            <w:r>
              <w:rPr>
                <w:rFonts w:ascii="Arial" w:cs="Arial" w:eastAsia="Arial" w:hAnsi="Arial"/>
                <w:sz w:val="18"/>
                <w:szCs w:val="18"/>
                <w:b w:val="1"/>
                <w:bCs w:val="1"/>
                <w:color w:val="auto"/>
              </w:rPr>
              <w:t>Ended September 30,</w:t>
            </w:r>
          </w:p>
        </w:tc>
      </w:tr>
      <w:tr>
        <w:trPr>
          <w:trHeight w:val="223"/>
        </w:trPr>
        <w:tc>
          <w:tcPr>
            <w:tcW w:w="8440" w:type="dxa"/>
            <w:vAlign w:val="bottom"/>
            <w:gridSpan w:val="2"/>
          </w:tcPr>
          <w:p>
            <w:pPr>
              <w:ind w:left="3460"/>
              <w:spacing w:after="0"/>
              <w:rPr>
                <w:sz w:val="20"/>
                <w:szCs w:val="20"/>
                <w:color w:val="auto"/>
              </w:rPr>
            </w:pPr>
            <w:r>
              <w:rPr>
                <w:rFonts w:ascii="Arial" w:cs="Arial" w:eastAsia="Arial" w:hAnsi="Arial"/>
                <w:sz w:val="18"/>
                <w:szCs w:val="18"/>
                <w:b w:val="1"/>
                <w:bCs w:val="1"/>
                <w:color w:val="auto"/>
              </w:rPr>
              <w:t>in CHF thousands</w:t>
            </w:r>
          </w:p>
        </w:tc>
        <w:tc>
          <w:tcPr>
            <w:tcW w:w="1360" w:type="dxa"/>
            <w:vAlign w:val="bottom"/>
          </w:tcPr>
          <w:p>
            <w:pPr>
              <w:jc w:val="right"/>
              <w:ind w:right="41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9"/>
                <w:szCs w:val="19"/>
                <w:color w:val="auto"/>
              </w:rPr>
            </w:pPr>
          </w:p>
        </w:tc>
        <w:tc>
          <w:tcPr>
            <w:tcW w:w="1340" w:type="dxa"/>
            <w:vAlign w:val="bottom"/>
          </w:tcPr>
          <w:p>
            <w:pPr>
              <w:jc w:val="right"/>
              <w:ind w:right="390"/>
              <w:spacing w:after="0"/>
              <w:rPr>
                <w:sz w:val="20"/>
                <w:szCs w:val="20"/>
                <w:color w:val="auto"/>
              </w:rPr>
            </w:pPr>
            <w:r>
              <w:rPr>
                <w:rFonts w:ascii="Arial" w:cs="Arial" w:eastAsia="Arial" w:hAnsi="Arial"/>
                <w:sz w:val="18"/>
                <w:szCs w:val="18"/>
                <w:b w:val="1"/>
                <w:bCs w:val="1"/>
                <w:color w:val="auto"/>
              </w:rPr>
              <w:t>2020</w:t>
            </w:r>
          </w:p>
        </w:tc>
      </w:tr>
      <w:tr>
        <w:trPr>
          <w:trHeight w:val="209"/>
        </w:trPr>
        <w:tc>
          <w:tcPr>
            <w:tcW w:w="8320" w:type="dxa"/>
            <w:vAlign w:val="bottom"/>
            <w:tcBorders>
              <w:top w:val="single" w:sz="8" w:color="auto"/>
            </w:tcBorders>
            <w:shd w:val="clear" w:color="auto" w:fill="D5EAEA"/>
          </w:tcPr>
          <w:p>
            <w:pPr>
              <w:spacing w:after="0"/>
              <w:rPr>
                <w:sz w:val="20"/>
                <w:szCs w:val="20"/>
                <w:color w:val="auto"/>
              </w:rPr>
            </w:pPr>
            <w:r>
              <w:rPr>
                <w:rFonts w:ascii="Arial" w:cs="Arial" w:eastAsia="Arial" w:hAnsi="Arial"/>
                <w:sz w:val="18"/>
                <w:szCs w:val="18"/>
                <w:b w:val="1"/>
                <w:bCs w:val="1"/>
                <w:color w:val="auto"/>
              </w:rPr>
              <w:t>Revenue recognized in the period from:</w:t>
            </w:r>
          </w:p>
        </w:tc>
        <w:tc>
          <w:tcPr>
            <w:tcW w:w="120" w:type="dxa"/>
            <w:vAlign w:val="bottom"/>
            <w:tcBorders>
              <w:top w:val="single" w:sz="8" w:color="D5EAEA"/>
            </w:tcBorders>
            <w:shd w:val="clear" w:color="auto" w:fill="D5EAEA"/>
          </w:tcPr>
          <w:p>
            <w:pPr>
              <w:spacing w:after="0"/>
              <w:rPr>
                <w:sz w:val="18"/>
                <w:szCs w:val="18"/>
                <w:color w:val="auto"/>
              </w:rPr>
            </w:pPr>
          </w:p>
        </w:tc>
        <w:tc>
          <w:tcPr>
            <w:tcW w:w="1360" w:type="dxa"/>
            <w:vAlign w:val="bottom"/>
            <w:tcBorders>
              <w:top w:val="single" w:sz="8" w:color="auto"/>
            </w:tcBorders>
            <w:shd w:val="clear" w:color="auto" w:fill="D5EAEA"/>
          </w:tcPr>
          <w:p>
            <w:pPr>
              <w:spacing w:after="0"/>
              <w:rPr>
                <w:sz w:val="18"/>
                <w:szCs w:val="18"/>
                <w:color w:val="auto"/>
              </w:rPr>
            </w:pPr>
          </w:p>
        </w:tc>
        <w:tc>
          <w:tcPr>
            <w:tcW w:w="100" w:type="dxa"/>
            <w:vAlign w:val="bottom"/>
            <w:tcBorders>
              <w:top w:val="single" w:sz="8" w:color="D5EAEA"/>
            </w:tcBorders>
            <w:shd w:val="clear" w:color="auto" w:fill="D5EAEA"/>
          </w:tcPr>
          <w:p>
            <w:pPr>
              <w:spacing w:after="0"/>
              <w:rPr>
                <w:sz w:val="18"/>
                <w:szCs w:val="18"/>
                <w:color w:val="auto"/>
              </w:rPr>
            </w:pPr>
          </w:p>
        </w:tc>
        <w:tc>
          <w:tcPr>
            <w:tcW w:w="1340" w:type="dxa"/>
            <w:vAlign w:val="bottom"/>
            <w:tcBorders>
              <w:top w:val="single" w:sz="8" w:color="auto"/>
            </w:tcBorders>
            <w:shd w:val="clear" w:color="auto" w:fill="D5EAEA"/>
          </w:tcPr>
          <w:p>
            <w:pPr>
              <w:spacing w:after="0"/>
              <w:rPr>
                <w:sz w:val="18"/>
                <w:szCs w:val="18"/>
                <w:color w:val="auto"/>
              </w:rPr>
            </w:pPr>
          </w:p>
        </w:tc>
      </w:tr>
      <w:tr>
        <w:trPr>
          <w:trHeight w:val="216"/>
        </w:trPr>
        <w:tc>
          <w:tcPr>
            <w:tcW w:w="8440" w:type="dxa"/>
            <w:vAlign w:val="bottom"/>
            <w:gridSpan w:val="2"/>
          </w:tcPr>
          <w:p>
            <w:pPr>
              <w:spacing w:after="0"/>
              <w:rPr>
                <w:sz w:val="20"/>
                <w:szCs w:val="20"/>
                <w:color w:val="auto"/>
              </w:rPr>
            </w:pPr>
            <w:r>
              <w:rPr>
                <w:rFonts w:ascii="Arial" w:cs="Arial" w:eastAsia="Arial" w:hAnsi="Arial"/>
                <w:sz w:val="18"/>
                <w:szCs w:val="18"/>
                <w:color w:val="auto"/>
              </w:rPr>
              <w:t>Amounts included in the contract liability at the beginning of the period</w:t>
            </w:r>
          </w:p>
        </w:tc>
        <w:tc>
          <w:tcPr>
            <w:tcW w:w="1460" w:type="dxa"/>
            <w:vAlign w:val="bottom"/>
            <w:gridSpan w:val="2"/>
          </w:tcPr>
          <w:p>
            <w:pPr>
              <w:ind w:left="1060"/>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4,194</w:t>
            </w:r>
          </w:p>
        </w:tc>
      </w:tr>
      <w:tr>
        <w:trPr>
          <w:trHeight w:val="216"/>
        </w:trPr>
        <w:tc>
          <w:tcPr>
            <w:tcW w:w="8440" w:type="dxa"/>
            <w:vAlign w:val="bottom"/>
            <w:gridSpan w:val="2"/>
            <w:shd w:val="clear" w:color="auto" w:fill="D5EAEA"/>
          </w:tcPr>
          <w:p>
            <w:pPr>
              <w:spacing w:after="0"/>
              <w:rPr>
                <w:sz w:val="20"/>
                <w:szCs w:val="20"/>
                <w:color w:val="auto"/>
              </w:rPr>
            </w:pPr>
            <w:r>
              <w:rPr>
                <w:rFonts w:ascii="Arial" w:cs="Arial" w:eastAsia="Arial" w:hAnsi="Arial"/>
                <w:sz w:val="18"/>
                <w:szCs w:val="18"/>
                <w:color w:val="auto"/>
              </w:rPr>
              <w:t>Performance obligations satisfied in previous periods</w:t>
            </w:r>
          </w:p>
        </w:tc>
        <w:tc>
          <w:tcPr>
            <w:tcW w:w="1460" w:type="dxa"/>
            <w:vAlign w:val="bottom"/>
            <w:gridSpan w:val="2"/>
            <w:shd w:val="clear" w:color="auto" w:fill="D5EAEA"/>
          </w:tcPr>
          <w:p>
            <w:pPr>
              <w:ind w:left="1060"/>
              <w:spacing w:after="0"/>
              <w:rPr>
                <w:sz w:val="20"/>
                <w:szCs w:val="20"/>
                <w:color w:val="auto"/>
              </w:rPr>
            </w:pPr>
            <w:r>
              <w:rPr>
                <w:rFonts w:ascii="Arial" w:cs="Arial" w:eastAsia="Arial" w:hAnsi="Arial"/>
                <w:sz w:val="18"/>
                <w:szCs w:val="18"/>
                <w:color w:val="auto"/>
              </w:rPr>
              <w:t>—</w:t>
            </w:r>
          </w:p>
        </w:tc>
        <w:tc>
          <w:tcPr>
            <w:tcW w:w="134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10,000</w:t>
            </w:r>
          </w:p>
        </w:tc>
      </w:tr>
    </w:tbl>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3.1 Licensing and collaboration agreements</w:t>
      </w:r>
    </w:p>
    <w:p>
      <w:pPr>
        <w:spacing w:after="0" w:line="229" w:lineRule="exact"/>
        <w:rPr>
          <w:sz w:val="20"/>
          <w:szCs w:val="20"/>
          <w:color w:val="auto"/>
        </w:rPr>
      </w:pPr>
    </w:p>
    <w:p>
      <w:pPr>
        <w:ind w:right="160" w:firstLine="324"/>
        <w:spacing w:after="0" w:line="308" w:lineRule="auto"/>
        <w:rPr>
          <w:sz w:val="20"/>
          <w:szCs w:val="20"/>
          <w:color w:val="auto"/>
        </w:rPr>
      </w:pPr>
      <w:r>
        <w:rPr>
          <w:rFonts w:ascii="Arial" w:cs="Arial" w:eastAsia="Arial" w:hAnsi="Arial"/>
          <w:sz w:val="17"/>
          <w:szCs w:val="17"/>
          <w:color w:val="auto"/>
        </w:rPr>
        <w:t>For a discussion of our licensing and collaboration agreements for the fiscal year ended December 31, 2020, please refer to Note 12.1 “Licensing and Collaboration agreements” of our Annual Report on Form 20-F for the year ended December 31, 2020 filed on March 23, 2021.</w:t>
      </w:r>
    </w:p>
    <w:p>
      <w:pPr>
        <w:spacing w:after="0" w:line="146" w:lineRule="exact"/>
        <w:rPr>
          <w:sz w:val="20"/>
          <w:szCs w:val="20"/>
          <w:color w:val="auto"/>
        </w:rPr>
      </w:pPr>
    </w:p>
    <w:p>
      <w:pPr>
        <w:ind w:right="80" w:firstLine="324"/>
        <w:spacing w:after="0" w:line="277" w:lineRule="auto"/>
        <w:rPr>
          <w:sz w:val="20"/>
          <w:szCs w:val="20"/>
          <w:color w:val="auto"/>
        </w:rPr>
      </w:pPr>
      <w:r>
        <w:rPr>
          <w:rFonts w:ascii="Arial" w:cs="Arial" w:eastAsia="Arial" w:hAnsi="Arial"/>
          <w:sz w:val="18"/>
          <w:szCs w:val="18"/>
          <w:color w:val="auto"/>
        </w:rPr>
        <w:t>As it relates to revenue recognition, there have been no significant events or transactions associated with our license and collaboration agreements that have occurred for the three and nine months ended September 30, 2021.</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3.2 Grant income</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Grants from the Michael J. Fox Foundation</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For a discussion of our Grants from the Michael J. Fox Foundation (“MJFF”) for the fiscal year ended</w:t>
      </w:r>
    </w:p>
    <w:p>
      <w:pPr>
        <w:spacing w:after="0" w:line="225"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December 31, 2020, please refer to Note 12.2 “Grant Income” of our Annual Report on Form 20-F for the year ended December 31, 2020 filed on March 23, 2021.</w:t>
      </w:r>
    </w:p>
    <w:p>
      <w:pPr>
        <w:spacing w:after="0" w:line="170" w:lineRule="exact"/>
        <w:rPr>
          <w:sz w:val="20"/>
          <w:szCs w:val="20"/>
          <w:color w:val="auto"/>
        </w:rPr>
      </w:pPr>
    </w:p>
    <w:p>
      <w:pPr>
        <w:ind w:firstLine="324"/>
        <w:spacing w:after="0" w:line="263" w:lineRule="auto"/>
        <w:rPr>
          <w:sz w:val="20"/>
          <w:szCs w:val="20"/>
          <w:color w:val="auto"/>
        </w:rPr>
      </w:pPr>
      <w:r>
        <w:rPr>
          <w:rFonts w:ascii="Arial" w:cs="Arial" w:eastAsia="Arial" w:hAnsi="Arial"/>
          <w:sz w:val="18"/>
          <w:szCs w:val="18"/>
          <w:color w:val="auto"/>
        </w:rPr>
        <w:t>For the three months ended September 30, 2021 and 2020, the Company has recognized CHF 0.2 million and CHF 0.5 million in grant income, respectively. For the nine months ended September 30, 2021 and 2020, the Company has recognized CHF 0.8 million and CHF 0.8 million in grant income, respectively.</w:t>
      </w:r>
    </w:p>
    <w:p>
      <w:pPr>
        <w:spacing w:after="0" w:line="184"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Grant from the Target ALS Foundation</w:t>
      </w:r>
    </w:p>
    <w:p>
      <w:pPr>
        <w:spacing w:after="0" w:line="225" w:lineRule="exact"/>
        <w:rPr>
          <w:sz w:val="20"/>
          <w:szCs w:val="20"/>
          <w:color w:val="auto"/>
        </w:rPr>
      </w:pPr>
    </w:p>
    <w:p>
      <w:pPr>
        <w:ind w:right="440" w:firstLine="324"/>
        <w:spacing w:after="0" w:line="311" w:lineRule="auto"/>
        <w:rPr>
          <w:sz w:val="20"/>
          <w:szCs w:val="20"/>
          <w:color w:val="auto"/>
        </w:rPr>
      </w:pPr>
      <w:r>
        <w:rPr>
          <w:rFonts w:ascii="Arial" w:cs="Arial" w:eastAsia="Arial" w:hAnsi="Arial"/>
          <w:sz w:val="16"/>
          <w:szCs w:val="16"/>
          <w:color w:val="auto"/>
        </w:rPr>
        <w:t>In Q1 2021, AC Immune was awarded a USD 0.3 (CHF 0.2) million grant from the Target ALS Foundation (“Target ALS”). This grant funds a collaboration between the Company and the Investigators at the Healey Center for ALS at Massachusetts General Hospital (“MGH”) to accelerate the development of the Company’s proprietary immunoassays to detect disease-associated forms of TDP-43 in CSF and blood samples.</w:t>
      </w:r>
    </w:p>
    <w:p>
      <w:pPr>
        <w:spacing w:after="0" w:line="149" w:lineRule="exact"/>
        <w:rPr>
          <w:sz w:val="20"/>
          <w:szCs w:val="20"/>
          <w:color w:val="auto"/>
        </w:rPr>
      </w:pPr>
    </w:p>
    <w:p>
      <w:pPr>
        <w:ind w:right="40" w:firstLine="324"/>
        <w:spacing w:after="0" w:line="311" w:lineRule="auto"/>
        <w:rPr>
          <w:sz w:val="20"/>
          <w:szCs w:val="20"/>
          <w:color w:val="auto"/>
        </w:rPr>
      </w:pPr>
      <w:r>
        <w:rPr>
          <w:rFonts w:ascii="Arial" w:cs="Arial" w:eastAsia="Arial" w:hAnsi="Arial"/>
          <w:sz w:val="16"/>
          <w:szCs w:val="16"/>
          <w:color w:val="auto"/>
        </w:rPr>
        <w:t>For the three months ended September 30, 2021 and 2020, the Company recognized less than CHF 0.1 million and nil in grant income, respectively. For the nine months ended September 30, 2021 and 2020, the Company recognized CHF 0.1 million and nil in grant income, respectively. As of September 30, 2021, the Company recorded CHF 0.1 million in short-term accrued income and less than CHF 0.1 million in long-term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300990</wp:posOffset>
            </wp:positionV>
            <wp:extent cx="71323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12" w:name="page13"/>
    <w:bookmarkEnd w:id="12"/>
    <w:p>
      <w:pPr>
        <w:spacing w:after="0"/>
        <w:rPr>
          <w:sz w:val="20"/>
          <w:szCs w:val="20"/>
          <w:color w:val="auto"/>
        </w:rPr>
      </w:pPr>
      <w:r>
        <w:rPr>
          <w:rFonts w:ascii="Arial" w:cs="Arial" w:eastAsia="Arial" w:hAnsi="Arial"/>
          <w:sz w:val="18"/>
          <w:szCs w:val="18"/>
          <w:color w:val="auto"/>
        </w:rPr>
        <w:t>accrued income, and CHF 0.1 million in short-term and less than CHF 0.1 million in long-term deferred income, respectively.</w:t>
      </w:r>
    </w:p>
    <w:p>
      <w:pPr>
        <w:spacing w:after="0" w:line="221" w:lineRule="exact"/>
        <w:rPr>
          <w:sz w:val="20"/>
          <w:szCs w:val="20"/>
          <w:color w:val="auto"/>
        </w:rPr>
      </w:pPr>
    </w:p>
    <w:p>
      <w:pPr>
        <w:ind w:left="380" w:hanging="318"/>
        <w:spacing w:after="0"/>
        <w:tabs>
          <w:tab w:leader="none" w:pos="38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Loss per share</w:t>
      </w:r>
    </w:p>
    <w:p>
      <w:pPr>
        <w:spacing w:after="0" w:line="252" w:lineRule="exact"/>
        <w:rPr>
          <w:sz w:val="20"/>
          <w:szCs w:val="20"/>
          <w:color w:val="auto"/>
        </w:rPr>
      </w:pPr>
    </w:p>
    <w:p>
      <w:pPr>
        <w:jc w:val="right"/>
        <w:ind w:right="540"/>
        <w:spacing w:after="0"/>
        <w:rPr>
          <w:sz w:val="20"/>
          <w:szCs w:val="20"/>
          <w:color w:val="auto"/>
        </w:rPr>
      </w:pPr>
      <w:r>
        <w:rPr>
          <w:rFonts w:ascii="Arial" w:cs="Arial" w:eastAsia="Arial" w:hAnsi="Arial"/>
          <w:sz w:val="18"/>
          <w:szCs w:val="18"/>
          <w:b w:val="1"/>
          <w:bCs w:val="1"/>
          <w:color w:val="auto"/>
        </w:rPr>
        <w:t>For the Three Months</w:t>
      </w:r>
    </w:p>
    <w:p>
      <w:pPr>
        <w:spacing w:after="0" w:line="27" w:lineRule="exact"/>
        <w:rPr>
          <w:sz w:val="20"/>
          <w:szCs w:val="20"/>
          <w:color w:val="auto"/>
        </w:rPr>
      </w:pPr>
    </w:p>
    <w:p>
      <w:pPr>
        <w:ind w:left="9020"/>
        <w:spacing w:after="0"/>
        <w:rPr>
          <w:sz w:val="20"/>
          <w:szCs w:val="20"/>
          <w:color w:val="auto"/>
        </w:rPr>
      </w:pPr>
      <w:r>
        <w:rPr>
          <w:rFonts w:ascii="Arial" w:cs="Arial" w:eastAsia="Arial" w:hAnsi="Arial"/>
          <w:sz w:val="16"/>
          <w:szCs w:val="16"/>
          <w:b w:val="1"/>
          <w:bCs w:val="1"/>
          <w:color w:val="auto"/>
        </w:rPr>
        <w:t>Ended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5362575</wp:posOffset>
            </wp:positionH>
            <wp:positionV relativeFrom="paragraph">
              <wp:posOffset>20320</wp:posOffset>
            </wp:positionV>
            <wp:extent cx="177419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774190" cy="8255"/>
                    </a:xfrm>
                    <a:prstGeom prst="rect">
                      <a:avLst/>
                    </a:prstGeom>
                    <a:noFill/>
                  </pic:spPr>
                </pic:pic>
              </a:graphicData>
            </a:graphic>
          </wp:anchor>
        </w:drawing>
      </w:r>
    </w:p>
    <w:p>
      <w:pPr>
        <w:sectPr>
          <w:pgSz w:w="11900" w:h="16838" w:orient="portrait"/>
          <w:cols w:equalWidth="0" w:num="1">
            <w:col w:w="11240"/>
          </w:cols>
          <w:pgMar w:left="320" w:top="584" w:right="339" w:bottom="1108" w:gutter="0" w:footer="0" w:header="0"/>
        </w:sectPr>
      </w:pPr>
    </w:p>
    <w:p>
      <w:pPr>
        <w:spacing w:after="0" w:line="41" w:lineRule="exact"/>
        <w:rPr>
          <w:sz w:val="20"/>
          <w:szCs w:val="20"/>
          <w:color w:val="auto"/>
        </w:rPr>
      </w:pPr>
    </w:p>
    <w:p>
      <w:pPr>
        <w:ind w:left="2080"/>
        <w:spacing w:after="0"/>
        <w:rPr>
          <w:sz w:val="20"/>
          <w:szCs w:val="20"/>
          <w:color w:val="auto"/>
        </w:rPr>
      </w:pPr>
      <w:r>
        <w:rPr>
          <w:rFonts w:ascii="Arial" w:cs="Arial" w:eastAsia="Arial" w:hAnsi="Arial"/>
          <w:sz w:val="18"/>
          <w:szCs w:val="18"/>
          <w:b w:val="1"/>
          <w:bCs w:val="1"/>
          <w:color w:val="auto"/>
        </w:rPr>
        <w:t>in CHF thousands except for share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460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Loss per share (EPS)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Numerator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Net loss attributable to equity holders of the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Denominator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2832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283210"/>
                    </a:xfrm>
                    <a:prstGeom prst="rect">
                      <a:avLst/>
                    </a:prstGeom>
                    <a:noFill/>
                  </pic:spPr>
                </pic:pic>
              </a:graphicData>
            </a:graphic>
          </wp:anchor>
        </w:drawing>
      </w:r>
    </w:p>
    <w:p>
      <w:pPr>
        <w:ind w:right="300"/>
        <w:spacing w:after="0" w:line="250" w:lineRule="auto"/>
        <w:rPr>
          <w:sz w:val="20"/>
          <w:szCs w:val="20"/>
          <w:color w:val="auto"/>
        </w:rPr>
      </w:pPr>
      <w:r>
        <w:rPr>
          <w:rFonts w:ascii="Arial" w:cs="Arial" w:eastAsia="Arial" w:hAnsi="Arial"/>
          <w:sz w:val="18"/>
          <w:szCs w:val="18"/>
          <w:color w:val="auto"/>
        </w:rPr>
        <w:t>Weighted-average number of shares outstanding used to compute EPS basic and diluted attributable to equity holders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Basic and diluted loss per share for the period attributable to equity holders</w:t>
      </w:r>
    </w:p>
    <w:p>
      <w:pPr>
        <w:spacing w:after="0" w:line="20" w:lineRule="exact"/>
        <w:rPr>
          <w:sz w:val="20"/>
          <w:szCs w:val="20"/>
          <w:color w:val="auto"/>
        </w:rPr>
      </w:pPr>
      <w:r>
        <w:rPr>
          <w:sz w:val="20"/>
          <w:szCs w:val="20"/>
          <w:color w:val="auto"/>
        </w:rPr>
        <w:br w:type="column"/>
      </w:r>
    </w:p>
    <w:p>
      <w:pPr>
        <w:spacing w:after="0" w:line="21" w:lineRule="exact"/>
        <w:rPr>
          <w:sz w:val="20"/>
          <w:szCs w:val="20"/>
          <w:color w:val="auto"/>
        </w:rPr>
      </w:pPr>
    </w:p>
    <w:p>
      <w:pPr>
        <w:ind w:left="60"/>
        <w:spacing w:after="0"/>
        <w:tabs>
          <w:tab w:leader="none" w:pos="1500" w:val="left"/>
        </w:tabs>
        <w:rPr>
          <w:sz w:val="20"/>
          <w:szCs w:val="20"/>
          <w:color w:val="auto"/>
        </w:rPr>
      </w:pPr>
      <w:r>
        <w:rPr>
          <w:rFonts w:ascii="Arial" w:cs="Arial" w:eastAsia="Arial" w:hAnsi="Arial"/>
          <w:sz w:val="18"/>
          <w:szCs w:val="18"/>
          <w:b w:val="1"/>
          <w:bCs w:val="1"/>
          <w:color w:val="auto"/>
        </w:rPr>
        <w:t>2021</w:t>
      </w:r>
      <w:r>
        <w:rPr>
          <w:sz w:val="20"/>
          <w:szCs w:val="20"/>
          <w:color w:val="auto"/>
        </w:rPr>
        <w:tab/>
      </w:r>
      <w:r>
        <w:rPr>
          <w:rFonts w:ascii="Arial" w:cs="Arial" w:eastAsia="Arial" w:hAnsi="Arial"/>
          <w:sz w:val="18"/>
          <w:szCs w:val="18"/>
          <w:b w:val="1"/>
          <w:bCs w:val="1"/>
          <w:color w:val="auto"/>
        </w:rPr>
        <w:t>2020</w:t>
      </w:r>
    </w:p>
    <w:p>
      <w:pPr>
        <w:spacing w:after="0" w:line="200" w:lineRule="exact"/>
        <w:rPr>
          <w:sz w:val="20"/>
          <w:szCs w:val="20"/>
          <w:color w:val="auto"/>
        </w:rPr>
      </w:pPr>
    </w:p>
    <w:p>
      <w:pPr>
        <w:spacing w:after="0" w:line="259" w:lineRule="exact"/>
        <w:rPr>
          <w:sz w:val="20"/>
          <w:szCs w:val="20"/>
          <w:color w:val="auto"/>
        </w:rPr>
      </w:pPr>
    </w:p>
    <w:p>
      <w:pPr>
        <w:jc w:val="both"/>
        <w:ind w:left="260"/>
        <w:spacing w:after="0"/>
        <w:tabs>
          <w:tab w:leader="none" w:pos="1680" w:val="left"/>
        </w:tabs>
        <w:rPr>
          <w:sz w:val="20"/>
          <w:szCs w:val="20"/>
          <w:color w:val="auto"/>
        </w:rPr>
      </w:pPr>
      <w:r>
        <w:rPr>
          <w:rFonts w:ascii="Arial" w:cs="Arial" w:eastAsia="Arial" w:hAnsi="Arial"/>
          <w:sz w:val="18"/>
          <w:szCs w:val="18"/>
          <w:color w:val="auto"/>
        </w:rPr>
        <w:t>(15,918)</w:t>
      </w:r>
      <w:r>
        <w:rPr>
          <w:sz w:val="20"/>
          <w:szCs w:val="20"/>
          <w:color w:val="auto"/>
        </w:rPr>
        <w:tab/>
      </w:r>
      <w:r>
        <w:rPr>
          <w:rFonts w:ascii="Arial" w:cs="Arial" w:eastAsia="Arial" w:hAnsi="Arial"/>
          <w:sz w:val="18"/>
          <w:szCs w:val="18"/>
          <w:color w:val="auto"/>
        </w:rPr>
        <w:t>(18,994)</w:t>
      </w:r>
    </w:p>
    <w:p>
      <w:pPr>
        <w:spacing w:after="0" w:line="200" w:lineRule="exact"/>
        <w:rPr>
          <w:sz w:val="20"/>
          <w:szCs w:val="20"/>
          <w:color w:val="auto"/>
        </w:rPr>
      </w:pPr>
    </w:p>
    <w:p>
      <w:pPr>
        <w:spacing w:after="0" w:line="255" w:lineRule="exact"/>
        <w:rPr>
          <w:sz w:val="20"/>
          <w:szCs w:val="20"/>
          <w:color w:val="auto"/>
        </w:rPr>
      </w:pPr>
    </w:p>
    <w:p>
      <w:pPr>
        <w:spacing w:after="0"/>
        <w:tabs>
          <w:tab w:leader="none" w:pos="1420" w:val="left"/>
        </w:tabs>
        <w:rPr>
          <w:sz w:val="20"/>
          <w:szCs w:val="20"/>
          <w:color w:val="auto"/>
        </w:rPr>
      </w:pPr>
      <w:r>
        <w:rPr>
          <w:rFonts w:ascii="Arial" w:cs="Arial" w:eastAsia="Arial" w:hAnsi="Arial"/>
          <w:sz w:val="17"/>
          <w:szCs w:val="17"/>
          <w:color w:val="auto"/>
        </w:rPr>
        <w:t>72,887,967</w:t>
      </w:r>
      <w:r>
        <w:rPr>
          <w:sz w:val="20"/>
          <w:szCs w:val="20"/>
          <w:color w:val="auto"/>
        </w:rPr>
        <w:tab/>
      </w:r>
      <w:r>
        <w:rPr>
          <w:rFonts w:ascii="Arial" w:cs="Arial" w:eastAsia="Arial" w:hAnsi="Arial"/>
          <w:sz w:val="17"/>
          <w:szCs w:val="17"/>
          <w:color w:val="auto"/>
        </w:rPr>
        <w:t>71,925,009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-275590</wp:posOffset>
            </wp:positionH>
            <wp:positionV relativeFrom="paragraph">
              <wp:posOffset>22225</wp:posOffset>
            </wp:positionV>
            <wp:extent cx="177419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774190" cy="8255"/>
                    </a:xfrm>
                    <a:prstGeom prst="rect">
                      <a:avLst/>
                    </a:prstGeom>
                    <a:noFill/>
                  </pic:spPr>
                </pic:pic>
              </a:graphicData>
            </a:graphic>
          </wp:anchor>
        </w:drawing>
      </w:r>
    </w:p>
    <w:p>
      <w:pPr>
        <w:spacing w:after="0" w:line="28" w:lineRule="exact"/>
        <w:rPr>
          <w:sz w:val="20"/>
          <w:szCs w:val="20"/>
          <w:color w:val="auto"/>
        </w:rPr>
      </w:pPr>
    </w:p>
    <w:p>
      <w:pPr>
        <w:jc w:val="right"/>
        <w:ind w:right="40"/>
        <w:spacing w:after="0"/>
        <w:tabs>
          <w:tab w:leader="none" w:pos="420" w:val="left"/>
        </w:tabs>
        <w:rPr>
          <w:sz w:val="20"/>
          <w:szCs w:val="20"/>
          <w:color w:val="auto"/>
        </w:rPr>
      </w:pPr>
      <w:r>
        <w:rPr>
          <w:rFonts w:ascii="Arial" w:cs="Arial" w:eastAsia="Arial" w:hAnsi="Arial"/>
          <w:sz w:val="18"/>
          <w:szCs w:val="18"/>
          <w:color w:val="auto"/>
        </w:rPr>
        <w:t>(0.22)</w:t>
      </w:r>
      <w:r>
        <w:rPr>
          <w:sz w:val="20"/>
          <w:szCs w:val="20"/>
          <w:color w:val="auto"/>
        </w:rPr>
        <w:tab/>
      </w:r>
      <w:r>
        <w:rPr>
          <w:rFonts w:ascii="Arial" w:cs="Arial" w:eastAsia="Arial" w:hAnsi="Arial"/>
          <w:sz w:val="16"/>
          <w:szCs w:val="16"/>
          <w:color w:val="auto"/>
        </w:rPr>
        <w:t>(0.26)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-275590</wp:posOffset>
            </wp:positionH>
            <wp:positionV relativeFrom="paragraph">
              <wp:posOffset>14605</wp:posOffset>
            </wp:positionV>
            <wp:extent cx="1774190" cy="260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774190" cy="26035"/>
                    </a:xfrm>
                    <a:prstGeom prst="rect">
                      <a:avLst/>
                    </a:prstGeom>
                    <a:noFill/>
                  </pic:spPr>
                </pic:pic>
              </a:graphicData>
            </a:graphic>
          </wp:anchor>
        </w:drawing>
      </w:r>
    </w:p>
    <w:p>
      <w:pPr>
        <w:spacing w:after="0" w:line="269"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For the Nine Months</w:t>
      </w:r>
    </w:p>
    <w:p>
      <w:pPr>
        <w:spacing w:after="0" w:line="27" w:lineRule="exact"/>
        <w:rPr>
          <w:sz w:val="20"/>
          <w:szCs w:val="20"/>
          <w:color w:val="auto"/>
        </w:rPr>
      </w:pPr>
    </w:p>
    <w:p>
      <w:pPr>
        <w:ind w:left="140"/>
        <w:spacing w:after="0"/>
        <w:rPr>
          <w:sz w:val="20"/>
          <w:szCs w:val="20"/>
          <w:color w:val="auto"/>
        </w:rPr>
      </w:pPr>
      <w:r>
        <w:rPr>
          <w:rFonts w:ascii="Arial" w:cs="Arial" w:eastAsia="Arial" w:hAnsi="Arial"/>
          <w:sz w:val="18"/>
          <w:szCs w:val="18"/>
          <w:b w:val="1"/>
          <w:bCs w:val="1"/>
          <w:color w:val="auto"/>
        </w:rPr>
        <w:t>Ended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-275590</wp:posOffset>
            </wp:positionH>
            <wp:positionV relativeFrom="paragraph">
              <wp:posOffset>5715</wp:posOffset>
            </wp:positionV>
            <wp:extent cx="177419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774190" cy="8255"/>
                    </a:xfrm>
                    <a:prstGeom prst="rect">
                      <a:avLst/>
                    </a:prstGeom>
                    <a:noFill/>
                  </pic:spPr>
                </pic:pic>
              </a:graphicData>
            </a:graphic>
          </wp:anchor>
        </w:drawing>
      </w:r>
    </w:p>
    <w:p>
      <w:pPr>
        <w:spacing w:after="0" w:line="18" w:lineRule="exact"/>
        <w:rPr>
          <w:sz w:val="20"/>
          <w:szCs w:val="20"/>
          <w:color w:val="auto"/>
        </w:rPr>
      </w:pPr>
    </w:p>
    <w:p>
      <w:pPr>
        <w:sectPr>
          <w:pgSz w:w="11900" w:h="16838" w:orient="portrait"/>
          <w:cols w:equalWidth="0" w:num="2">
            <w:col w:w="8160" w:space="720"/>
            <w:col w:w="2360"/>
          </w:cols>
          <w:pgMar w:left="320" w:top="584" w:right="339" w:bottom="1108" w:gutter="0" w:footer="0" w:header="0"/>
          <w:type w:val="continuous"/>
        </w:sectPr>
      </w:pPr>
    </w:p>
    <w:p>
      <w:pPr>
        <w:ind w:left="2080"/>
        <w:spacing w:after="0"/>
        <w:rPr>
          <w:sz w:val="20"/>
          <w:szCs w:val="20"/>
          <w:color w:val="auto"/>
        </w:rPr>
      </w:pPr>
      <w:r>
        <w:rPr>
          <w:rFonts w:ascii="Arial" w:cs="Arial" w:eastAsia="Arial" w:hAnsi="Arial"/>
          <w:sz w:val="18"/>
          <w:szCs w:val="18"/>
          <w:b w:val="1"/>
          <w:bCs w:val="1"/>
          <w:color w:val="auto"/>
        </w:rPr>
        <w:t>in CHF thousands except for share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460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Loss per share (EPS)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Numerator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Net loss attributable to equity holders of the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Denominator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2832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283210"/>
                    </a:xfrm>
                    <a:prstGeom prst="rect">
                      <a:avLst/>
                    </a:prstGeom>
                    <a:noFill/>
                  </pic:spPr>
                </pic:pic>
              </a:graphicData>
            </a:graphic>
          </wp:anchor>
        </w:drawing>
      </w:r>
    </w:p>
    <w:p>
      <w:pPr>
        <w:ind w:right="300"/>
        <w:spacing w:after="0" w:line="250" w:lineRule="auto"/>
        <w:rPr>
          <w:sz w:val="20"/>
          <w:szCs w:val="20"/>
          <w:color w:val="auto"/>
        </w:rPr>
      </w:pPr>
      <w:r>
        <w:rPr>
          <w:rFonts w:ascii="Arial" w:cs="Arial" w:eastAsia="Arial" w:hAnsi="Arial"/>
          <w:sz w:val="18"/>
          <w:szCs w:val="18"/>
          <w:color w:val="auto"/>
        </w:rPr>
        <w:t>Weighted-average number of shares outstanding used to compute EPS basic and diluted attributable to equity holders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Basic and diluted loss per share for the period attributable to equity holders</w:t>
      </w:r>
    </w:p>
    <w:p>
      <w:pPr>
        <w:spacing w:after="0" w:line="20" w:lineRule="exact"/>
        <w:rPr>
          <w:sz w:val="20"/>
          <w:szCs w:val="20"/>
          <w:color w:val="auto"/>
        </w:rPr>
      </w:pPr>
      <w:r>
        <w:rPr>
          <w:sz w:val="20"/>
          <w:szCs w:val="20"/>
          <w:color w:val="auto"/>
        </w:rPr>
        <w:br w:type="column"/>
      </w:r>
    </w:p>
    <w:p>
      <w:pPr>
        <w:jc w:val="center"/>
        <w:ind w:right="380"/>
        <w:spacing w:after="0"/>
        <w:rPr>
          <w:sz w:val="20"/>
          <w:szCs w:val="20"/>
          <w:color w:val="auto"/>
        </w:rPr>
      </w:pPr>
      <w:r>
        <w:rPr>
          <w:rFonts w:ascii="Arial" w:cs="Arial" w:eastAsia="Arial" w:hAnsi="Arial"/>
          <w:sz w:val="18"/>
          <w:szCs w:val="18"/>
          <w:b w:val="1"/>
          <w:bCs w:val="1"/>
          <w:color w:val="auto"/>
        </w:rPr>
        <w:t>2021</w:t>
      </w:r>
    </w:p>
    <w:p>
      <w:pPr>
        <w:spacing w:after="0" w:line="200" w:lineRule="exact"/>
        <w:rPr>
          <w:sz w:val="20"/>
          <w:szCs w:val="20"/>
          <w:color w:val="auto"/>
        </w:rPr>
      </w:pPr>
    </w:p>
    <w:p>
      <w:pPr>
        <w:spacing w:after="0" w:line="25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(51,720)</w:t>
      </w:r>
    </w:p>
    <w:p>
      <w:pPr>
        <w:spacing w:after="0" w:line="200" w:lineRule="exact"/>
        <w:rPr>
          <w:sz w:val="20"/>
          <w:szCs w:val="20"/>
          <w:color w:val="auto"/>
        </w:rPr>
      </w:pPr>
    </w:p>
    <w:p>
      <w:pPr>
        <w:spacing w:after="0" w:line="255" w:lineRule="exact"/>
        <w:rPr>
          <w:sz w:val="20"/>
          <w:szCs w:val="20"/>
          <w:color w:val="auto"/>
        </w:rPr>
      </w:pPr>
    </w:p>
    <w:p>
      <w:pPr>
        <w:jc w:val="right"/>
        <w:ind w:right="60"/>
        <w:spacing w:after="0"/>
        <w:rPr>
          <w:sz w:val="20"/>
          <w:szCs w:val="20"/>
          <w:color w:val="auto"/>
        </w:rPr>
      </w:pPr>
      <w:r>
        <w:rPr>
          <w:rFonts w:ascii="Arial" w:cs="Arial" w:eastAsia="Arial" w:hAnsi="Arial"/>
          <w:sz w:val="15"/>
          <w:szCs w:val="15"/>
          <w:color w:val="auto"/>
        </w:rPr>
        <w:t>72,638,698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-275590</wp:posOffset>
            </wp:positionH>
            <wp:positionV relativeFrom="paragraph">
              <wp:posOffset>36830</wp:posOffset>
            </wp:positionV>
            <wp:extent cx="85725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857250" cy="8255"/>
                    </a:xfrm>
                    <a:prstGeom prst="rect">
                      <a:avLst/>
                    </a:prstGeom>
                    <a:noFill/>
                  </pic:spPr>
                </pic:pic>
              </a:graphicData>
            </a:graphic>
          </wp:anchor>
        </w:drawing>
      </w:r>
    </w:p>
    <w:p>
      <w:pPr>
        <w:spacing w:after="0" w:line="5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(0.71)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-275590</wp:posOffset>
            </wp:positionH>
            <wp:positionV relativeFrom="paragraph">
              <wp:posOffset>14605</wp:posOffset>
            </wp:positionV>
            <wp:extent cx="85725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857250" cy="8890"/>
                    </a:xfrm>
                    <a:prstGeom prst="rect">
                      <a:avLst/>
                    </a:prstGeom>
                    <a:noFill/>
                  </pic:spPr>
                </pic:pic>
              </a:graphicData>
            </a:graphic>
          </wp:anchor>
        </w:drawing>
        <w:drawing>
          <wp:anchor simplePos="0" relativeHeight="251657728" behindDoc="1" locked="0" layoutInCell="0" allowOverlap="1">
            <wp:simplePos x="0" y="0"/>
            <wp:positionH relativeFrom="column">
              <wp:posOffset>-275590</wp:posOffset>
            </wp:positionH>
            <wp:positionV relativeFrom="paragraph">
              <wp:posOffset>31750</wp:posOffset>
            </wp:positionV>
            <wp:extent cx="85725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85725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left="80"/>
        <w:spacing w:after="0"/>
        <w:rPr>
          <w:sz w:val="20"/>
          <w:szCs w:val="20"/>
          <w:color w:val="auto"/>
        </w:rPr>
      </w:pPr>
      <w:r>
        <w:rPr>
          <w:rFonts w:ascii="Arial" w:cs="Arial" w:eastAsia="Arial" w:hAnsi="Arial"/>
          <w:sz w:val="18"/>
          <w:szCs w:val="18"/>
          <w:b w:val="1"/>
          <w:bCs w:val="1"/>
          <w:color w:val="auto"/>
        </w:rPr>
        <w:t>2020</w:t>
      </w:r>
    </w:p>
    <w:p>
      <w:pPr>
        <w:spacing w:after="0" w:line="200" w:lineRule="exact"/>
        <w:rPr>
          <w:sz w:val="20"/>
          <w:szCs w:val="20"/>
          <w:color w:val="auto"/>
        </w:rPr>
      </w:pPr>
    </w:p>
    <w:p>
      <w:pPr>
        <w:spacing w:after="0" w:line="259" w:lineRule="exact"/>
        <w:rPr>
          <w:sz w:val="20"/>
          <w:szCs w:val="20"/>
          <w:color w:val="auto"/>
        </w:rPr>
      </w:pPr>
    </w:p>
    <w:p>
      <w:pPr>
        <w:jc w:val="right"/>
        <w:ind w:right="40"/>
        <w:spacing w:after="0"/>
        <w:rPr>
          <w:sz w:val="20"/>
          <w:szCs w:val="20"/>
          <w:color w:val="auto"/>
        </w:rPr>
      </w:pPr>
      <w:r>
        <w:rPr>
          <w:rFonts w:ascii="Arial" w:cs="Arial" w:eastAsia="Arial" w:hAnsi="Arial"/>
          <w:sz w:val="18"/>
          <w:szCs w:val="18"/>
          <w:color w:val="auto"/>
        </w:rPr>
        <w:t>(42,421)</w:t>
      </w:r>
    </w:p>
    <w:p>
      <w:pPr>
        <w:spacing w:after="0" w:line="200" w:lineRule="exact"/>
        <w:rPr>
          <w:sz w:val="20"/>
          <w:szCs w:val="20"/>
          <w:color w:val="auto"/>
        </w:rPr>
      </w:pPr>
    </w:p>
    <w:p>
      <w:pPr>
        <w:spacing w:after="0" w:line="255" w:lineRule="exact"/>
        <w:rPr>
          <w:sz w:val="20"/>
          <w:szCs w:val="20"/>
          <w:color w:val="auto"/>
        </w:rPr>
      </w:pPr>
    </w:p>
    <w:p>
      <w:pPr>
        <w:jc w:val="right"/>
        <w:ind w:right="100"/>
        <w:spacing w:after="0"/>
        <w:rPr>
          <w:sz w:val="20"/>
          <w:szCs w:val="20"/>
          <w:color w:val="auto"/>
        </w:rPr>
      </w:pPr>
      <w:r>
        <w:rPr>
          <w:rFonts w:ascii="Arial" w:cs="Arial" w:eastAsia="Arial" w:hAnsi="Arial"/>
          <w:sz w:val="16"/>
          <w:szCs w:val="16"/>
          <w:color w:val="auto"/>
        </w:rPr>
        <w:t>71,888,273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-264160</wp:posOffset>
            </wp:positionH>
            <wp:positionV relativeFrom="paragraph">
              <wp:posOffset>29210</wp:posOffset>
            </wp:positionV>
            <wp:extent cx="84836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848360" cy="8255"/>
                    </a:xfrm>
                    <a:prstGeom prst="rect">
                      <a:avLst/>
                    </a:prstGeom>
                    <a:noFill/>
                  </pic:spPr>
                </pic:pic>
              </a:graphicData>
            </a:graphic>
          </wp:anchor>
        </w:drawing>
      </w:r>
    </w:p>
    <w:p>
      <w:pPr>
        <w:spacing w:after="0" w:line="39" w:lineRule="exact"/>
        <w:rPr>
          <w:sz w:val="20"/>
          <w:szCs w:val="20"/>
          <w:color w:val="auto"/>
        </w:rPr>
      </w:pPr>
    </w:p>
    <w:p>
      <w:pPr>
        <w:jc w:val="right"/>
        <w:ind w:right="40"/>
        <w:spacing w:after="0"/>
        <w:rPr>
          <w:sz w:val="20"/>
          <w:szCs w:val="20"/>
          <w:color w:val="auto"/>
        </w:rPr>
      </w:pPr>
      <w:r>
        <w:rPr>
          <w:rFonts w:ascii="Arial" w:cs="Arial" w:eastAsia="Arial" w:hAnsi="Arial"/>
          <w:sz w:val="18"/>
          <w:szCs w:val="18"/>
          <w:color w:val="auto"/>
        </w:rPr>
        <w:t>(0.59)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-264160</wp:posOffset>
            </wp:positionH>
            <wp:positionV relativeFrom="paragraph">
              <wp:posOffset>14605</wp:posOffset>
            </wp:positionV>
            <wp:extent cx="84836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848360" cy="8890"/>
                    </a:xfrm>
                    <a:prstGeom prst="rect">
                      <a:avLst/>
                    </a:prstGeom>
                    <a:noFill/>
                  </pic:spPr>
                </pic:pic>
              </a:graphicData>
            </a:graphic>
          </wp:anchor>
        </w:drawing>
        <w:drawing>
          <wp:anchor simplePos="0" relativeHeight="251657728" behindDoc="1" locked="0" layoutInCell="0" allowOverlap="1">
            <wp:simplePos x="0" y="0"/>
            <wp:positionH relativeFrom="column">
              <wp:posOffset>-264160</wp:posOffset>
            </wp:positionH>
            <wp:positionV relativeFrom="paragraph">
              <wp:posOffset>31750</wp:posOffset>
            </wp:positionV>
            <wp:extent cx="84836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84836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3">
            <w:col w:w="8160" w:space="720"/>
            <w:col w:w="860" w:space="580"/>
            <w:col w:w="920"/>
          </w:cols>
          <w:pgMar w:left="320" w:top="584" w:right="339" w:bottom="1108" w:gutter="0" w:footer="0" w:header="0"/>
          <w:type w:val="continuous"/>
        </w:sectPr>
      </w:pPr>
    </w:p>
    <w:p>
      <w:pPr>
        <w:spacing w:after="0" w:line="66" w:lineRule="exact"/>
        <w:rPr>
          <w:sz w:val="20"/>
          <w:szCs w:val="20"/>
          <w:color w:val="auto"/>
        </w:rPr>
      </w:pPr>
    </w:p>
    <w:p>
      <w:pPr>
        <w:ind w:left="340"/>
        <w:spacing w:after="0"/>
        <w:rPr>
          <w:sz w:val="20"/>
          <w:szCs w:val="20"/>
          <w:color w:val="auto"/>
        </w:rPr>
      </w:pPr>
      <w:r>
        <w:rPr>
          <w:rFonts w:ascii="Arial" w:cs="Arial" w:eastAsia="Arial" w:hAnsi="Arial"/>
          <w:sz w:val="17"/>
          <w:szCs w:val="17"/>
          <w:color w:val="auto"/>
        </w:rPr>
        <w:t>Potentially dilutive securities that were not included in the diluted per share calculations because they would be anti-dilutive were as follows: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440" w:type="dxa"/>
            <w:vAlign w:val="bottom"/>
          </w:tcPr>
          <w:p>
            <w:pPr>
              <w:spacing w:after="0"/>
              <w:rPr>
                <w:sz w:val="18"/>
                <w:szCs w:val="18"/>
                <w:color w:val="auto"/>
              </w:rPr>
            </w:pPr>
          </w:p>
        </w:tc>
        <w:tc>
          <w:tcPr>
            <w:tcW w:w="2800" w:type="dxa"/>
            <w:vAlign w:val="bottom"/>
            <w:gridSpan w:val="3"/>
          </w:tcPr>
          <w:p>
            <w:pPr>
              <w:jc w:val="center"/>
              <w:spacing w:after="0"/>
              <w:rPr>
                <w:sz w:val="20"/>
                <w:szCs w:val="20"/>
                <w:color w:val="auto"/>
              </w:rPr>
            </w:pPr>
            <w:r>
              <w:rPr>
                <w:rFonts w:ascii="Arial" w:cs="Arial" w:eastAsia="Arial" w:hAnsi="Arial"/>
                <w:sz w:val="18"/>
                <w:szCs w:val="18"/>
                <w:b w:val="1"/>
                <w:bCs w:val="1"/>
                <w:color w:val="auto"/>
                <w:w w:val="92"/>
              </w:rPr>
              <w:t>For the Three Months</w:t>
            </w:r>
          </w:p>
        </w:tc>
      </w:tr>
      <w:tr>
        <w:trPr>
          <w:trHeight w:val="234"/>
        </w:trPr>
        <w:tc>
          <w:tcPr>
            <w:tcW w:w="8440" w:type="dxa"/>
            <w:vAlign w:val="bottom"/>
          </w:tcPr>
          <w:p>
            <w:pPr>
              <w:spacing w:after="0"/>
              <w:rPr>
                <w:sz w:val="20"/>
                <w:szCs w:val="20"/>
                <w:color w:val="auto"/>
              </w:rPr>
            </w:pPr>
          </w:p>
        </w:tc>
        <w:tc>
          <w:tcPr>
            <w:tcW w:w="280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w w:val="89"/>
              </w:rPr>
              <w:t>Ended September 30,</w:t>
            </w:r>
          </w:p>
        </w:tc>
      </w:tr>
      <w:tr>
        <w:trPr>
          <w:trHeight w:val="223"/>
        </w:trPr>
        <w:tc>
          <w:tcPr>
            <w:tcW w:w="8440" w:type="dxa"/>
            <w:vAlign w:val="bottom"/>
            <w:tcBorders>
              <w:bottom w:val="single" w:sz="8" w:color="D5EAEA"/>
            </w:tcBorders>
          </w:tcPr>
          <w:p>
            <w:pPr>
              <w:spacing w:after="0"/>
              <w:rPr>
                <w:sz w:val="19"/>
                <w:szCs w:val="19"/>
                <w:color w:val="auto"/>
              </w:rPr>
            </w:pPr>
          </w:p>
        </w:tc>
        <w:tc>
          <w:tcPr>
            <w:tcW w:w="13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bottom w:val="single" w:sz="8" w:color="D5EAEA"/>
            </w:tcBorders>
          </w:tcPr>
          <w:p>
            <w:pPr>
              <w:spacing w:after="0"/>
              <w:rPr>
                <w:sz w:val="19"/>
                <w:szCs w:val="19"/>
                <w:color w:val="auto"/>
              </w:rPr>
            </w:pPr>
          </w:p>
        </w:tc>
        <w:tc>
          <w:tcPr>
            <w:tcW w:w="134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2020</w:t>
            </w:r>
          </w:p>
        </w:tc>
      </w:tr>
      <w:tr>
        <w:trPr>
          <w:trHeight w:val="210"/>
        </w:trPr>
        <w:tc>
          <w:tcPr>
            <w:tcW w:w="8440" w:type="dxa"/>
            <w:vAlign w:val="bottom"/>
            <w:shd w:val="clear" w:color="auto" w:fill="D5EAEA"/>
          </w:tcPr>
          <w:p>
            <w:pPr>
              <w:spacing w:after="0"/>
              <w:rPr>
                <w:sz w:val="20"/>
                <w:szCs w:val="20"/>
                <w:color w:val="auto"/>
              </w:rPr>
            </w:pPr>
            <w:r>
              <w:rPr>
                <w:rFonts w:ascii="Arial" w:cs="Arial" w:eastAsia="Arial" w:hAnsi="Arial"/>
                <w:sz w:val="18"/>
                <w:szCs w:val="18"/>
                <w:color w:val="auto"/>
              </w:rPr>
              <w:t>Share options issued and outstanding</w:t>
            </w:r>
          </w:p>
        </w:tc>
        <w:tc>
          <w:tcPr>
            <w:tcW w:w="1360" w:type="dxa"/>
            <w:vAlign w:val="bottom"/>
            <w:shd w:val="clear" w:color="auto" w:fill="D5EAEA"/>
          </w:tcPr>
          <w:p>
            <w:pPr>
              <w:jc w:val="right"/>
              <w:ind w:right="30"/>
              <w:spacing w:after="0"/>
              <w:rPr>
                <w:sz w:val="20"/>
                <w:szCs w:val="20"/>
                <w:color w:val="auto"/>
              </w:rPr>
            </w:pPr>
            <w:r>
              <w:rPr>
                <w:rFonts w:ascii="Arial" w:cs="Arial" w:eastAsia="Arial" w:hAnsi="Arial"/>
                <w:sz w:val="18"/>
                <w:szCs w:val="18"/>
                <w:color w:val="auto"/>
              </w:rPr>
              <w:t>1,267,924</w:t>
            </w:r>
          </w:p>
        </w:tc>
        <w:tc>
          <w:tcPr>
            <w:tcW w:w="100" w:type="dxa"/>
            <w:vAlign w:val="bottom"/>
            <w:shd w:val="clear" w:color="auto" w:fill="D5EAEA"/>
          </w:tcPr>
          <w:p>
            <w:pPr>
              <w:spacing w:after="0"/>
              <w:rPr>
                <w:sz w:val="18"/>
                <w:szCs w:val="18"/>
                <w:color w:val="auto"/>
              </w:rPr>
            </w:pPr>
          </w:p>
        </w:tc>
        <w:tc>
          <w:tcPr>
            <w:tcW w:w="134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930,921</w:t>
            </w:r>
          </w:p>
        </w:tc>
      </w:tr>
      <w:tr>
        <w:trPr>
          <w:trHeight w:val="230"/>
        </w:trPr>
        <w:tc>
          <w:tcPr>
            <w:tcW w:w="8440" w:type="dxa"/>
            <w:vAlign w:val="bottom"/>
          </w:tcPr>
          <w:p>
            <w:pPr>
              <w:spacing w:after="0"/>
              <w:rPr>
                <w:sz w:val="20"/>
                <w:szCs w:val="20"/>
                <w:color w:val="auto"/>
              </w:rPr>
            </w:pPr>
            <w:r>
              <w:rPr>
                <w:rFonts w:ascii="Arial" w:cs="Arial" w:eastAsia="Arial" w:hAnsi="Arial"/>
                <w:sz w:val="18"/>
                <w:szCs w:val="18"/>
                <w:color w:val="auto"/>
              </w:rPr>
              <w:t>Restricted share awards subject to future vesting</w:t>
            </w: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1,244</w:t>
            </w:r>
          </w:p>
        </w:tc>
        <w:tc>
          <w:tcPr>
            <w:tcW w:w="100" w:type="dxa"/>
            <w:vAlign w:val="bottom"/>
          </w:tcPr>
          <w:p>
            <w:pPr>
              <w:spacing w:after="0"/>
              <w:rPr>
                <w:sz w:val="20"/>
                <w:szCs w:val="20"/>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24,510</w:t>
            </w:r>
          </w:p>
        </w:tc>
      </w:tr>
      <w:tr>
        <w:trPr>
          <w:trHeight w:val="426"/>
        </w:trPr>
        <w:tc>
          <w:tcPr>
            <w:tcW w:w="8440" w:type="dxa"/>
            <w:vAlign w:val="bottom"/>
          </w:tcPr>
          <w:p>
            <w:pPr>
              <w:spacing w:after="0"/>
              <w:rPr>
                <w:sz w:val="24"/>
                <w:szCs w:val="24"/>
                <w:color w:val="auto"/>
              </w:rPr>
            </w:pPr>
          </w:p>
        </w:tc>
        <w:tc>
          <w:tcPr>
            <w:tcW w:w="2800" w:type="dxa"/>
            <w:vAlign w:val="bottom"/>
            <w:gridSpan w:val="3"/>
          </w:tcPr>
          <w:p>
            <w:pPr>
              <w:jc w:val="center"/>
              <w:spacing w:after="0"/>
              <w:rPr>
                <w:sz w:val="20"/>
                <w:szCs w:val="20"/>
                <w:color w:val="auto"/>
              </w:rPr>
            </w:pPr>
            <w:r>
              <w:rPr>
                <w:rFonts w:ascii="Arial" w:cs="Arial" w:eastAsia="Arial" w:hAnsi="Arial"/>
                <w:sz w:val="18"/>
                <w:szCs w:val="18"/>
                <w:b w:val="1"/>
                <w:bCs w:val="1"/>
                <w:color w:val="auto"/>
                <w:w w:val="91"/>
              </w:rPr>
              <w:t>For the Nine Months</w:t>
            </w:r>
          </w:p>
        </w:tc>
      </w:tr>
      <w:tr>
        <w:trPr>
          <w:trHeight w:val="234"/>
        </w:trPr>
        <w:tc>
          <w:tcPr>
            <w:tcW w:w="8440" w:type="dxa"/>
            <w:vAlign w:val="bottom"/>
          </w:tcPr>
          <w:p>
            <w:pPr>
              <w:spacing w:after="0"/>
              <w:rPr>
                <w:sz w:val="20"/>
                <w:szCs w:val="20"/>
                <w:color w:val="auto"/>
              </w:rPr>
            </w:pPr>
          </w:p>
        </w:tc>
        <w:tc>
          <w:tcPr>
            <w:tcW w:w="280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w w:val="89"/>
              </w:rPr>
              <w:t>Ended September 30,</w:t>
            </w:r>
          </w:p>
        </w:tc>
      </w:tr>
      <w:tr>
        <w:trPr>
          <w:trHeight w:val="223"/>
        </w:trPr>
        <w:tc>
          <w:tcPr>
            <w:tcW w:w="8440" w:type="dxa"/>
            <w:vAlign w:val="bottom"/>
            <w:tcBorders>
              <w:bottom w:val="single" w:sz="8" w:color="D5EAEA"/>
            </w:tcBorders>
          </w:tcPr>
          <w:p>
            <w:pPr>
              <w:spacing w:after="0"/>
              <w:rPr>
                <w:sz w:val="19"/>
                <w:szCs w:val="19"/>
                <w:color w:val="auto"/>
              </w:rPr>
            </w:pPr>
          </w:p>
        </w:tc>
        <w:tc>
          <w:tcPr>
            <w:tcW w:w="13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bottom w:val="single" w:sz="8" w:color="D5EAEA"/>
            </w:tcBorders>
          </w:tcPr>
          <w:p>
            <w:pPr>
              <w:spacing w:after="0"/>
              <w:rPr>
                <w:sz w:val="19"/>
                <w:szCs w:val="19"/>
                <w:color w:val="auto"/>
              </w:rPr>
            </w:pPr>
          </w:p>
        </w:tc>
        <w:tc>
          <w:tcPr>
            <w:tcW w:w="134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2020</w:t>
            </w:r>
          </w:p>
        </w:tc>
      </w:tr>
      <w:tr>
        <w:trPr>
          <w:trHeight w:val="210"/>
        </w:trPr>
        <w:tc>
          <w:tcPr>
            <w:tcW w:w="8440" w:type="dxa"/>
            <w:vAlign w:val="bottom"/>
            <w:shd w:val="clear" w:color="auto" w:fill="D5EAEA"/>
          </w:tcPr>
          <w:p>
            <w:pPr>
              <w:spacing w:after="0"/>
              <w:rPr>
                <w:sz w:val="20"/>
                <w:szCs w:val="20"/>
                <w:color w:val="auto"/>
              </w:rPr>
            </w:pPr>
            <w:r>
              <w:rPr>
                <w:rFonts w:ascii="Arial" w:cs="Arial" w:eastAsia="Arial" w:hAnsi="Arial"/>
                <w:sz w:val="18"/>
                <w:szCs w:val="18"/>
                <w:color w:val="auto"/>
              </w:rPr>
              <w:t>Share options issued and outstanding</w:t>
            </w:r>
          </w:p>
        </w:tc>
        <w:tc>
          <w:tcPr>
            <w:tcW w:w="1360" w:type="dxa"/>
            <w:vAlign w:val="bottom"/>
            <w:shd w:val="clear" w:color="auto" w:fill="D5EAEA"/>
          </w:tcPr>
          <w:p>
            <w:pPr>
              <w:jc w:val="right"/>
              <w:ind w:right="30"/>
              <w:spacing w:after="0"/>
              <w:rPr>
                <w:sz w:val="20"/>
                <w:szCs w:val="20"/>
                <w:color w:val="auto"/>
              </w:rPr>
            </w:pPr>
            <w:r>
              <w:rPr>
                <w:rFonts w:ascii="Arial" w:cs="Arial" w:eastAsia="Arial" w:hAnsi="Arial"/>
                <w:sz w:val="18"/>
                <w:szCs w:val="18"/>
                <w:color w:val="auto"/>
              </w:rPr>
              <w:t>1,172,439</w:t>
            </w:r>
          </w:p>
        </w:tc>
        <w:tc>
          <w:tcPr>
            <w:tcW w:w="100" w:type="dxa"/>
            <w:vAlign w:val="bottom"/>
            <w:shd w:val="clear" w:color="auto" w:fill="D5EAEA"/>
          </w:tcPr>
          <w:p>
            <w:pPr>
              <w:spacing w:after="0"/>
              <w:rPr>
                <w:sz w:val="18"/>
                <w:szCs w:val="18"/>
                <w:color w:val="auto"/>
              </w:rPr>
            </w:pPr>
          </w:p>
        </w:tc>
        <w:tc>
          <w:tcPr>
            <w:tcW w:w="134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837,608</w:t>
            </w:r>
          </w:p>
        </w:tc>
      </w:tr>
      <w:tr>
        <w:trPr>
          <w:trHeight w:val="230"/>
        </w:trPr>
        <w:tc>
          <w:tcPr>
            <w:tcW w:w="8440" w:type="dxa"/>
            <w:vAlign w:val="bottom"/>
          </w:tcPr>
          <w:p>
            <w:pPr>
              <w:spacing w:after="0"/>
              <w:rPr>
                <w:sz w:val="20"/>
                <w:szCs w:val="20"/>
                <w:color w:val="auto"/>
              </w:rPr>
            </w:pPr>
            <w:r>
              <w:rPr>
                <w:rFonts w:ascii="Arial" w:cs="Arial" w:eastAsia="Arial" w:hAnsi="Arial"/>
                <w:sz w:val="18"/>
                <w:szCs w:val="18"/>
                <w:color w:val="auto"/>
              </w:rPr>
              <w:t>Restricted share awards subject to future vesting</w:t>
            </w: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8,106</w:t>
            </w:r>
          </w:p>
        </w:tc>
        <w:tc>
          <w:tcPr>
            <w:tcW w:w="100" w:type="dxa"/>
            <w:vAlign w:val="bottom"/>
          </w:tcPr>
          <w:p>
            <w:pPr>
              <w:spacing w:after="0"/>
              <w:rPr>
                <w:sz w:val="20"/>
                <w:szCs w:val="20"/>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31,397</w:t>
            </w:r>
          </w:p>
        </w:tc>
      </w:tr>
    </w:tbl>
    <w:p>
      <w:pPr>
        <w:spacing w:after="0" w:line="210" w:lineRule="exact"/>
        <w:rPr>
          <w:sz w:val="20"/>
          <w:szCs w:val="20"/>
          <w:color w:val="auto"/>
        </w:rPr>
      </w:pPr>
    </w:p>
    <w:p>
      <w:pPr>
        <w:ind w:left="60"/>
        <w:spacing w:after="0"/>
        <w:tabs>
          <w:tab w:leader="none" w:pos="360" w:val="left"/>
        </w:tabs>
        <w:rPr>
          <w:sz w:val="20"/>
          <w:szCs w:val="20"/>
          <w:color w:val="auto"/>
        </w:rPr>
      </w:pPr>
      <w:r>
        <w:rPr>
          <w:rFonts w:ascii="Arial" w:cs="Arial" w:eastAsia="Arial" w:hAnsi="Arial"/>
          <w:sz w:val="18"/>
          <w:szCs w:val="18"/>
          <w:b w:val="1"/>
          <w:bCs w:val="1"/>
          <w:color w:val="auto"/>
        </w:rPr>
        <w:t>5.</w:t>
      </w:r>
      <w:r>
        <w:rPr>
          <w:sz w:val="20"/>
          <w:szCs w:val="20"/>
          <w:color w:val="auto"/>
        </w:rPr>
        <w:tab/>
      </w:r>
      <w:r>
        <w:rPr>
          <w:rFonts w:ascii="Arial" w:cs="Arial" w:eastAsia="Arial" w:hAnsi="Arial"/>
          <w:sz w:val="16"/>
          <w:szCs w:val="16"/>
          <w:b w:val="1"/>
          <w:bCs w:val="1"/>
          <w:color w:val="auto"/>
        </w:rPr>
        <w:t>Property, plant and equipment</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following table shows the movement in the net book values of property, plant and equipment for the nine months ended September 30, 2021:</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9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4340" w:type="dxa"/>
            <w:vAlign w:val="bottom"/>
            <w:tcBorders>
              <w:bottom w:val="single" w:sz="8" w:color="auto"/>
            </w:tcBorders>
            <w:gridSpan w:val="6"/>
          </w:tcPr>
          <w:p>
            <w:pPr>
              <w:ind w:left="1120"/>
              <w:spacing w:after="0"/>
              <w:rPr>
                <w:sz w:val="20"/>
                <w:szCs w:val="20"/>
                <w:color w:val="auto"/>
              </w:rPr>
            </w:pPr>
            <w:r>
              <w:rPr>
                <w:rFonts w:ascii="Arial" w:cs="Arial" w:eastAsia="Arial" w:hAnsi="Arial"/>
                <w:sz w:val="18"/>
                <w:szCs w:val="18"/>
                <w:b w:val="1"/>
                <w:bCs w:val="1"/>
                <w:color w:val="auto"/>
              </w:rPr>
              <w:t>As of September 30, 2021</w:t>
            </w:r>
          </w:p>
        </w:tc>
        <w:tc>
          <w:tcPr>
            <w:tcW w:w="1340" w:type="dxa"/>
            <w:vAlign w:val="bottom"/>
            <w:tcBorders>
              <w:bottom w:val="single" w:sz="8" w:color="auto"/>
            </w:tcBorders>
          </w:tcPr>
          <w:p>
            <w:pPr>
              <w:spacing w:after="0"/>
              <w:rPr>
                <w:sz w:val="20"/>
                <w:szCs w:val="20"/>
                <w:color w:val="auto"/>
              </w:rPr>
            </w:pPr>
          </w:p>
        </w:tc>
      </w:tr>
      <w:tr>
        <w:trPr>
          <w:trHeight w:val="191"/>
        </w:trPr>
        <w:tc>
          <w:tcPr>
            <w:tcW w:w="39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gridSpan w:val="2"/>
          </w:tcPr>
          <w:p>
            <w:pPr>
              <w:jc w:val="center"/>
              <w:ind w:right="100"/>
              <w:spacing w:after="0" w:line="191" w:lineRule="exact"/>
              <w:rPr>
                <w:sz w:val="20"/>
                <w:szCs w:val="20"/>
                <w:color w:val="auto"/>
              </w:rPr>
            </w:pPr>
            <w:r>
              <w:rPr>
                <w:rFonts w:ascii="Arial" w:cs="Arial" w:eastAsia="Arial" w:hAnsi="Arial"/>
                <w:sz w:val="18"/>
                <w:szCs w:val="18"/>
                <w:b w:val="1"/>
                <w:bCs w:val="1"/>
                <w:color w:val="auto"/>
                <w:w w:val="87"/>
              </w:rPr>
              <w:t>Leasehold</w:t>
            </w:r>
          </w:p>
        </w:tc>
        <w:tc>
          <w:tcPr>
            <w:tcW w:w="1340" w:type="dxa"/>
            <w:vAlign w:val="bottom"/>
          </w:tcPr>
          <w:p>
            <w:pPr>
              <w:spacing w:after="0"/>
              <w:rPr>
                <w:sz w:val="16"/>
                <w:szCs w:val="16"/>
                <w:color w:val="auto"/>
              </w:rPr>
            </w:pPr>
          </w:p>
        </w:tc>
      </w:tr>
      <w:tr>
        <w:trPr>
          <w:trHeight w:val="234"/>
        </w:trPr>
        <w:tc>
          <w:tcPr>
            <w:tcW w:w="4080" w:type="dxa"/>
            <w:vAlign w:val="bottom"/>
            <w:gridSpan w:val="2"/>
          </w:tcPr>
          <w:p>
            <w:pPr>
              <w:ind w:left="1280"/>
              <w:spacing w:after="0"/>
              <w:rPr>
                <w:sz w:val="20"/>
                <w:szCs w:val="20"/>
                <w:color w:val="auto"/>
              </w:rPr>
            </w:pPr>
            <w:r>
              <w:rPr>
                <w:rFonts w:ascii="Arial" w:cs="Arial" w:eastAsia="Arial" w:hAnsi="Arial"/>
                <w:sz w:val="18"/>
                <w:szCs w:val="18"/>
                <w:b w:val="1"/>
                <w:bCs w:val="1"/>
                <w:color w:val="auto"/>
              </w:rPr>
              <w:t>in CHF thousands</w:t>
            </w:r>
          </w:p>
        </w:tc>
        <w:tc>
          <w:tcPr>
            <w:tcW w:w="1480" w:type="dxa"/>
            <w:vAlign w:val="bottom"/>
            <w:gridSpan w:val="2"/>
          </w:tcPr>
          <w:p>
            <w:pPr>
              <w:ind w:left="300"/>
              <w:spacing w:after="0"/>
              <w:rPr>
                <w:sz w:val="20"/>
                <w:szCs w:val="20"/>
                <w:color w:val="auto"/>
              </w:rPr>
            </w:pPr>
            <w:r>
              <w:rPr>
                <w:rFonts w:ascii="Arial" w:cs="Arial" w:eastAsia="Arial" w:hAnsi="Arial"/>
                <w:sz w:val="18"/>
                <w:szCs w:val="18"/>
                <w:b w:val="1"/>
                <w:bCs w:val="1"/>
                <w:color w:val="auto"/>
              </w:rPr>
              <w:t>Furniture</w:t>
            </w:r>
          </w:p>
        </w:tc>
        <w:tc>
          <w:tcPr>
            <w:tcW w:w="1460" w:type="dxa"/>
            <w:vAlign w:val="bottom"/>
            <w:gridSpan w:val="2"/>
          </w:tcPr>
          <w:p>
            <w:pPr>
              <w:ind w:left="140"/>
              <w:spacing w:after="0"/>
              <w:rPr>
                <w:sz w:val="20"/>
                <w:szCs w:val="20"/>
                <w:color w:val="auto"/>
              </w:rPr>
            </w:pPr>
            <w:r>
              <w:rPr>
                <w:rFonts w:ascii="Arial" w:cs="Arial" w:eastAsia="Arial" w:hAnsi="Arial"/>
                <w:sz w:val="18"/>
                <w:szCs w:val="18"/>
                <w:b w:val="1"/>
                <w:bCs w:val="1"/>
                <w:color w:val="auto"/>
              </w:rPr>
              <w:t>IT Equipment</w:t>
            </w:r>
          </w:p>
        </w:tc>
        <w:tc>
          <w:tcPr>
            <w:tcW w:w="1440" w:type="dxa"/>
            <w:vAlign w:val="bottom"/>
            <w:gridSpan w:val="2"/>
          </w:tcPr>
          <w:p>
            <w:pPr>
              <w:ind w:left="60"/>
              <w:spacing w:after="0"/>
              <w:rPr>
                <w:sz w:val="20"/>
                <w:szCs w:val="20"/>
                <w:color w:val="auto"/>
              </w:rPr>
            </w:pPr>
            <w:r>
              <w:rPr>
                <w:rFonts w:ascii="Arial" w:cs="Arial" w:eastAsia="Arial" w:hAnsi="Arial"/>
                <w:sz w:val="18"/>
                <w:szCs w:val="18"/>
                <w:b w:val="1"/>
                <w:bCs w:val="1"/>
                <w:color w:val="auto"/>
              </w:rPr>
              <w:t>Lab Equipment</w:t>
            </w:r>
          </w:p>
        </w:tc>
        <w:tc>
          <w:tcPr>
            <w:tcW w:w="14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0"/>
              </w:rPr>
              <w:t>Improvements</w:t>
            </w:r>
          </w:p>
        </w:tc>
        <w:tc>
          <w:tcPr>
            <w:tcW w:w="1340" w:type="dxa"/>
            <w:vAlign w:val="bottom"/>
          </w:tcPr>
          <w:p>
            <w:pPr>
              <w:jc w:val="right"/>
              <w:ind w:right="390"/>
              <w:spacing w:after="0"/>
              <w:rPr>
                <w:sz w:val="20"/>
                <w:szCs w:val="20"/>
                <w:color w:val="auto"/>
              </w:rPr>
            </w:pPr>
            <w:r>
              <w:rPr>
                <w:rFonts w:ascii="Arial" w:cs="Arial" w:eastAsia="Arial" w:hAnsi="Arial"/>
                <w:sz w:val="18"/>
                <w:szCs w:val="18"/>
                <w:b w:val="1"/>
                <w:bCs w:val="1"/>
                <w:color w:val="auto"/>
              </w:rPr>
              <w:t>Total</w:t>
            </w:r>
          </w:p>
        </w:tc>
      </w:tr>
      <w:tr>
        <w:trPr>
          <w:trHeight w:val="210"/>
        </w:trPr>
        <w:tc>
          <w:tcPr>
            <w:tcW w:w="3940" w:type="dxa"/>
            <w:vAlign w:val="bottom"/>
            <w:tcBorders>
              <w:top w:val="single" w:sz="8" w:color="auto"/>
            </w:tcBorders>
            <w:shd w:val="clear" w:color="auto" w:fill="D5EAEA"/>
          </w:tcPr>
          <w:p>
            <w:pPr>
              <w:spacing w:after="0"/>
              <w:rPr>
                <w:sz w:val="20"/>
                <w:szCs w:val="20"/>
                <w:color w:val="auto"/>
              </w:rPr>
            </w:pPr>
            <w:r>
              <w:rPr>
                <w:rFonts w:ascii="Arial" w:cs="Arial" w:eastAsia="Arial" w:hAnsi="Arial"/>
                <w:sz w:val="18"/>
                <w:szCs w:val="18"/>
                <w:b w:val="1"/>
                <w:bCs w:val="1"/>
                <w:color w:val="auto"/>
              </w:rPr>
              <w:t>Acquisition Cost</w:t>
            </w:r>
          </w:p>
        </w:tc>
        <w:tc>
          <w:tcPr>
            <w:tcW w:w="140" w:type="dxa"/>
            <w:vAlign w:val="bottom"/>
            <w:tcBorders>
              <w:top w:val="single" w:sz="8" w:color="D5EAEA"/>
            </w:tcBorders>
            <w:shd w:val="clear" w:color="auto" w:fill="D5EAEA"/>
          </w:tcPr>
          <w:p>
            <w:pPr>
              <w:spacing w:after="0"/>
              <w:rPr>
                <w:sz w:val="18"/>
                <w:szCs w:val="18"/>
                <w:color w:val="auto"/>
              </w:rPr>
            </w:pPr>
          </w:p>
        </w:tc>
        <w:tc>
          <w:tcPr>
            <w:tcW w:w="1360" w:type="dxa"/>
            <w:vAlign w:val="bottom"/>
            <w:tcBorders>
              <w:top w:val="single" w:sz="8" w:color="auto"/>
            </w:tcBorders>
            <w:shd w:val="clear" w:color="auto" w:fill="D5EAEA"/>
          </w:tcPr>
          <w:p>
            <w:pPr>
              <w:spacing w:after="0"/>
              <w:rPr>
                <w:sz w:val="18"/>
                <w:szCs w:val="18"/>
                <w:color w:val="auto"/>
              </w:rPr>
            </w:pPr>
          </w:p>
        </w:tc>
        <w:tc>
          <w:tcPr>
            <w:tcW w:w="120" w:type="dxa"/>
            <w:vAlign w:val="bottom"/>
            <w:tcBorders>
              <w:top w:val="single" w:sz="8" w:color="D5EAEA"/>
            </w:tcBorders>
            <w:shd w:val="clear" w:color="auto" w:fill="D5EAEA"/>
          </w:tcPr>
          <w:p>
            <w:pPr>
              <w:spacing w:after="0"/>
              <w:rPr>
                <w:sz w:val="18"/>
                <w:szCs w:val="18"/>
                <w:color w:val="auto"/>
              </w:rPr>
            </w:pPr>
          </w:p>
        </w:tc>
        <w:tc>
          <w:tcPr>
            <w:tcW w:w="1340" w:type="dxa"/>
            <w:vAlign w:val="bottom"/>
            <w:tcBorders>
              <w:top w:val="single" w:sz="8" w:color="auto"/>
            </w:tcBorders>
            <w:shd w:val="clear" w:color="auto" w:fill="D5EAEA"/>
          </w:tcPr>
          <w:p>
            <w:pPr>
              <w:spacing w:after="0"/>
              <w:rPr>
                <w:sz w:val="18"/>
                <w:szCs w:val="18"/>
                <w:color w:val="auto"/>
              </w:rPr>
            </w:pPr>
          </w:p>
        </w:tc>
        <w:tc>
          <w:tcPr>
            <w:tcW w:w="120" w:type="dxa"/>
            <w:vAlign w:val="bottom"/>
            <w:tcBorders>
              <w:top w:val="single" w:sz="8" w:color="D5EAEA"/>
            </w:tcBorders>
            <w:shd w:val="clear" w:color="auto" w:fill="D5EAEA"/>
          </w:tcPr>
          <w:p>
            <w:pPr>
              <w:spacing w:after="0"/>
              <w:rPr>
                <w:sz w:val="18"/>
                <w:szCs w:val="18"/>
                <w:color w:val="auto"/>
              </w:rPr>
            </w:pPr>
          </w:p>
        </w:tc>
        <w:tc>
          <w:tcPr>
            <w:tcW w:w="1340" w:type="dxa"/>
            <w:vAlign w:val="bottom"/>
            <w:tcBorders>
              <w:top w:val="single" w:sz="8" w:color="auto"/>
            </w:tcBorders>
            <w:shd w:val="clear" w:color="auto" w:fill="D5EAEA"/>
          </w:tcPr>
          <w:p>
            <w:pPr>
              <w:spacing w:after="0"/>
              <w:rPr>
                <w:sz w:val="18"/>
                <w:szCs w:val="18"/>
                <w:color w:val="auto"/>
              </w:rPr>
            </w:pPr>
          </w:p>
        </w:tc>
        <w:tc>
          <w:tcPr>
            <w:tcW w:w="100" w:type="dxa"/>
            <w:vAlign w:val="bottom"/>
            <w:tcBorders>
              <w:top w:val="single" w:sz="8" w:color="D5EAEA"/>
            </w:tcBorders>
            <w:shd w:val="clear" w:color="auto" w:fill="D5EAEA"/>
          </w:tcPr>
          <w:p>
            <w:pPr>
              <w:spacing w:after="0"/>
              <w:rPr>
                <w:sz w:val="18"/>
                <w:szCs w:val="18"/>
                <w:color w:val="auto"/>
              </w:rPr>
            </w:pPr>
          </w:p>
        </w:tc>
        <w:tc>
          <w:tcPr>
            <w:tcW w:w="1340" w:type="dxa"/>
            <w:vAlign w:val="bottom"/>
            <w:tcBorders>
              <w:top w:val="single" w:sz="8" w:color="auto"/>
            </w:tcBorders>
            <w:shd w:val="clear" w:color="auto" w:fill="D5EAEA"/>
          </w:tcPr>
          <w:p>
            <w:pPr>
              <w:spacing w:after="0"/>
              <w:rPr>
                <w:sz w:val="18"/>
                <w:szCs w:val="18"/>
                <w:color w:val="auto"/>
              </w:rPr>
            </w:pPr>
          </w:p>
        </w:tc>
        <w:tc>
          <w:tcPr>
            <w:tcW w:w="100" w:type="dxa"/>
            <w:vAlign w:val="bottom"/>
            <w:tcBorders>
              <w:top w:val="single" w:sz="8" w:color="D5EAEA"/>
            </w:tcBorders>
            <w:shd w:val="clear" w:color="auto" w:fill="D5EAEA"/>
          </w:tcPr>
          <w:p>
            <w:pPr>
              <w:spacing w:after="0"/>
              <w:rPr>
                <w:sz w:val="18"/>
                <w:szCs w:val="18"/>
                <w:color w:val="auto"/>
              </w:rPr>
            </w:pPr>
          </w:p>
        </w:tc>
        <w:tc>
          <w:tcPr>
            <w:tcW w:w="1340" w:type="dxa"/>
            <w:vAlign w:val="bottom"/>
            <w:tcBorders>
              <w:top w:val="single" w:sz="8" w:color="auto"/>
            </w:tcBorders>
            <w:shd w:val="clear" w:color="auto" w:fill="D5EAEA"/>
          </w:tcPr>
          <w:p>
            <w:pPr>
              <w:spacing w:after="0"/>
              <w:rPr>
                <w:sz w:val="18"/>
                <w:szCs w:val="18"/>
                <w:color w:val="auto"/>
              </w:rPr>
            </w:pPr>
          </w:p>
        </w:tc>
      </w:tr>
      <w:tr>
        <w:trPr>
          <w:trHeight w:val="216"/>
        </w:trPr>
        <w:tc>
          <w:tcPr>
            <w:tcW w:w="4080" w:type="dxa"/>
            <w:vAlign w:val="bottom"/>
            <w:gridSpan w:val="2"/>
          </w:tcPr>
          <w:p>
            <w:pPr>
              <w:spacing w:after="0"/>
              <w:rPr>
                <w:sz w:val="20"/>
                <w:szCs w:val="20"/>
                <w:color w:val="auto"/>
              </w:rPr>
            </w:pPr>
            <w:r>
              <w:rPr>
                <w:rFonts w:ascii="Arial" w:cs="Arial" w:eastAsia="Arial" w:hAnsi="Arial"/>
                <w:sz w:val="18"/>
                <w:szCs w:val="18"/>
                <w:b w:val="1"/>
                <w:bCs w:val="1"/>
                <w:color w:val="auto"/>
              </w:rPr>
              <w:t>Balance at December 31, 2020</w:t>
            </w: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214</w:t>
            </w:r>
          </w:p>
        </w:tc>
        <w:tc>
          <w:tcPr>
            <w:tcW w:w="120" w:type="dxa"/>
            <w:vAlign w:val="bottom"/>
          </w:tcPr>
          <w:p>
            <w:pPr>
              <w:spacing w:after="0"/>
              <w:rPr>
                <w:sz w:val="18"/>
                <w:szCs w:val="18"/>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1,497</w:t>
            </w:r>
          </w:p>
        </w:tc>
        <w:tc>
          <w:tcPr>
            <w:tcW w:w="120" w:type="dxa"/>
            <w:vAlign w:val="bottom"/>
          </w:tcPr>
          <w:p>
            <w:pPr>
              <w:spacing w:after="0"/>
              <w:rPr>
                <w:sz w:val="18"/>
                <w:szCs w:val="18"/>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7,958</w:t>
            </w:r>
          </w:p>
        </w:tc>
        <w:tc>
          <w:tcPr>
            <w:tcW w:w="100" w:type="dxa"/>
            <w:vAlign w:val="bottom"/>
          </w:tcPr>
          <w:p>
            <w:pPr>
              <w:spacing w:after="0"/>
              <w:rPr>
                <w:sz w:val="18"/>
                <w:szCs w:val="18"/>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464</w:t>
            </w:r>
          </w:p>
        </w:tc>
        <w:tc>
          <w:tcPr>
            <w:tcW w:w="100" w:type="dxa"/>
            <w:vAlign w:val="bottom"/>
          </w:tcPr>
          <w:p>
            <w:pPr>
              <w:spacing w:after="0"/>
              <w:rPr>
                <w:sz w:val="18"/>
                <w:szCs w:val="18"/>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10,133</w:t>
            </w:r>
          </w:p>
        </w:tc>
      </w:tr>
      <w:tr>
        <w:trPr>
          <w:trHeight w:val="216"/>
        </w:trPr>
        <w:tc>
          <w:tcPr>
            <w:tcW w:w="4080" w:type="dxa"/>
            <w:vAlign w:val="bottom"/>
            <w:gridSpan w:val="2"/>
            <w:shd w:val="clear" w:color="auto" w:fill="D5EAEA"/>
          </w:tcPr>
          <w:p>
            <w:pPr>
              <w:spacing w:after="0"/>
              <w:rPr>
                <w:sz w:val="20"/>
                <w:szCs w:val="20"/>
                <w:color w:val="auto"/>
              </w:rPr>
            </w:pPr>
            <w:r>
              <w:rPr>
                <w:rFonts w:ascii="Arial" w:cs="Arial" w:eastAsia="Arial" w:hAnsi="Arial"/>
                <w:sz w:val="18"/>
                <w:szCs w:val="18"/>
                <w:color w:val="auto"/>
              </w:rPr>
              <w:t>Acquisitions</w:t>
            </w:r>
          </w:p>
        </w:tc>
        <w:tc>
          <w:tcPr>
            <w:tcW w:w="1360" w:type="dxa"/>
            <w:vAlign w:val="bottom"/>
            <w:shd w:val="clear" w:color="auto" w:fill="D5EAEA"/>
          </w:tcPr>
          <w:p>
            <w:pPr>
              <w:jc w:val="right"/>
              <w:ind w:right="30"/>
              <w:spacing w:after="0"/>
              <w:rPr>
                <w:sz w:val="20"/>
                <w:szCs w:val="20"/>
                <w:color w:val="auto"/>
              </w:rPr>
            </w:pPr>
            <w:r>
              <w:rPr>
                <w:rFonts w:ascii="Arial" w:cs="Arial" w:eastAsia="Arial" w:hAnsi="Arial"/>
                <w:sz w:val="18"/>
                <w:szCs w:val="18"/>
                <w:color w:val="auto"/>
              </w:rPr>
              <w:t>47</w:t>
            </w:r>
          </w:p>
        </w:tc>
        <w:tc>
          <w:tcPr>
            <w:tcW w:w="120" w:type="dxa"/>
            <w:vAlign w:val="bottom"/>
            <w:shd w:val="clear" w:color="auto" w:fill="D5EAEA"/>
          </w:tcPr>
          <w:p>
            <w:pPr>
              <w:spacing w:after="0"/>
              <w:rPr>
                <w:sz w:val="18"/>
                <w:szCs w:val="18"/>
                <w:color w:val="auto"/>
              </w:rPr>
            </w:pPr>
          </w:p>
        </w:tc>
        <w:tc>
          <w:tcPr>
            <w:tcW w:w="134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220</w:t>
            </w:r>
          </w:p>
        </w:tc>
        <w:tc>
          <w:tcPr>
            <w:tcW w:w="120" w:type="dxa"/>
            <w:vAlign w:val="bottom"/>
            <w:shd w:val="clear" w:color="auto" w:fill="D5EAEA"/>
          </w:tcPr>
          <w:p>
            <w:pPr>
              <w:spacing w:after="0"/>
              <w:rPr>
                <w:sz w:val="18"/>
                <w:szCs w:val="18"/>
                <w:color w:val="auto"/>
              </w:rPr>
            </w:pPr>
          </w:p>
        </w:tc>
        <w:tc>
          <w:tcPr>
            <w:tcW w:w="1340" w:type="dxa"/>
            <w:vAlign w:val="bottom"/>
            <w:shd w:val="clear" w:color="auto" w:fill="D5EAEA"/>
          </w:tcPr>
          <w:p>
            <w:pPr>
              <w:jc w:val="right"/>
              <w:ind w:right="30"/>
              <w:spacing w:after="0"/>
              <w:rPr>
                <w:sz w:val="20"/>
                <w:szCs w:val="20"/>
                <w:color w:val="auto"/>
              </w:rPr>
            </w:pPr>
            <w:r>
              <w:rPr>
                <w:rFonts w:ascii="Arial" w:cs="Arial" w:eastAsia="Arial" w:hAnsi="Arial"/>
                <w:sz w:val="18"/>
                <w:szCs w:val="18"/>
                <w:color w:val="auto"/>
              </w:rPr>
              <w:t>1,502</w:t>
            </w:r>
          </w:p>
        </w:tc>
        <w:tc>
          <w:tcPr>
            <w:tcW w:w="100" w:type="dxa"/>
            <w:vAlign w:val="bottom"/>
            <w:shd w:val="clear" w:color="auto" w:fill="D5EAEA"/>
          </w:tcPr>
          <w:p>
            <w:pPr>
              <w:spacing w:after="0"/>
              <w:rPr>
                <w:sz w:val="18"/>
                <w:szCs w:val="18"/>
                <w:color w:val="auto"/>
              </w:rPr>
            </w:pPr>
          </w:p>
        </w:tc>
        <w:tc>
          <w:tcPr>
            <w:tcW w:w="1340" w:type="dxa"/>
            <w:vAlign w:val="bottom"/>
            <w:shd w:val="clear" w:color="auto" w:fill="D5EAEA"/>
          </w:tcPr>
          <w:p>
            <w:pPr>
              <w:jc w:val="right"/>
              <w:ind w:right="30"/>
              <w:spacing w:after="0"/>
              <w:rPr>
                <w:sz w:val="20"/>
                <w:szCs w:val="20"/>
                <w:color w:val="auto"/>
              </w:rPr>
            </w:pPr>
            <w:r>
              <w:rPr>
                <w:rFonts w:ascii="Arial" w:cs="Arial" w:eastAsia="Arial" w:hAnsi="Arial"/>
                <w:sz w:val="18"/>
                <w:szCs w:val="18"/>
                <w:color w:val="auto"/>
              </w:rPr>
              <w:t>280</w:t>
            </w:r>
          </w:p>
        </w:tc>
        <w:tc>
          <w:tcPr>
            <w:tcW w:w="100" w:type="dxa"/>
            <w:vAlign w:val="bottom"/>
            <w:shd w:val="clear" w:color="auto" w:fill="D5EAEA"/>
          </w:tcPr>
          <w:p>
            <w:pPr>
              <w:spacing w:after="0"/>
              <w:rPr>
                <w:sz w:val="18"/>
                <w:szCs w:val="18"/>
                <w:color w:val="auto"/>
              </w:rPr>
            </w:pPr>
          </w:p>
        </w:tc>
        <w:tc>
          <w:tcPr>
            <w:tcW w:w="134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2,049</w:t>
            </w:r>
          </w:p>
        </w:tc>
      </w:tr>
      <w:tr>
        <w:trPr>
          <w:trHeight w:val="229"/>
        </w:trPr>
        <w:tc>
          <w:tcPr>
            <w:tcW w:w="4080" w:type="dxa"/>
            <w:vAlign w:val="bottom"/>
            <w:gridSpan w:val="2"/>
          </w:tcPr>
          <w:p>
            <w:pPr>
              <w:spacing w:after="0"/>
              <w:rPr>
                <w:sz w:val="20"/>
                <w:szCs w:val="20"/>
                <w:color w:val="auto"/>
              </w:rPr>
            </w:pPr>
            <w:r>
              <w:rPr>
                <w:rFonts w:ascii="Arial" w:cs="Arial" w:eastAsia="Arial" w:hAnsi="Arial"/>
                <w:sz w:val="18"/>
                <w:szCs w:val="18"/>
                <w:color w:val="auto"/>
              </w:rPr>
              <w:t>Disposals</w:t>
            </w:r>
          </w:p>
        </w:tc>
        <w:tc>
          <w:tcPr>
            <w:tcW w:w="14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19"/>
                <w:szCs w:val="19"/>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23"/>
        </w:trPr>
        <w:tc>
          <w:tcPr>
            <w:tcW w:w="4080" w:type="dxa"/>
            <w:vAlign w:val="bottom"/>
            <w:tcBorders>
              <w:top w:val="single" w:sz="8" w:color="D5EAEA"/>
              <w:bottom w:val="single" w:sz="8" w:color="D5EAEA"/>
            </w:tcBorders>
            <w:gridSpan w:val="2"/>
            <w:shd w:val="clear" w:color="auto" w:fill="D5EAEA"/>
          </w:tcPr>
          <w:p>
            <w:pPr>
              <w:spacing w:after="0"/>
              <w:rPr>
                <w:sz w:val="20"/>
                <w:szCs w:val="20"/>
                <w:color w:val="auto"/>
              </w:rPr>
            </w:pPr>
            <w:r>
              <w:rPr>
                <w:rFonts w:ascii="Arial" w:cs="Arial" w:eastAsia="Arial" w:hAnsi="Arial"/>
                <w:sz w:val="18"/>
                <w:szCs w:val="18"/>
                <w:b w:val="1"/>
                <w:bCs w:val="1"/>
                <w:color w:val="auto"/>
              </w:rPr>
              <w:t>Balance at September 30, 2021</w:t>
            </w:r>
          </w:p>
        </w:tc>
        <w:tc>
          <w:tcPr>
            <w:tcW w:w="1360" w:type="dxa"/>
            <w:vAlign w:val="bottom"/>
            <w:tcBorders>
              <w:top w:val="single" w:sz="8" w:color="auto"/>
              <w:bottom w:val="single" w:sz="8" w:color="auto"/>
            </w:tcBorders>
            <w:shd w:val="clear" w:color="auto" w:fill="D5EAEA"/>
          </w:tcPr>
          <w:p>
            <w:pPr>
              <w:jc w:val="right"/>
              <w:ind w:right="30"/>
              <w:spacing w:after="0"/>
              <w:rPr>
                <w:sz w:val="20"/>
                <w:szCs w:val="20"/>
                <w:color w:val="auto"/>
              </w:rPr>
            </w:pPr>
            <w:r>
              <w:rPr>
                <w:rFonts w:ascii="Arial" w:cs="Arial" w:eastAsia="Arial" w:hAnsi="Arial"/>
                <w:sz w:val="18"/>
                <w:szCs w:val="18"/>
                <w:color w:val="auto"/>
              </w:rPr>
              <w:t>261</w:t>
            </w:r>
          </w:p>
        </w:tc>
        <w:tc>
          <w:tcPr>
            <w:tcW w:w="120" w:type="dxa"/>
            <w:vAlign w:val="bottom"/>
            <w:tcBorders>
              <w:top w:val="single" w:sz="8" w:color="D5EAEA"/>
              <w:bottom w:val="single" w:sz="8" w:color="D5EAEA"/>
            </w:tcBorders>
            <w:shd w:val="clear" w:color="auto" w:fill="D5EAEA"/>
          </w:tcPr>
          <w:p>
            <w:pPr>
              <w:spacing w:after="0"/>
              <w:rPr>
                <w:sz w:val="19"/>
                <w:szCs w:val="19"/>
                <w:color w:val="auto"/>
              </w:rPr>
            </w:pPr>
          </w:p>
        </w:tc>
        <w:tc>
          <w:tcPr>
            <w:tcW w:w="1340" w:type="dxa"/>
            <w:vAlign w:val="bottom"/>
            <w:tcBorders>
              <w:top w:val="single" w:sz="8" w:color="auto"/>
              <w:bottom w:val="single" w:sz="8" w:color="auto"/>
            </w:tcBorders>
            <w:shd w:val="clear" w:color="auto" w:fill="D5EAEA"/>
          </w:tcPr>
          <w:p>
            <w:pPr>
              <w:jc w:val="right"/>
              <w:ind w:right="10"/>
              <w:spacing w:after="0"/>
              <w:rPr>
                <w:sz w:val="20"/>
                <w:szCs w:val="20"/>
                <w:color w:val="auto"/>
              </w:rPr>
            </w:pPr>
            <w:r>
              <w:rPr>
                <w:rFonts w:ascii="Arial" w:cs="Arial" w:eastAsia="Arial" w:hAnsi="Arial"/>
                <w:sz w:val="18"/>
                <w:szCs w:val="18"/>
                <w:color w:val="auto"/>
              </w:rPr>
              <w:t>1,717</w:t>
            </w:r>
          </w:p>
        </w:tc>
        <w:tc>
          <w:tcPr>
            <w:tcW w:w="120" w:type="dxa"/>
            <w:vAlign w:val="bottom"/>
            <w:tcBorders>
              <w:top w:val="single" w:sz="8" w:color="D5EAEA"/>
              <w:bottom w:val="single" w:sz="8" w:color="D5EAEA"/>
            </w:tcBorders>
            <w:shd w:val="clear" w:color="auto" w:fill="D5EAEA"/>
          </w:tcPr>
          <w:p>
            <w:pPr>
              <w:spacing w:after="0"/>
              <w:rPr>
                <w:sz w:val="19"/>
                <w:szCs w:val="19"/>
                <w:color w:val="auto"/>
              </w:rPr>
            </w:pPr>
          </w:p>
        </w:tc>
        <w:tc>
          <w:tcPr>
            <w:tcW w:w="1340" w:type="dxa"/>
            <w:vAlign w:val="bottom"/>
            <w:tcBorders>
              <w:top w:val="single" w:sz="8" w:color="auto"/>
              <w:bottom w:val="single" w:sz="8" w:color="auto"/>
            </w:tcBorders>
            <w:shd w:val="clear" w:color="auto" w:fill="D5EAEA"/>
          </w:tcPr>
          <w:p>
            <w:pPr>
              <w:jc w:val="right"/>
              <w:ind w:right="30"/>
              <w:spacing w:after="0"/>
              <w:rPr>
                <w:sz w:val="20"/>
                <w:szCs w:val="20"/>
                <w:color w:val="auto"/>
              </w:rPr>
            </w:pPr>
            <w:r>
              <w:rPr>
                <w:rFonts w:ascii="Arial" w:cs="Arial" w:eastAsia="Arial" w:hAnsi="Arial"/>
                <w:sz w:val="18"/>
                <w:szCs w:val="18"/>
                <w:color w:val="auto"/>
              </w:rPr>
              <w:t>9,444</w:t>
            </w:r>
          </w:p>
        </w:tc>
        <w:tc>
          <w:tcPr>
            <w:tcW w:w="100" w:type="dxa"/>
            <w:vAlign w:val="bottom"/>
            <w:tcBorders>
              <w:top w:val="single" w:sz="8" w:color="D5EAEA"/>
              <w:bottom w:val="single" w:sz="8" w:color="D5EAEA"/>
            </w:tcBorders>
            <w:shd w:val="clear" w:color="auto" w:fill="D5EAEA"/>
          </w:tcPr>
          <w:p>
            <w:pPr>
              <w:spacing w:after="0"/>
              <w:rPr>
                <w:sz w:val="19"/>
                <w:szCs w:val="19"/>
                <w:color w:val="auto"/>
              </w:rPr>
            </w:pPr>
          </w:p>
        </w:tc>
        <w:tc>
          <w:tcPr>
            <w:tcW w:w="1340" w:type="dxa"/>
            <w:vAlign w:val="bottom"/>
            <w:tcBorders>
              <w:top w:val="single" w:sz="8" w:color="auto"/>
              <w:bottom w:val="single" w:sz="8" w:color="auto"/>
            </w:tcBorders>
            <w:shd w:val="clear" w:color="auto" w:fill="D5EAEA"/>
          </w:tcPr>
          <w:p>
            <w:pPr>
              <w:jc w:val="right"/>
              <w:ind w:right="30"/>
              <w:spacing w:after="0"/>
              <w:rPr>
                <w:sz w:val="20"/>
                <w:szCs w:val="20"/>
                <w:color w:val="auto"/>
              </w:rPr>
            </w:pPr>
            <w:r>
              <w:rPr>
                <w:rFonts w:ascii="Arial" w:cs="Arial" w:eastAsia="Arial" w:hAnsi="Arial"/>
                <w:sz w:val="18"/>
                <w:szCs w:val="18"/>
                <w:color w:val="auto"/>
              </w:rPr>
              <w:t>744</w:t>
            </w:r>
          </w:p>
        </w:tc>
        <w:tc>
          <w:tcPr>
            <w:tcW w:w="100" w:type="dxa"/>
            <w:vAlign w:val="bottom"/>
            <w:tcBorders>
              <w:top w:val="single" w:sz="8" w:color="D5EAEA"/>
              <w:bottom w:val="single" w:sz="8" w:color="D5EAEA"/>
            </w:tcBorders>
            <w:shd w:val="clear" w:color="auto" w:fill="D5EAEA"/>
          </w:tcPr>
          <w:p>
            <w:pPr>
              <w:spacing w:after="0"/>
              <w:rPr>
                <w:sz w:val="19"/>
                <w:szCs w:val="19"/>
                <w:color w:val="auto"/>
              </w:rPr>
            </w:pPr>
          </w:p>
        </w:tc>
        <w:tc>
          <w:tcPr>
            <w:tcW w:w="1340" w:type="dxa"/>
            <w:vAlign w:val="bottom"/>
            <w:tcBorders>
              <w:top w:val="single" w:sz="8" w:color="auto"/>
              <w:bottom w:val="single" w:sz="8" w:color="auto"/>
            </w:tcBorders>
            <w:shd w:val="clear" w:color="auto" w:fill="D5EAEA"/>
          </w:tcPr>
          <w:p>
            <w:pPr>
              <w:jc w:val="right"/>
              <w:ind w:right="10"/>
              <w:spacing w:after="0"/>
              <w:rPr>
                <w:sz w:val="20"/>
                <w:szCs w:val="20"/>
                <w:color w:val="auto"/>
              </w:rPr>
            </w:pPr>
            <w:r>
              <w:rPr>
                <w:rFonts w:ascii="Arial" w:cs="Arial" w:eastAsia="Arial" w:hAnsi="Arial"/>
                <w:sz w:val="18"/>
                <w:szCs w:val="18"/>
                <w:color w:val="auto"/>
              </w:rPr>
              <w:t>12,166</w:t>
            </w:r>
          </w:p>
        </w:tc>
      </w:tr>
      <w:tr>
        <w:trPr>
          <w:trHeight w:val="20"/>
        </w:trPr>
        <w:tc>
          <w:tcPr>
            <w:tcW w:w="39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r>
        <w:trPr>
          <w:trHeight w:val="196"/>
        </w:trPr>
        <w:tc>
          <w:tcPr>
            <w:tcW w:w="3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tcPr>
          <w:p>
            <w:pPr>
              <w:spacing w:after="0"/>
              <w:rPr>
                <w:sz w:val="17"/>
                <w:szCs w:val="17"/>
                <w:color w:val="auto"/>
              </w:rPr>
            </w:pPr>
          </w:p>
        </w:tc>
      </w:tr>
      <w:tr>
        <w:trPr>
          <w:trHeight w:val="216"/>
        </w:trPr>
        <w:tc>
          <w:tcPr>
            <w:tcW w:w="4080" w:type="dxa"/>
            <w:vAlign w:val="bottom"/>
            <w:gridSpan w:val="2"/>
            <w:shd w:val="clear" w:color="auto" w:fill="D5EAEA"/>
          </w:tcPr>
          <w:p>
            <w:pPr>
              <w:spacing w:after="0"/>
              <w:rPr>
                <w:sz w:val="20"/>
                <w:szCs w:val="20"/>
                <w:color w:val="auto"/>
              </w:rPr>
            </w:pPr>
            <w:r>
              <w:rPr>
                <w:rFonts w:ascii="Arial" w:cs="Arial" w:eastAsia="Arial" w:hAnsi="Arial"/>
                <w:sz w:val="18"/>
                <w:szCs w:val="18"/>
                <w:b w:val="1"/>
                <w:bCs w:val="1"/>
                <w:color w:val="auto"/>
              </w:rPr>
              <w:t>Accumulated depreciation</w:t>
            </w:r>
          </w:p>
        </w:tc>
        <w:tc>
          <w:tcPr>
            <w:tcW w:w="1360" w:type="dxa"/>
            <w:vAlign w:val="bottom"/>
            <w:shd w:val="clear" w:color="auto" w:fill="D5EAEA"/>
          </w:tcPr>
          <w:p>
            <w:pPr>
              <w:spacing w:after="0"/>
              <w:rPr>
                <w:sz w:val="18"/>
                <w:szCs w:val="18"/>
                <w:color w:val="auto"/>
              </w:rPr>
            </w:pPr>
          </w:p>
        </w:tc>
        <w:tc>
          <w:tcPr>
            <w:tcW w:w="120" w:type="dxa"/>
            <w:vAlign w:val="bottom"/>
            <w:shd w:val="clear" w:color="auto" w:fill="D5EAEA"/>
          </w:tcPr>
          <w:p>
            <w:pPr>
              <w:spacing w:after="0"/>
              <w:rPr>
                <w:sz w:val="18"/>
                <w:szCs w:val="18"/>
                <w:color w:val="auto"/>
              </w:rPr>
            </w:pPr>
          </w:p>
        </w:tc>
        <w:tc>
          <w:tcPr>
            <w:tcW w:w="1340" w:type="dxa"/>
            <w:vAlign w:val="bottom"/>
            <w:shd w:val="clear" w:color="auto" w:fill="D5EAEA"/>
          </w:tcPr>
          <w:p>
            <w:pPr>
              <w:spacing w:after="0"/>
              <w:rPr>
                <w:sz w:val="18"/>
                <w:szCs w:val="18"/>
                <w:color w:val="auto"/>
              </w:rPr>
            </w:pPr>
          </w:p>
        </w:tc>
        <w:tc>
          <w:tcPr>
            <w:tcW w:w="120" w:type="dxa"/>
            <w:vAlign w:val="bottom"/>
            <w:shd w:val="clear" w:color="auto" w:fill="D5EAEA"/>
          </w:tcPr>
          <w:p>
            <w:pPr>
              <w:spacing w:after="0"/>
              <w:rPr>
                <w:sz w:val="18"/>
                <w:szCs w:val="18"/>
                <w:color w:val="auto"/>
              </w:rPr>
            </w:pPr>
          </w:p>
        </w:tc>
        <w:tc>
          <w:tcPr>
            <w:tcW w:w="1340" w:type="dxa"/>
            <w:vAlign w:val="bottom"/>
            <w:shd w:val="clear" w:color="auto" w:fill="D5EAEA"/>
          </w:tcPr>
          <w:p>
            <w:pPr>
              <w:spacing w:after="0"/>
              <w:rPr>
                <w:sz w:val="18"/>
                <w:szCs w:val="18"/>
                <w:color w:val="auto"/>
              </w:rPr>
            </w:pPr>
          </w:p>
        </w:tc>
        <w:tc>
          <w:tcPr>
            <w:tcW w:w="100" w:type="dxa"/>
            <w:vAlign w:val="bottom"/>
            <w:shd w:val="clear" w:color="auto" w:fill="D5EAEA"/>
          </w:tcPr>
          <w:p>
            <w:pPr>
              <w:spacing w:after="0"/>
              <w:rPr>
                <w:sz w:val="18"/>
                <w:szCs w:val="18"/>
                <w:color w:val="auto"/>
              </w:rPr>
            </w:pPr>
          </w:p>
        </w:tc>
        <w:tc>
          <w:tcPr>
            <w:tcW w:w="1340" w:type="dxa"/>
            <w:vAlign w:val="bottom"/>
            <w:shd w:val="clear" w:color="auto" w:fill="D5EAEA"/>
          </w:tcPr>
          <w:p>
            <w:pPr>
              <w:spacing w:after="0"/>
              <w:rPr>
                <w:sz w:val="18"/>
                <w:szCs w:val="18"/>
                <w:color w:val="auto"/>
              </w:rPr>
            </w:pPr>
          </w:p>
        </w:tc>
        <w:tc>
          <w:tcPr>
            <w:tcW w:w="100" w:type="dxa"/>
            <w:vAlign w:val="bottom"/>
            <w:shd w:val="clear" w:color="auto" w:fill="D5EAEA"/>
          </w:tcPr>
          <w:p>
            <w:pPr>
              <w:spacing w:after="0"/>
              <w:rPr>
                <w:sz w:val="18"/>
                <w:szCs w:val="18"/>
                <w:color w:val="auto"/>
              </w:rPr>
            </w:pPr>
          </w:p>
        </w:tc>
        <w:tc>
          <w:tcPr>
            <w:tcW w:w="1340" w:type="dxa"/>
            <w:vAlign w:val="bottom"/>
            <w:shd w:val="clear" w:color="auto" w:fill="D5EAEA"/>
          </w:tcPr>
          <w:p>
            <w:pPr>
              <w:spacing w:after="0"/>
              <w:rPr>
                <w:sz w:val="18"/>
                <w:szCs w:val="18"/>
                <w:color w:val="auto"/>
              </w:rPr>
            </w:pPr>
          </w:p>
        </w:tc>
      </w:tr>
      <w:tr>
        <w:trPr>
          <w:trHeight w:val="216"/>
        </w:trPr>
        <w:tc>
          <w:tcPr>
            <w:tcW w:w="4080" w:type="dxa"/>
            <w:vAlign w:val="bottom"/>
            <w:gridSpan w:val="2"/>
          </w:tcPr>
          <w:p>
            <w:pPr>
              <w:spacing w:after="0"/>
              <w:rPr>
                <w:sz w:val="20"/>
                <w:szCs w:val="20"/>
                <w:color w:val="auto"/>
              </w:rPr>
            </w:pPr>
            <w:r>
              <w:rPr>
                <w:rFonts w:ascii="Arial" w:cs="Arial" w:eastAsia="Arial" w:hAnsi="Arial"/>
                <w:sz w:val="18"/>
                <w:szCs w:val="18"/>
                <w:b w:val="1"/>
                <w:bCs w:val="1"/>
                <w:color w:val="auto"/>
              </w:rPr>
              <w:t>Balance at December 31, 2020</w:t>
            </w:r>
          </w:p>
        </w:tc>
        <w:tc>
          <w:tcPr>
            <w:tcW w:w="1360" w:type="dxa"/>
            <w:vAlign w:val="bottom"/>
          </w:tcPr>
          <w:p>
            <w:pPr>
              <w:jc w:val="right"/>
              <w:spacing w:after="0"/>
              <w:rPr>
                <w:sz w:val="20"/>
                <w:szCs w:val="20"/>
                <w:color w:val="auto"/>
              </w:rPr>
            </w:pPr>
            <w:r>
              <w:rPr>
                <w:rFonts w:ascii="Arial" w:cs="Arial" w:eastAsia="Arial" w:hAnsi="Arial"/>
                <w:sz w:val="18"/>
                <w:szCs w:val="18"/>
                <w:color w:val="auto"/>
              </w:rPr>
              <w:t>(61)</w:t>
            </w:r>
          </w:p>
        </w:tc>
        <w:tc>
          <w:tcPr>
            <w:tcW w:w="1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(970)</w:t>
            </w:r>
          </w:p>
        </w:tc>
        <w:tc>
          <w:tcPr>
            <w:tcW w:w="1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(4,405)</w:t>
            </w:r>
          </w:p>
        </w:tc>
        <w:tc>
          <w:tcPr>
            <w:tcW w:w="1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(281)</w:t>
            </w:r>
          </w:p>
        </w:tc>
        <w:tc>
          <w:tcPr>
            <w:tcW w:w="1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(5,717)</w:t>
            </w:r>
          </w:p>
        </w:tc>
      </w:tr>
      <w:tr>
        <w:trPr>
          <w:trHeight w:val="216"/>
        </w:trPr>
        <w:tc>
          <w:tcPr>
            <w:tcW w:w="4080" w:type="dxa"/>
            <w:vAlign w:val="bottom"/>
            <w:gridSpan w:val="2"/>
            <w:shd w:val="clear" w:color="auto" w:fill="D5EAEA"/>
          </w:tcPr>
          <w:p>
            <w:pPr>
              <w:spacing w:after="0"/>
              <w:rPr>
                <w:sz w:val="20"/>
                <w:szCs w:val="20"/>
                <w:color w:val="auto"/>
              </w:rPr>
            </w:pPr>
            <w:r>
              <w:rPr>
                <w:rFonts w:ascii="Arial" w:cs="Arial" w:eastAsia="Arial" w:hAnsi="Arial"/>
                <w:sz w:val="18"/>
                <w:szCs w:val="18"/>
                <w:color w:val="auto"/>
              </w:rPr>
              <w:t>Depreciation expense</w:t>
            </w:r>
          </w:p>
        </w:tc>
        <w:tc>
          <w:tcPr>
            <w:tcW w:w="1360" w:type="dxa"/>
            <w:vAlign w:val="bottom"/>
            <w:shd w:val="clear" w:color="auto" w:fill="D5EAEA"/>
          </w:tcPr>
          <w:p>
            <w:pPr>
              <w:jc w:val="right"/>
              <w:spacing w:after="0"/>
              <w:rPr>
                <w:sz w:val="20"/>
                <w:szCs w:val="20"/>
                <w:color w:val="auto"/>
              </w:rPr>
            </w:pPr>
            <w:r>
              <w:rPr>
                <w:rFonts w:ascii="Arial" w:cs="Arial" w:eastAsia="Arial" w:hAnsi="Arial"/>
                <w:sz w:val="18"/>
                <w:szCs w:val="18"/>
                <w:color w:val="auto"/>
              </w:rPr>
              <w:t>(33)</w:t>
            </w:r>
          </w:p>
        </w:tc>
        <w:tc>
          <w:tcPr>
            <w:tcW w:w="120" w:type="dxa"/>
            <w:vAlign w:val="bottom"/>
            <w:shd w:val="clear" w:color="auto" w:fill="D5EAEA"/>
          </w:tcPr>
          <w:p>
            <w:pPr>
              <w:spacing w:after="0"/>
              <w:rPr>
                <w:sz w:val="18"/>
                <w:szCs w:val="18"/>
                <w:color w:val="auto"/>
              </w:rPr>
            </w:pPr>
          </w:p>
        </w:tc>
        <w:tc>
          <w:tcPr>
            <w:tcW w:w="1340" w:type="dxa"/>
            <w:vAlign w:val="bottom"/>
            <w:shd w:val="clear" w:color="auto" w:fill="D5EAEA"/>
          </w:tcPr>
          <w:p>
            <w:pPr>
              <w:jc w:val="right"/>
              <w:spacing w:after="0"/>
              <w:rPr>
                <w:sz w:val="20"/>
                <w:szCs w:val="20"/>
                <w:color w:val="auto"/>
              </w:rPr>
            </w:pPr>
            <w:r>
              <w:rPr>
                <w:rFonts w:ascii="Arial" w:cs="Arial" w:eastAsia="Arial" w:hAnsi="Arial"/>
                <w:sz w:val="18"/>
                <w:szCs w:val="18"/>
                <w:color w:val="auto"/>
              </w:rPr>
              <w:t>(265)</w:t>
            </w:r>
          </w:p>
        </w:tc>
        <w:tc>
          <w:tcPr>
            <w:tcW w:w="120" w:type="dxa"/>
            <w:vAlign w:val="bottom"/>
            <w:shd w:val="clear" w:color="auto" w:fill="D5EAEA"/>
          </w:tcPr>
          <w:p>
            <w:pPr>
              <w:spacing w:after="0"/>
              <w:rPr>
                <w:sz w:val="18"/>
                <w:szCs w:val="18"/>
                <w:color w:val="auto"/>
              </w:rPr>
            </w:pPr>
          </w:p>
        </w:tc>
        <w:tc>
          <w:tcPr>
            <w:tcW w:w="1340" w:type="dxa"/>
            <w:vAlign w:val="bottom"/>
            <w:shd w:val="clear" w:color="auto" w:fill="D5EAEA"/>
          </w:tcPr>
          <w:p>
            <w:pPr>
              <w:jc w:val="right"/>
              <w:spacing w:after="0"/>
              <w:rPr>
                <w:sz w:val="20"/>
                <w:szCs w:val="20"/>
                <w:color w:val="auto"/>
              </w:rPr>
            </w:pPr>
            <w:r>
              <w:rPr>
                <w:rFonts w:ascii="Arial" w:cs="Arial" w:eastAsia="Arial" w:hAnsi="Arial"/>
                <w:sz w:val="18"/>
                <w:szCs w:val="18"/>
                <w:color w:val="auto"/>
              </w:rPr>
              <w:t>(1,039)</w:t>
            </w:r>
          </w:p>
        </w:tc>
        <w:tc>
          <w:tcPr>
            <w:tcW w:w="100" w:type="dxa"/>
            <w:vAlign w:val="bottom"/>
            <w:shd w:val="clear" w:color="auto" w:fill="D5EAEA"/>
          </w:tcPr>
          <w:p>
            <w:pPr>
              <w:spacing w:after="0"/>
              <w:rPr>
                <w:sz w:val="18"/>
                <w:szCs w:val="18"/>
                <w:color w:val="auto"/>
              </w:rPr>
            </w:pPr>
          </w:p>
        </w:tc>
        <w:tc>
          <w:tcPr>
            <w:tcW w:w="1340" w:type="dxa"/>
            <w:vAlign w:val="bottom"/>
            <w:shd w:val="clear" w:color="auto" w:fill="D5EAEA"/>
          </w:tcPr>
          <w:p>
            <w:pPr>
              <w:jc w:val="right"/>
              <w:spacing w:after="0"/>
              <w:rPr>
                <w:sz w:val="20"/>
                <w:szCs w:val="20"/>
                <w:color w:val="auto"/>
              </w:rPr>
            </w:pPr>
            <w:r>
              <w:rPr>
                <w:rFonts w:ascii="Arial" w:cs="Arial" w:eastAsia="Arial" w:hAnsi="Arial"/>
                <w:sz w:val="18"/>
                <w:szCs w:val="18"/>
                <w:color w:val="auto"/>
              </w:rPr>
              <w:t>(74)</w:t>
            </w:r>
          </w:p>
        </w:tc>
        <w:tc>
          <w:tcPr>
            <w:tcW w:w="100" w:type="dxa"/>
            <w:vAlign w:val="bottom"/>
            <w:shd w:val="clear" w:color="auto" w:fill="D5EAEA"/>
          </w:tcPr>
          <w:p>
            <w:pPr>
              <w:spacing w:after="0"/>
              <w:rPr>
                <w:sz w:val="18"/>
                <w:szCs w:val="18"/>
                <w:color w:val="auto"/>
              </w:rPr>
            </w:pPr>
          </w:p>
        </w:tc>
        <w:tc>
          <w:tcPr>
            <w:tcW w:w="1340" w:type="dxa"/>
            <w:vAlign w:val="bottom"/>
            <w:shd w:val="clear" w:color="auto" w:fill="D5EAEA"/>
          </w:tcPr>
          <w:p>
            <w:pPr>
              <w:jc w:val="right"/>
              <w:spacing w:after="0"/>
              <w:rPr>
                <w:sz w:val="20"/>
                <w:szCs w:val="20"/>
                <w:color w:val="auto"/>
              </w:rPr>
            </w:pPr>
            <w:r>
              <w:rPr>
                <w:rFonts w:ascii="Arial" w:cs="Arial" w:eastAsia="Arial" w:hAnsi="Arial"/>
                <w:sz w:val="18"/>
                <w:szCs w:val="18"/>
                <w:color w:val="auto"/>
              </w:rPr>
              <w:t>(1,411)</w:t>
            </w:r>
          </w:p>
        </w:tc>
      </w:tr>
      <w:tr>
        <w:trPr>
          <w:trHeight w:val="229"/>
        </w:trPr>
        <w:tc>
          <w:tcPr>
            <w:tcW w:w="4080" w:type="dxa"/>
            <w:vAlign w:val="bottom"/>
            <w:gridSpan w:val="2"/>
          </w:tcPr>
          <w:p>
            <w:pPr>
              <w:spacing w:after="0"/>
              <w:rPr>
                <w:sz w:val="20"/>
                <w:szCs w:val="20"/>
                <w:color w:val="auto"/>
              </w:rPr>
            </w:pPr>
            <w:r>
              <w:rPr>
                <w:rFonts w:ascii="Arial" w:cs="Arial" w:eastAsia="Arial" w:hAnsi="Arial"/>
                <w:sz w:val="18"/>
                <w:szCs w:val="18"/>
                <w:color w:val="auto"/>
              </w:rPr>
              <w:t>Disposals</w:t>
            </w:r>
          </w:p>
        </w:tc>
        <w:tc>
          <w:tcPr>
            <w:tcW w:w="14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19"/>
                <w:szCs w:val="19"/>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16</w:t>
            </w:r>
          </w:p>
        </w:tc>
      </w:tr>
      <w:tr>
        <w:trPr>
          <w:trHeight w:val="223"/>
        </w:trPr>
        <w:tc>
          <w:tcPr>
            <w:tcW w:w="4080" w:type="dxa"/>
            <w:vAlign w:val="bottom"/>
            <w:tcBorders>
              <w:top w:val="single" w:sz="8" w:color="D5EAEA"/>
              <w:bottom w:val="single" w:sz="8" w:color="D5EAEA"/>
            </w:tcBorders>
            <w:gridSpan w:val="2"/>
            <w:shd w:val="clear" w:color="auto" w:fill="D5EAEA"/>
          </w:tcPr>
          <w:p>
            <w:pPr>
              <w:spacing w:after="0"/>
              <w:rPr>
                <w:sz w:val="20"/>
                <w:szCs w:val="20"/>
                <w:color w:val="auto"/>
              </w:rPr>
            </w:pPr>
            <w:r>
              <w:rPr>
                <w:rFonts w:ascii="Arial" w:cs="Arial" w:eastAsia="Arial" w:hAnsi="Arial"/>
                <w:sz w:val="18"/>
                <w:szCs w:val="18"/>
                <w:b w:val="1"/>
                <w:bCs w:val="1"/>
                <w:color w:val="auto"/>
              </w:rPr>
              <w:t>Balance at September 30, 2021</w:t>
            </w:r>
          </w:p>
        </w:tc>
        <w:tc>
          <w:tcPr>
            <w:tcW w:w="1360" w:type="dxa"/>
            <w:vAlign w:val="bottom"/>
            <w:tcBorders>
              <w:top w:val="single" w:sz="8" w:color="auto"/>
              <w:bottom w:val="single" w:sz="8" w:color="auto"/>
            </w:tcBorders>
            <w:shd w:val="clear" w:color="auto" w:fill="D5EAEA"/>
          </w:tcPr>
          <w:p>
            <w:pPr>
              <w:jc w:val="right"/>
              <w:spacing w:after="0"/>
              <w:rPr>
                <w:sz w:val="20"/>
                <w:szCs w:val="20"/>
                <w:color w:val="auto"/>
              </w:rPr>
            </w:pPr>
            <w:r>
              <w:rPr>
                <w:rFonts w:ascii="Arial" w:cs="Arial" w:eastAsia="Arial" w:hAnsi="Arial"/>
                <w:sz w:val="18"/>
                <w:szCs w:val="18"/>
                <w:color w:val="auto"/>
              </w:rPr>
              <w:t>(94)</w:t>
            </w:r>
          </w:p>
        </w:tc>
        <w:tc>
          <w:tcPr>
            <w:tcW w:w="120" w:type="dxa"/>
            <w:vAlign w:val="bottom"/>
            <w:tcBorders>
              <w:top w:val="single" w:sz="8" w:color="D5EAEA"/>
              <w:bottom w:val="single" w:sz="8" w:color="D5EAEA"/>
            </w:tcBorders>
            <w:shd w:val="clear" w:color="auto" w:fill="D5EAEA"/>
          </w:tcPr>
          <w:p>
            <w:pPr>
              <w:spacing w:after="0"/>
              <w:rPr>
                <w:sz w:val="19"/>
                <w:szCs w:val="19"/>
                <w:color w:val="auto"/>
              </w:rPr>
            </w:pPr>
          </w:p>
        </w:tc>
        <w:tc>
          <w:tcPr>
            <w:tcW w:w="1340" w:type="dxa"/>
            <w:vAlign w:val="bottom"/>
            <w:tcBorders>
              <w:top w:val="single" w:sz="8" w:color="auto"/>
              <w:bottom w:val="single" w:sz="8" w:color="auto"/>
            </w:tcBorders>
            <w:shd w:val="clear" w:color="auto" w:fill="D5EAEA"/>
          </w:tcPr>
          <w:p>
            <w:pPr>
              <w:jc w:val="right"/>
              <w:spacing w:after="0"/>
              <w:rPr>
                <w:sz w:val="20"/>
                <w:szCs w:val="20"/>
                <w:color w:val="auto"/>
              </w:rPr>
            </w:pPr>
            <w:r>
              <w:rPr>
                <w:rFonts w:ascii="Arial" w:cs="Arial" w:eastAsia="Arial" w:hAnsi="Arial"/>
                <w:sz w:val="18"/>
                <w:szCs w:val="18"/>
                <w:color w:val="auto"/>
              </w:rPr>
              <w:t>(1,235)</w:t>
            </w:r>
          </w:p>
        </w:tc>
        <w:tc>
          <w:tcPr>
            <w:tcW w:w="120" w:type="dxa"/>
            <w:vAlign w:val="bottom"/>
            <w:tcBorders>
              <w:top w:val="single" w:sz="8" w:color="D5EAEA"/>
              <w:bottom w:val="single" w:sz="8" w:color="D5EAEA"/>
            </w:tcBorders>
            <w:shd w:val="clear" w:color="auto" w:fill="D5EAEA"/>
          </w:tcPr>
          <w:p>
            <w:pPr>
              <w:spacing w:after="0"/>
              <w:rPr>
                <w:sz w:val="19"/>
                <w:szCs w:val="19"/>
                <w:color w:val="auto"/>
              </w:rPr>
            </w:pPr>
          </w:p>
        </w:tc>
        <w:tc>
          <w:tcPr>
            <w:tcW w:w="1340" w:type="dxa"/>
            <w:vAlign w:val="bottom"/>
            <w:tcBorders>
              <w:top w:val="single" w:sz="8" w:color="auto"/>
              <w:bottom w:val="single" w:sz="8" w:color="auto"/>
            </w:tcBorders>
            <w:shd w:val="clear" w:color="auto" w:fill="D5EAEA"/>
          </w:tcPr>
          <w:p>
            <w:pPr>
              <w:jc w:val="right"/>
              <w:spacing w:after="0"/>
              <w:rPr>
                <w:sz w:val="20"/>
                <w:szCs w:val="20"/>
                <w:color w:val="auto"/>
              </w:rPr>
            </w:pPr>
            <w:r>
              <w:rPr>
                <w:rFonts w:ascii="Arial" w:cs="Arial" w:eastAsia="Arial" w:hAnsi="Arial"/>
                <w:sz w:val="18"/>
                <w:szCs w:val="18"/>
                <w:color w:val="auto"/>
              </w:rPr>
              <w:t>(5,428)</w:t>
            </w:r>
          </w:p>
        </w:tc>
        <w:tc>
          <w:tcPr>
            <w:tcW w:w="100" w:type="dxa"/>
            <w:vAlign w:val="bottom"/>
            <w:tcBorders>
              <w:top w:val="single" w:sz="8" w:color="D5EAEA"/>
              <w:bottom w:val="single" w:sz="8" w:color="D5EAEA"/>
            </w:tcBorders>
            <w:shd w:val="clear" w:color="auto" w:fill="D5EAEA"/>
          </w:tcPr>
          <w:p>
            <w:pPr>
              <w:spacing w:after="0"/>
              <w:rPr>
                <w:sz w:val="19"/>
                <w:szCs w:val="19"/>
                <w:color w:val="auto"/>
              </w:rPr>
            </w:pPr>
          </w:p>
        </w:tc>
        <w:tc>
          <w:tcPr>
            <w:tcW w:w="1340" w:type="dxa"/>
            <w:vAlign w:val="bottom"/>
            <w:tcBorders>
              <w:top w:val="single" w:sz="8" w:color="auto"/>
              <w:bottom w:val="single" w:sz="8" w:color="auto"/>
            </w:tcBorders>
            <w:shd w:val="clear" w:color="auto" w:fill="D5EAEA"/>
          </w:tcPr>
          <w:p>
            <w:pPr>
              <w:jc w:val="right"/>
              <w:spacing w:after="0"/>
              <w:rPr>
                <w:sz w:val="20"/>
                <w:szCs w:val="20"/>
                <w:color w:val="auto"/>
              </w:rPr>
            </w:pPr>
            <w:r>
              <w:rPr>
                <w:rFonts w:ascii="Arial" w:cs="Arial" w:eastAsia="Arial" w:hAnsi="Arial"/>
                <w:sz w:val="18"/>
                <w:szCs w:val="18"/>
                <w:color w:val="auto"/>
              </w:rPr>
              <w:t>(355)</w:t>
            </w:r>
          </w:p>
        </w:tc>
        <w:tc>
          <w:tcPr>
            <w:tcW w:w="100" w:type="dxa"/>
            <w:vAlign w:val="bottom"/>
            <w:tcBorders>
              <w:top w:val="single" w:sz="8" w:color="D5EAEA"/>
              <w:bottom w:val="single" w:sz="8" w:color="D5EAEA"/>
            </w:tcBorders>
            <w:shd w:val="clear" w:color="auto" w:fill="D5EAEA"/>
          </w:tcPr>
          <w:p>
            <w:pPr>
              <w:spacing w:after="0"/>
              <w:rPr>
                <w:sz w:val="19"/>
                <w:szCs w:val="19"/>
                <w:color w:val="auto"/>
              </w:rPr>
            </w:pPr>
          </w:p>
        </w:tc>
        <w:tc>
          <w:tcPr>
            <w:tcW w:w="1340" w:type="dxa"/>
            <w:vAlign w:val="bottom"/>
            <w:tcBorders>
              <w:top w:val="single" w:sz="8" w:color="auto"/>
              <w:bottom w:val="single" w:sz="8" w:color="auto"/>
            </w:tcBorders>
            <w:shd w:val="clear" w:color="auto" w:fill="D5EAEA"/>
          </w:tcPr>
          <w:p>
            <w:pPr>
              <w:jc w:val="right"/>
              <w:spacing w:after="0"/>
              <w:rPr>
                <w:sz w:val="20"/>
                <w:szCs w:val="20"/>
                <w:color w:val="auto"/>
              </w:rPr>
            </w:pPr>
            <w:r>
              <w:rPr>
                <w:rFonts w:ascii="Arial" w:cs="Arial" w:eastAsia="Arial" w:hAnsi="Arial"/>
                <w:sz w:val="18"/>
                <w:szCs w:val="18"/>
                <w:color w:val="auto"/>
              </w:rPr>
              <w:t>(7,112)</w:t>
            </w:r>
          </w:p>
        </w:tc>
      </w:tr>
      <w:tr>
        <w:trPr>
          <w:trHeight w:val="20"/>
        </w:trPr>
        <w:tc>
          <w:tcPr>
            <w:tcW w:w="39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r>
        <w:trPr>
          <w:trHeight w:val="197"/>
        </w:trPr>
        <w:tc>
          <w:tcPr>
            <w:tcW w:w="3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tcPr>
          <w:p>
            <w:pPr>
              <w:spacing w:after="0"/>
              <w:rPr>
                <w:sz w:val="17"/>
                <w:szCs w:val="17"/>
                <w:color w:val="auto"/>
              </w:rPr>
            </w:pPr>
          </w:p>
        </w:tc>
      </w:tr>
      <w:tr>
        <w:trPr>
          <w:trHeight w:val="216"/>
        </w:trPr>
        <w:tc>
          <w:tcPr>
            <w:tcW w:w="4080" w:type="dxa"/>
            <w:vAlign w:val="bottom"/>
            <w:gridSpan w:val="2"/>
            <w:shd w:val="clear" w:color="auto" w:fill="D5EAEA"/>
          </w:tcPr>
          <w:p>
            <w:pPr>
              <w:spacing w:after="0"/>
              <w:rPr>
                <w:sz w:val="20"/>
                <w:szCs w:val="20"/>
                <w:color w:val="auto"/>
              </w:rPr>
            </w:pPr>
            <w:r>
              <w:rPr>
                <w:rFonts w:ascii="Arial" w:cs="Arial" w:eastAsia="Arial" w:hAnsi="Arial"/>
                <w:sz w:val="18"/>
                <w:szCs w:val="18"/>
                <w:b w:val="1"/>
                <w:bCs w:val="1"/>
                <w:color w:val="auto"/>
              </w:rPr>
              <w:t>Carrying Amount</w:t>
            </w:r>
          </w:p>
        </w:tc>
        <w:tc>
          <w:tcPr>
            <w:tcW w:w="1360" w:type="dxa"/>
            <w:vAlign w:val="bottom"/>
            <w:shd w:val="clear" w:color="auto" w:fill="D5EAEA"/>
          </w:tcPr>
          <w:p>
            <w:pPr>
              <w:spacing w:after="0"/>
              <w:rPr>
                <w:sz w:val="18"/>
                <w:szCs w:val="18"/>
                <w:color w:val="auto"/>
              </w:rPr>
            </w:pPr>
          </w:p>
        </w:tc>
        <w:tc>
          <w:tcPr>
            <w:tcW w:w="120" w:type="dxa"/>
            <w:vAlign w:val="bottom"/>
            <w:shd w:val="clear" w:color="auto" w:fill="D5EAEA"/>
          </w:tcPr>
          <w:p>
            <w:pPr>
              <w:spacing w:after="0"/>
              <w:rPr>
                <w:sz w:val="18"/>
                <w:szCs w:val="18"/>
                <w:color w:val="auto"/>
              </w:rPr>
            </w:pPr>
          </w:p>
        </w:tc>
        <w:tc>
          <w:tcPr>
            <w:tcW w:w="1340" w:type="dxa"/>
            <w:vAlign w:val="bottom"/>
            <w:shd w:val="clear" w:color="auto" w:fill="D5EAEA"/>
          </w:tcPr>
          <w:p>
            <w:pPr>
              <w:spacing w:after="0"/>
              <w:rPr>
                <w:sz w:val="18"/>
                <w:szCs w:val="18"/>
                <w:color w:val="auto"/>
              </w:rPr>
            </w:pPr>
          </w:p>
        </w:tc>
        <w:tc>
          <w:tcPr>
            <w:tcW w:w="120" w:type="dxa"/>
            <w:vAlign w:val="bottom"/>
            <w:shd w:val="clear" w:color="auto" w:fill="D5EAEA"/>
          </w:tcPr>
          <w:p>
            <w:pPr>
              <w:spacing w:after="0"/>
              <w:rPr>
                <w:sz w:val="18"/>
                <w:szCs w:val="18"/>
                <w:color w:val="auto"/>
              </w:rPr>
            </w:pPr>
          </w:p>
        </w:tc>
        <w:tc>
          <w:tcPr>
            <w:tcW w:w="1340" w:type="dxa"/>
            <w:vAlign w:val="bottom"/>
            <w:shd w:val="clear" w:color="auto" w:fill="D5EAEA"/>
          </w:tcPr>
          <w:p>
            <w:pPr>
              <w:spacing w:after="0"/>
              <w:rPr>
                <w:sz w:val="18"/>
                <w:szCs w:val="18"/>
                <w:color w:val="auto"/>
              </w:rPr>
            </w:pPr>
          </w:p>
        </w:tc>
        <w:tc>
          <w:tcPr>
            <w:tcW w:w="100" w:type="dxa"/>
            <w:vAlign w:val="bottom"/>
            <w:shd w:val="clear" w:color="auto" w:fill="D5EAEA"/>
          </w:tcPr>
          <w:p>
            <w:pPr>
              <w:spacing w:after="0"/>
              <w:rPr>
                <w:sz w:val="18"/>
                <w:szCs w:val="18"/>
                <w:color w:val="auto"/>
              </w:rPr>
            </w:pPr>
          </w:p>
        </w:tc>
        <w:tc>
          <w:tcPr>
            <w:tcW w:w="1340" w:type="dxa"/>
            <w:vAlign w:val="bottom"/>
            <w:shd w:val="clear" w:color="auto" w:fill="D5EAEA"/>
          </w:tcPr>
          <w:p>
            <w:pPr>
              <w:spacing w:after="0"/>
              <w:rPr>
                <w:sz w:val="18"/>
                <w:szCs w:val="18"/>
                <w:color w:val="auto"/>
              </w:rPr>
            </w:pPr>
          </w:p>
        </w:tc>
        <w:tc>
          <w:tcPr>
            <w:tcW w:w="100" w:type="dxa"/>
            <w:vAlign w:val="bottom"/>
            <w:shd w:val="clear" w:color="auto" w:fill="D5EAEA"/>
          </w:tcPr>
          <w:p>
            <w:pPr>
              <w:spacing w:after="0"/>
              <w:rPr>
                <w:sz w:val="18"/>
                <w:szCs w:val="18"/>
                <w:color w:val="auto"/>
              </w:rPr>
            </w:pPr>
          </w:p>
        </w:tc>
        <w:tc>
          <w:tcPr>
            <w:tcW w:w="1340" w:type="dxa"/>
            <w:vAlign w:val="bottom"/>
            <w:shd w:val="clear" w:color="auto" w:fill="D5EAEA"/>
          </w:tcPr>
          <w:p>
            <w:pPr>
              <w:spacing w:after="0"/>
              <w:rPr>
                <w:sz w:val="18"/>
                <w:szCs w:val="18"/>
                <w:color w:val="auto"/>
              </w:rPr>
            </w:pPr>
          </w:p>
        </w:tc>
      </w:tr>
      <w:tr>
        <w:trPr>
          <w:trHeight w:val="216"/>
        </w:trPr>
        <w:tc>
          <w:tcPr>
            <w:tcW w:w="4080" w:type="dxa"/>
            <w:vAlign w:val="bottom"/>
            <w:gridSpan w:val="2"/>
          </w:tcPr>
          <w:p>
            <w:pPr>
              <w:spacing w:after="0"/>
              <w:rPr>
                <w:sz w:val="20"/>
                <w:szCs w:val="20"/>
                <w:color w:val="auto"/>
              </w:rPr>
            </w:pPr>
            <w:r>
              <w:rPr>
                <w:rFonts w:ascii="Arial" w:cs="Arial" w:eastAsia="Arial" w:hAnsi="Arial"/>
                <w:sz w:val="18"/>
                <w:szCs w:val="18"/>
                <w:color w:val="auto"/>
              </w:rPr>
              <w:t>December 31, 2020</w:t>
            </w: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153</w:t>
            </w:r>
          </w:p>
        </w:tc>
        <w:tc>
          <w:tcPr>
            <w:tcW w:w="120" w:type="dxa"/>
            <w:vAlign w:val="bottom"/>
          </w:tcPr>
          <w:p>
            <w:pPr>
              <w:spacing w:after="0"/>
              <w:rPr>
                <w:sz w:val="18"/>
                <w:szCs w:val="18"/>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527</w:t>
            </w:r>
          </w:p>
        </w:tc>
        <w:tc>
          <w:tcPr>
            <w:tcW w:w="120" w:type="dxa"/>
            <w:vAlign w:val="bottom"/>
          </w:tcPr>
          <w:p>
            <w:pPr>
              <w:spacing w:after="0"/>
              <w:rPr>
                <w:sz w:val="18"/>
                <w:szCs w:val="18"/>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3,553</w:t>
            </w:r>
          </w:p>
        </w:tc>
        <w:tc>
          <w:tcPr>
            <w:tcW w:w="100" w:type="dxa"/>
            <w:vAlign w:val="bottom"/>
          </w:tcPr>
          <w:p>
            <w:pPr>
              <w:spacing w:after="0"/>
              <w:rPr>
                <w:sz w:val="18"/>
                <w:szCs w:val="18"/>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183</w:t>
            </w:r>
          </w:p>
        </w:tc>
        <w:tc>
          <w:tcPr>
            <w:tcW w:w="100" w:type="dxa"/>
            <w:vAlign w:val="bottom"/>
          </w:tcPr>
          <w:p>
            <w:pPr>
              <w:spacing w:after="0"/>
              <w:rPr>
                <w:sz w:val="18"/>
                <w:szCs w:val="18"/>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4,416</w:t>
            </w:r>
          </w:p>
        </w:tc>
      </w:tr>
      <w:tr>
        <w:trPr>
          <w:trHeight w:val="216"/>
        </w:trPr>
        <w:tc>
          <w:tcPr>
            <w:tcW w:w="4080" w:type="dxa"/>
            <w:vAlign w:val="bottom"/>
            <w:gridSpan w:val="2"/>
            <w:shd w:val="clear" w:color="auto" w:fill="D5EAEA"/>
          </w:tcPr>
          <w:p>
            <w:pPr>
              <w:spacing w:after="0"/>
              <w:rPr>
                <w:sz w:val="20"/>
                <w:szCs w:val="20"/>
                <w:color w:val="auto"/>
              </w:rPr>
            </w:pPr>
            <w:r>
              <w:rPr>
                <w:rFonts w:ascii="Arial" w:cs="Arial" w:eastAsia="Arial" w:hAnsi="Arial"/>
                <w:sz w:val="18"/>
                <w:szCs w:val="18"/>
                <w:color w:val="auto"/>
              </w:rPr>
              <w:t>September 30, 2021</w:t>
            </w:r>
          </w:p>
        </w:tc>
        <w:tc>
          <w:tcPr>
            <w:tcW w:w="1360" w:type="dxa"/>
            <w:vAlign w:val="bottom"/>
            <w:shd w:val="clear" w:color="auto" w:fill="D5EAEA"/>
          </w:tcPr>
          <w:p>
            <w:pPr>
              <w:jc w:val="right"/>
              <w:ind w:right="30"/>
              <w:spacing w:after="0"/>
              <w:rPr>
                <w:sz w:val="20"/>
                <w:szCs w:val="20"/>
                <w:color w:val="auto"/>
              </w:rPr>
            </w:pPr>
            <w:r>
              <w:rPr>
                <w:rFonts w:ascii="Arial" w:cs="Arial" w:eastAsia="Arial" w:hAnsi="Arial"/>
                <w:sz w:val="18"/>
                <w:szCs w:val="18"/>
                <w:color w:val="auto"/>
              </w:rPr>
              <w:t>167</w:t>
            </w:r>
          </w:p>
        </w:tc>
        <w:tc>
          <w:tcPr>
            <w:tcW w:w="120" w:type="dxa"/>
            <w:vAlign w:val="bottom"/>
            <w:shd w:val="clear" w:color="auto" w:fill="D5EAEA"/>
          </w:tcPr>
          <w:p>
            <w:pPr>
              <w:spacing w:after="0"/>
              <w:rPr>
                <w:sz w:val="18"/>
                <w:szCs w:val="18"/>
                <w:color w:val="auto"/>
              </w:rPr>
            </w:pPr>
          </w:p>
        </w:tc>
        <w:tc>
          <w:tcPr>
            <w:tcW w:w="134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482</w:t>
            </w:r>
          </w:p>
        </w:tc>
        <w:tc>
          <w:tcPr>
            <w:tcW w:w="120" w:type="dxa"/>
            <w:vAlign w:val="bottom"/>
            <w:shd w:val="clear" w:color="auto" w:fill="D5EAEA"/>
          </w:tcPr>
          <w:p>
            <w:pPr>
              <w:spacing w:after="0"/>
              <w:rPr>
                <w:sz w:val="18"/>
                <w:szCs w:val="18"/>
                <w:color w:val="auto"/>
              </w:rPr>
            </w:pPr>
          </w:p>
        </w:tc>
        <w:tc>
          <w:tcPr>
            <w:tcW w:w="1340" w:type="dxa"/>
            <w:vAlign w:val="bottom"/>
            <w:shd w:val="clear" w:color="auto" w:fill="D5EAEA"/>
          </w:tcPr>
          <w:p>
            <w:pPr>
              <w:jc w:val="right"/>
              <w:ind w:right="30"/>
              <w:spacing w:after="0"/>
              <w:rPr>
                <w:sz w:val="20"/>
                <w:szCs w:val="20"/>
                <w:color w:val="auto"/>
              </w:rPr>
            </w:pPr>
            <w:r>
              <w:rPr>
                <w:rFonts w:ascii="Arial" w:cs="Arial" w:eastAsia="Arial" w:hAnsi="Arial"/>
                <w:sz w:val="18"/>
                <w:szCs w:val="18"/>
                <w:color w:val="auto"/>
              </w:rPr>
              <w:t>4,016</w:t>
            </w:r>
          </w:p>
        </w:tc>
        <w:tc>
          <w:tcPr>
            <w:tcW w:w="100" w:type="dxa"/>
            <w:vAlign w:val="bottom"/>
            <w:shd w:val="clear" w:color="auto" w:fill="D5EAEA"/>
          </w:tcPr>
          <w:p>
            <w:pPr>
              <w:spacing w:after="0"/>
              <w:rPr>
                <w:sz w:val="18"/>
                <w:szCs w:val="18"/>
                <w:color w:val="auto"/>
              </w:rPr>
            </w:pPr>
          </w:p>
        </w:tc>
        <w:tc>
          <w:tcPr>
            <w:tcW w:w="1340" w:type="dxa"/>
            <w:vAlign w:val="bottom"/>
            <w:shd w:val="clear" w:color="auto" w:fill="D5EAEA"/>
          </w:tcPr>
          <w:p>
            <w:pPr>
              <w:jc w:val="right"/>
              <w:ind w:right="30"/>
              <w:spacing w:after="0"/>
              <w:rPr>
                <w:sz w:val="20"/>
                <w:szCs w:val="20"/>
                <w:color w:val="auto"/>
              </w:rPr>
            </w:pPr>
            <w:r>
              <w:rPr>
                <w:rFonts w:ascii="Arial" w:cs="Arial" w:eastAsia="Arial" w:hAnsi="Arial"/>
                <w:sz w:val="18"/>
                <w:szCs w:val="18"/>
                <w:color w:val="auto"/>
              </w:rPr>
              <w:t>389</w:t>
            </w:r>
          </w:p>
        </w:tc>
        <w:tc>
          <w:tcPr>
            <w:tcW w:w="100" w:type="dxa"/>
            <w:vAlign w:val="bottom"/>
            <w:shd w:val="clear" w:color="auto" w:fill="D5EAEA"/>
          </w:tcPr>
          <w:p>
            <w:pPr>
              <w:spacing w:after="0"/>
              <w:rPr>
                <w:sz w:val="18"/>
                <w:szCs w:val="18"/>
                <w:color w:val="auto"/>
              </w:rPr>
            </w:pPr>
          </w:p>
        </w:tc>
        <w:tc>
          <w:tcPr>
            <w:tcW w:w="134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5,054</w:t>
            </w:r>
          </w:p>
        </w:tc>
      </w:tr>
      <w:tr>
        <w:trPr>
          <w:trHeight w:val="527"/>
        </w:trPr>
        <w:tc>
          <w:tcPr>
            <w:tcW w:w="39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584" w:right="339" w:bottom="1108" w:gutter="0" w:footer="0" w:header="0"/>
          <w:type w:val="continuous"/>
        </w:sectPr>
      </w:pPr>
    </w:p>
    <w:bookmarkStart w:id="13" w:name="page14"/>
    <w:bookmarkEnd w:id="13"/>
    <w:p>
      <w:pPr>
        <w:ind w:right="60" w:firstLine="324"/>
        <w:spacing w:after="0" w:line="263" w:lineRule="auto"/>
        <w:rPr>
          <w:sz w:val="20"/>
          <w:szCs w:val="20"/>
          <w:color w:val="auto"/>
        </w:rPr>
      </w:pPr>
      <w:r>
        <w:rPr>
          <w:rFonts w:ascii="Arial" w:cs="Arial" w:eastAsia="Arial" w:hAnsi="Arial"/>
          <w:sz w:val="18"/>
          <w:szCs w:val="18"/>
          <w:color w:val="auto"/>
        </w:rPr>
        <w:t>AC Immune continues to enhance its laboratory equipment to support its R&amp;D functions. This effort has continued since the year ended December 31, 2020, with CHF 1.7 million invested in lab equipment, including the expansion of our leased lab space, and IT equipment, representing an increase of 18.2%.</w:t>
      </w:r>
    </w:p>
    <w:p>
      <w:pPr>
        <w:spacing w:after="0" w:line="180" w:lineRule="exact"/>
        <w:rPr>
          <w:sz w:val="20"/>
          <w:szCs w:val="20"/>
          <w:color w:val="auto"/>
        </w:rPr>
      </w:pPr>
    </w:p>
    <w:p>
      <w:pPr>
        <w:ind w:left="520" w:hanging="323"/>
        <w:spacing w:after="0"/>
        <w:tabs>
          <w:tab w:leader="none" w:pos="52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Right-of-use assets and lease liabilities</w:t>
      </w:r>
    </w:p>
    <w:p>
      <w:pPr>
        <w:spacing w:after="0" w:line="229" w:lineRule="exact"/>
        <w:rPr>
          <w:sz w:val="20"/>
          <w:szCs w:val="20"/>
          <w:color w:val="auto"/>
        </w:rPr>
      </w:pPr>
    </w:p>
    <w:p>
      <w:pPr>
        <w:ind w:right="200" w:firstLine="324"/>
        <w:spacing w:after="0" w:line="277" w:lineRule="auto"/>
        <w:rPr>
          <w:sz w:val="20"/>
          <w:szCs w:val="20"/>
          <w:color w:val="auto"/>
        </w:rPr>
      </w:pPr>
      <w:r>
        <w:rPr>
          <w:rFonts w:ascii="Arial" w:cs="Arial" w:eastAsia="Arial" w:hAnsi="Arial"/>
          <w:sz w:val="18"/>
          <w:szCs w:val="18"/>
          <w:color w:val="auto"/>
        </w:rPr>
        <w:t>AC Immune recognized additions of CHF 0.7 million for right-of-use of leased assets for the nine months ended September 30, 2021, predominantly associated with the remeasurement and expansion of our leased office space.</w:t>
      </w:r>
    </w:p>
    <w:p>
      <w:pPr>
        <w:spacing w:after="0" w:line="170" w:lineRule="exact"/>
        <w:rPr>
          <w:sz w:val="20"/>
          <w:szCs w:val="20"/>
          <w:color w:val="auto"/>
        </w:rPr>
      </w:pPr>
    </w:p>
    <w:p>
      <w:pPr>
        <w:ind w:right="500" w:firstLine="324"/>
        <w:spacing w:after="0" w:line="263" w:lineRule="auto"/>
        <w:rPr>
          <w:sz w:val="20"/>
          <w:szCs w:val="20"/>
          <w:color w:val="auto"/>
        </w:rPr>
      </w:pPr>
      <w:r>
        <w:rPr>
          <w:rFonts w:ascii="Arial" w:cs="Arial" w:eastAsia="Arial" w:hAnsi="Arial"/>
          <w:sz w:val="18"/>
          <w:szCs w:val="18"/>
          <w:color w:val="auto"/>
        </w:rPr>
        <w:t>Regarding lease liabilities, the amortization depends on the rate implicit in the contract or the incremental borrowing rate for the respective lease component. The weighted averages of the incremental borrowing rates are 2.5% for buildings, 5% for office equipment and 2.6% for IT equipment, respectively.</w:t>
      </w:r>
    </w:p>
    <w:p>
      <w:pPr>
        <w:spacing w:after="0" w:line="184"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following table shows the movements in the net book values of right-of-use of leased assets for the nine months ended September 30, 2021:</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3"/>
              </w:rPr>
              <w:t>Office</w:t>
            </w:r>
          </w:p>
        </w:tc>
        <w:tc>
          <w:tcPr>
            <w:tcW w:w="14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rPr>
              <w:t>IT</w:t>
            </w:r>
          </w:p>
        </w:tc>
        <w:tc>
          <w:tcPr>
            <w:tcW w:w="1340" w:type="dxa"/>
            <w:vAlign w:val="bottom"/>
          </w:tcPr>
          <w:p>
            <w:pPr>
              <w:spacing w:after="0"/>
              <w:rPr>
                <w:sz w:val="18"/>
                <w:szCs w:val="18"/>
                <w:color w:val="auto"/>
              </w:rPr>
            </w:pPr>
          </w:p>
        </w:tc>
      </w:tr>
      <w:tr>
        <w:trPr>
          <w:trHeight w:val="234"/>
        </w:trPr>
        <w:tc>
          <w:tcPr>
            <w:tcW w:w="5520" w:type="dxa"/>
            <w:vAlign w:val="bottom"/>
            <w:gridSpan w:val="2"/>
          </w:tcPr>
          <w:p>
            <w:pPr>
              <w:ind w:left="2000"/>
              <w:spacing w:after="0"/>
              <w:rPr>
                <w:sz w:val="20"/>
                <w:szCs w:val="20"/>
                <w:color w:val="auto"/>
              </w:rPr>
            </w:pPr>
            <w:r>
              <w:rPr>
                <w:rFonts w:ascii="Arial" w:cs="Arial" w:eastAsia="Arial" w:hAnsi="Arial"/>
                <w:sz w:val="18"/>
                <w:szCs w:val="18"/>
                <w:b w:val="1"/>
                <w:bCs w:val="1"/>
                <w:color w:val="auto"/>
              </w:rPr>
              <w:t>in CHF thousands</w:t>
            </w:r>
          </w:p>
        </w:tc>
        <w:tc>
          <w:tcPr>
            <w:tcW w:w="1500" w:type="dxa"/>
            <w:vAlign w:val="bottom"/>
            <w:gridSpan w:val="2"/>
          </w:tcPr>
          <w:p>
            <w:pPr>
              <w:ind w:left="340"/>
              <w:spacing w:after="0"/>
              <w:rPr>
                <w:sz w:val="20"/>
                <w:szCs w:val="20"/>
                <w:color w:val="auto"/>
              </w:rPr>
            </w:pPr>
            <w:r>
              <w:rPr>
                <w:rFonts w:ascii="Arial" w:cs="Arial" w:eastAsia="Arial" w:hAnsi="Arial"/>
                <w:sz w:val="18"/>
                <w:szCs w:val="18"/>
                <w:b w:val="1"/>
                <w:bCs w:val="1"/>
                <w:color w:val="auto"/>
              </w:rPr>
              <w:t>Buildings</w:t>
            </w:r>
          </w:p>
        </w:tc>
        <w:tc>
          <w:tcPr>
            <w:tcW w:w="14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2"/>
              </w:rPr>
              <w:t>Equipment</w:t>
            </w:r>
          </w:p>
        </w:tc>
        <w:tc>
          <w:tcPr>
            <w:tcW w:w="14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2"/>
              </w:rPr>
              <w:t>Equipment</w:t>
            </w:r>
          </w:p>
        </w:tc>
        <w:tc>
          <w:tcPr>
            <w:tcW w:w="1340" w:type="dxa"/>
            <w:vAlign w:val="bottom"/>
          </w:tcPr>
          <w:p>
            <w:pPr>
              <w:jc w:val="right"/>
              <w:ind w:right="390"/>
              <w:spacing w:after="0"/>
              <w:rPr>
                <w:sz w:val="20"/>
                <w:szCs w:val="20"/>
                <w:color w:val="auto"/>
              </w:rPr>
            </w:pPr>
            <w:r>
              <w:rPr>
                <w:rFonts w:ascii="Arial" w:cs="Arial" w:eastAsia="Arial" w:hAnsi="Arial"/>
                <w:sz w:val="18"/>
                <w:szCs w:val="18"/>
                <w:b w:val="1"/>
                <w:bCs w:val="1"/>
                <w:color w:val="auto"/>
              </w:rPr>
              <w:t>Total</w:t>
            </w:r>
          </w:p>
        </w:tc>
      </w:tr>
      <w:tr>
        <w:trPr>
          <w:trHeight w:val="210"/>
        </w:trPr>
        <w:tc>
          <w:tcPr>
            <w:tcW w:w="5400" w:type="dxa"/>
            <w:vAlign w:val="bottom"/>
            <w:tcBorders>
              <w:top w:val="single" w:sz="8" w:color="auto"/>
            </w:tcBorders>
            <w:shd w:val="clear" w:color="auto" w:fill="D5EAEA"/>
          </w:tcPr>
          <w:p>
            <w:pPr>
              <w:spacing w:after="0"/>
              <w:rPr>
                <w:sz w:val="20"/>
                <w:szCs w:val="20"/>
                <w:color w:val="auto"/>
              </w:rPr>
            </w:pPr>
            <w:r>
              <w:rPr>
                <w:rFonts w:ascii="Arial" w:cs="Arial" w:eastAsia="Arial" w:hAnsi="Arial"/>
                <w:sz w:val="18"/>
                <w:szCs w:val="18"/>
                <w:b w:val="1"/>
                <w:bCs w:val="1"/>
                <w:color w:val="auto"/>
              </w:rPr>
              <w:t>Balance as of December 31, 2020</w:t>
            </w:r>
          </w:p>
        </w:tc>
        <w:tc>
          <w:tcPr>
            <w:tcW w:w="120" w:type="dxa"/>
            <w:vAlign w:val="bottom"/>
            <w:tcBorders>
              <w:top w:val="single" w:sz="8" w:color="D5EAEA"/>
            </w:tcBorders>
            <w:shd w:val="clear" w:color="auto" w:fill="D5EAEA"/>
          </w:tcPr>
          <w:p>
            <w:pPr>
              <w:spacing w:after="0"/>
              <w:rPr>
                <w:sz w:val="18"/>
                <w:szCs w:val="18"/>
                <w:color w:val="auto"/>
              </w:rPr>
            </w:pPr>
          </w:p>
        </w:tc>
        <w:tc>
          <w:tcPr>
            <w:tcW w:w="1380" w:type="dxa"/>
            <w:vAlign w:val="bottom"/>
            <w:tcBorders>
              <w:top w:val="single" w:sz="8" w:color="auto"/>
            </w:tcBorders>
            <w:shd w:val="clear" w:color="auto" w:fill="D5EAEA"/>
          </w:tcPr>
          <w:p>
            <w:pPr>
              <w:jc w:val="right"/>
              <w:ind w:right="30"/>
              <w:spacing w:after="0"/>
              <w:rPr>
                <w:sz w:val="20"/>
                <w:szCs w:val="20"/>
                <w:color w:val="auto"/>
              </w:rPr>
            </w:pPr>
            <w:r>
              <w:rPr>
                <w:rFonts w:ascii="Arial" w:cs="Arial" w:eastAsia="Arial" w:hAnsi="Arial"/>
                <w:sz w:val="18"/>
                <w:szCs w:val="18"/>
                <w:color w:val="auto"/>
              </w:rPr>
              <w:t>2,106</w:t>
            </w:r>
          </w:p>
        </w:tc>
        <w:tc>
          <w:tcPr>
            <w:tcW w:w="120" w:type="dxa"/>
            <w:vAlign w:val="bottom"/>
            <w:tcBorders>
              <w:top w:val="single" w:sz="8" w:color="D5EAEA"/>
            </w:tcBorders>
            <w:shd w:val="clear" w:color="auto" w:fill="D5EAEA"/>
          </w:tcPr>
          <w:p>
            <w:pPr>
              <w:spacing w:after="0"/>
              <w:rPr>
                <w:sz w:val="18"/>
                <w:szCs w:val="18"/>
                <w:color w:val="auto"/>
              </w:rPr>
            </w:pPr>
          </w:p>
        </w:tc>
        <w:tc>
          <w:tcPr>
            <w:tcW w:w="1340" w:type="dxa"/>
            <w:vAlign w:val="bottom"/>
            <w:tcBorders>
              <w:top w:val="single" w:sz="8" w:color="auto"/>
            </w:tcBorders>
            <w:shd w:val="clear" w:color="auto" w:fill="D5EAEA"/>
          </w:tcPr>
          <w:p>
            <w:pPr>
              <w:jc w:val="right"/>
              <w:ind w:right="30"/>
              <w:spacing w:after="0"/>
              <w:rPr>
                <w:sz w:val="20"/>
                <w:szCs w:val="20"/>
                <w:color w:val="auto"/>
              </w:rPr>
            </w:pPr>
            <w:r>
              <w:rPr>
                <w:rFonts w:ascii="Arial" w:cs="Arial" w:eastAsia="Arial" w:hAnsi="Arial"/>
                <w:sz w:val="18"/>
                <w:szCs w:val="18"/>
                <w:color w:val="auto"/>
              </w:rPr>
              <w:t>63</w:t>
            </w:r>
          </w:p>
        </w:tc>
        <w:tc>
          <w:tcPr>
            <w:tcW w:w="100" w:type="dxa"/>
            <w:vAlign w:val="bottom"/>
            <w:tcBorders>
              <w:top w:val="single" w:sz="8" w:color="D5EAEA"/>
            </w:tcBorders>
            <w:shd w:val="clear" w:color="auto" w:fill="D5EAEA"/>
          </w:tcPr>
          <w:p>
            <w:pPr>
              <w:spacing w:after="0"/>
              <w:rPr>
                <w:sz w:val="18"/>
                <w:szCs w:val="18"/>
                <w:color w:val="auto"/>
              </w:rPr>
            </w:pPr>
          </w:p>
        </w:tc>
        <w:tc>
          <w:tcPr>
            <w:tcW w:w="1340" w:type="dxa"/>
            <w:vAlign w:val="bottom"/>
            <w:tcBorders>
              <w:top w:val="single" w:sz="8" w:color="auto"/>
            </w:tcBorders>
            <w:shd w:val="clear" w:color="auto" w:fill="D5EAEA"/>
          </w:tcPr>
          <w:p>
            <w:pPr>
              <w:jc w:val="right"/>
              <w:ind w:right="30"/>
              <w:spacing w:after="0"/>
              <w:rPr>
                <w:sz w:val="20"/>
                <w:szCs w:val="20"/>
                <w:color w:val="auto"/>
              </w:rPr>
            </w:pPr>
            <w:r>
              <w:rPr>
                <w:rFonts w:ascii="Arial" w:cs="Arial" w:eastAsia="Arial" w:hAnsi="Arial"/>
                <w:sz w:val="18"/>
                <w:szCs w:val="18"/>
                <w:color w:val="auto"/>
              </w:rPr>
              <w:t>54</w:t>
            </w:r>
          </w:p>
        </w:tc>
        <w:tc>
          <w:tcPr>
            <w:tcW w:w="100" w:type="dxa"/>
            <w:vAlign w:val="bottom"/>
            <w:tcBorders>
              <w:top w:val="single" w:sz="8" w:color="D5EAEA"/>
            </w:tcBorders>
            <w:shd w:val="clear" w:color="auto" w:fill="D5EAEA"/>
          </w:tcPr>
          <w:p>
            <w:pPr>
              <w:spacing w:after="0"/>
              <w:rPr>
                <w:sz w:val="18"/>
                <w:szCs w:val="18"/>
                <w:color w:val="auto"/>
              </w:rPr>
            </w:pPr>
          </w:p>
        </w:tc>
        <w:tc>
          <w:tcPr>
            <w:tcW w:w="1340" w:type="dxa"/>
            <w:vAlign w:val="bottom"/>
            <w:tcBorders>
              <w:top w:val="single" w:sz="8" w:color="auto"/>
            </w:tcBorders>
            <w:shd w:val="clear" w:color="auto" w:fill="D5EAEA"/>
          </w:tcPr>
          <w:p>
            <w:pPr>
              <w:jc w:val="right"/>
              <w:ind w:right="10"/>
              <w:spacing w:after="0"/>
              <w:rPr>
                <w:sz w:val="20"/>
                <w:szCs w:val="20"/>
                <w:color w:val="auto"/>
              </w:rPr>
            </w:pPr>
            <w:r>
              <w:rPr>
                <w:rFonts w:ascii="Arial" w:cs="Arial" w:eastAsia="Arial" w:hAnsi="Arial"/>
                <w:sz w:val="18"/>
                <w:szCs w:val="18"/>
                <w:color w:val="auto"/>
              </w:rPr>
              <w:t>2,223</w:t>
            </w:r>
          </w:p>
        </w:tc>
      </w:tr>
      <w:tr>
        <w:trPr>
          <w:trHeight w:val="216"/>
        </w:trPr>
        <w:tc>
          <w:tcPr>
            <w:tcW w:w="5520" w:type="dxa"/>
            <w:vAlign w:val="bottom"/>
            <w:gridSpan w:val="2"/>
          </w:tcPr>
          <w:p>
            <w:pPr>
              <w:spacing w:after="0"/>
              <w:rPr>
                <w:sz w:val="20"/>
                <w:szCs w:val="20"/>
                <w:color w:val="auto"/>
              </w:rPr>
            </w:pPr>
            <w:r>
              <w:rPr>
                <w:rFonts w:ascii="Arial" w:cs="Arial" w:eastAsia="Arial" w:hAnsi="Arial"/>
                <w:sz w:val="18"/>
                <w:szCs w:val="18"/>
                <w:color w:val="auto"/>
              </w:rPr>
              <w:t>Additions</w:t>
            </w: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670</w:t>
            </w:r>
          </w:p>
        </w:tc>
        <w:tc>
          <w:tcPr>
            <w:tcW w:w="120" w:type="dxa"/>
            <w:vAlign w:val="bottom"/>
          </w:tcPr>
          <w:p>
            <w:pPr>
              <w:spacing w:after="0"/>
              <w:rPr>
                <w:sz w:val="18"/>
                <w:szCs w:val="18"/>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57</w:t>
            </w:r>
          </w:p>
        </w:tc>
        <w:tc>
          <w:tcPr>
            <w:tcW w:w="100" w:type="dxa"/>
            <w:vAlign w:val="bottom"/>
          </w:tcPr>
          <w:p>
            <w:pPr>
              <w:spacing w:after="0"/>
              <w:rPr>
                <w:sz w:val="18"/>
                <w:szCs w:val="18"/>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727</w:t>
            </w:r>
          </w:p>
        </w:tc>
      </w:tr>
      <w:tr>
        <w:trPr>
          <w:trHeight w:val="216"/>
        </w:trPr>
        <w:tc>
          <w:tcPr>
            <w:tcW w:w="5520" w:type="dxa"/>
            <w:vAlign w:val="bottom"/>
            <w:gridSpan w:val="2"/>
            <w:shd w:val="clear" w:color="auto" w:fill="D5EAEA"/>
          </w:tcPr>
          <w:p>
            <w:pPr>
              <w:spacing w:after="0"/>
              <w:rPr>
                <w:sz w:val="20"/>
                <w:szCs w:val="20"/>
                <w:color w:val="auto"/>
              </w:rPr>
            </w:pPr>
            <w:r>
              <w:rPr>
                <w:rFonts w:ascii="Arial" w:cs="Arial" w:eastAsia="Arial" w:hAnsi="Arial"/>
                <w:sz w:val="18"/>
                <w:szCs w:val="18"/>
                <w:color w:val="auto"/>
              </w:rPr>
              <w:t>Disposals</w:t>
            </w:r>
          </w:p>
        </w:tc>
        <w:tc>
          <w:tcPr>
            <w:tcW w:w="1500" w:type="dxa"/>
            <w:vAlign w:val="bottom"/>
            <w:gridSpan w:val="2"/>
            <w:shd w:val="clear" w:color="auto" w:fill="D5EAEA"/>
          </w:tcPr>
          <w:p>
            <w:pPr>
              <w:jc w:val="right"/>
              <w:ind w:right="240"/>
              <w:spacing w:after="0"/>
              <w:rPr>
                <w:sz w:val="20"/>
                <w:szCs w:val="20"/>
                <w:color w:val="auto"/>
              </w:rPr>
            </w:pPr>
            <w:r>
              <w:rPr>
                <w:rFonts w:ascii="Arial" w:cs="Arial" w:eastAsia="Arial" w:hAnsi="Arial"/>
                <w:sz w:val="18"/>
                <w:szCs w:val="18"/>
                <w:color w:val="auto"/>
              </w:rPr>
              <w:t>—</w:t>
            </w:r>
          </w:p>
        </w:tc>
        <w:tc>
          <w:tcPr>
            <w:tcW w:w="1340" w:type="dxa"/>
            <w:vAlign w:val="bottom"/>
            <w:shd w:val="clear" w:color="auto" w:fill="D5EAEA"/>
          </w:tcPr>
          <w:p>
            <w:pPr>
              <w:jc w:val="right"/>
              <w:spacing w:after="0"/>
              <w:rPr>
                <w:sz w:val="20"/>
                <w:szCs w:val="20"/>
                <w:color w:val="auto"/>
              </w:rPr>
            </w:pPr>
            <w:r>
              <w:rPr>
                <w:rFonts w:ascii="Arial" w:cs="Arial" w:eastAsia="Arial" w:hAnsi="Arial"/>
                <w:sz w:val="18"/>
                <w:szCs w:val="18"/>
                <w:color w:val="auto"/>
              </w:rPr>
              <w:t>(11)</w:t>
            </w:r>
          </w:p>
        </w:tc>
        <w:tc>
          <w:tcPr>
            <w:tcW w:w="100" w:type="dxa"/>
            <w:vAlign w:val="bottom"/>
            <w:shd w:val="clear" w:color="auto" w:fill="D5EAEA"/>
          </w:tcPr>
          <w:p>
            <w:pPr>
              <w:spacing w:after="0"/>
              <w:rPr>
                <w:sz w:val="18"/>
                <w:szCs w:val="18"/>
                <w:color w:val="auto"/>
              </w:rPr>
            </w:pPr>
          </w:p>
        </w:tc>
        <w:tc>
          <w:tcPr>
            <w:tcW w:w="1440" w:type="dxa"/>
            <w:vAlign w:val="bottom"/>
            <w:gridSpan w:val="2"/>
            <w:shd w:val="clear" w:color="auto" w:fill="D5EAEA"/>
          </w:tcPr>
          <w:p>
            <w:pPr>
              <w:jc w:val="right"/>
              <w:ind w:right="220"/>
              <w:spacing w:after="0"/>
              <w:rPr>
                <w:sz w:val="20"/>
                <w:szCs w:val="20"/>
                <w:color w:val="auto"/>
              </w:rPr>
            </w:pPr>
            <w:r>
              <w:rPr>
                <w:rFonts w:ascii="Arial" w:cs="Arial" w:eastAsia="Arial" w:hAnsi="Arial"/>
                <w:sz w:val="18"/>
                <w:szCs w:val="18"/>
                <w:color w:val="auto"/>
              </w:rPr>
              <w:t>—</w:t>
            </w:r>
          </w:p>
        </w:tc>
        <w:tc>
          <w:tcPr>
            <w:tcW w:w="1340" w:type="dxa"/>
            <w:vAlign w:val="bottom"/>
            <w:shd w:val="clear" w:color="auto" w:fill="D5EAEA"/>
          </w:tcPr>
          <w:p>
            <w:pPr>
              <w:jc w:val="right"/>
              <w:spacing w:after="0"/>
              <w:rPr>
                <w:sz w:val="20"/>
                <w:szCs w:val="20"/>
                <w:color w:val="auto"/>
              </w:rPr>
            </w:pPr>
            <w:r>
              <w:rPr>
                <w:rFonts w:ascii="Arial" w:cs="Arial" w:eastAsia="Arial" w:hAnsi="Arial"/>
                <w:sz w:val="18"/>
                <w:szCs w:val="18"/>
                <w:color w:val="auto"/>
              </w:rPr>
              <w:t>(11)</w:t>
            </w:r>
          </w:p>
        </w:tc>
      </w:tr>
      <w:tr>
        <w:trPr>
          <w:trHeight w:val="230"/>
        </w:trPr>
        <w:tc>
          <w:tcPr>
            <w:tcW w:w="5520" w:type="dxa"/>
            <w:vAlign w:val="bottom"/>
            <w:tcBorders>
              <w:bottom w:val="single" w:sz="8" w:color="D5EAEA"/>
            </w:tcBorders>
            <w:gridSpan w:val="2"/>
          </w:tcPr>
          <w:p>
            <w:pPr>
              <w:spacing w:after="0"/>
              <w:rPr>
                <w:sz w:val="20"/>
                <w:szCs w:val="20"/>
                <w:color w:val="auto"/>
              </w:rPr>
            </w:pPr>
            <w:r>
              <w:rPr>
                <w:rFonts w:ascii="Arial" w:cs="Arial" w:eastAsia="Arial" w:hAnsi="Arial"/>
                <w:sz w:val="18"/>
                <w:szCs w:val="18"/>
                <w:color w:val="auto"/>
              </w:rPr>
              <w:t>Depreciation</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(341)</w:t>
            </w:r>
          </w:p>
        </w:tc>
        <w:tc>
          <w:tcPr>
            <w:tcW w:w="120" w:type="dxa"/>
            <w:vAlign w:val="bottom"/>
            <w:tcBorders>
              <w:bottom w:val="single" w:sz="8" w:color="D5EAEA"/>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D5EAEA"/>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D5EAEA"/>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(367)</w:t>
            </w:r>
          </w:p>
        </w:tc>
      </w:tr>
      <w:tr>
        <w:trPr>
          <w:trHeight w:val="223"/>
        </w:trPr>
        <w:tc>
          <w:tcPr>
            <w:tcW w:w="5520" w:type="dxa"/>
            <w:vAlign w:val="bottom"/>
            <w:tcBorders>
              <w:bottom w:val="single" w:sz="8" w:color="D5EAEA"/>
            </w:tcBorders>
            <w:gridSpan w:val="2"/>
            <w:shd w:val="clear" w:color="auto" w:fill="D5EAEA"/>
          </w:tcPr>
          <w:p>
            <w:pPr>
              <w:spacing w:after="0"/>
              <w:rPr>
                <w:sz w:val="20"/>
                <w:szCs w:val="20"/>
                <w:color w:val="auto"/>
              </w:rPr>
            </w:pPr>
            <w:r>
              <w:rPr>
                <w:rFonts w:ascii="Arial" w:cs="Arial" w:eastAsia="Arial" w:hAnsi="Arial"/>
                <w:sz w:val="18"/>
                <w:szCs w:val="18"/>
                <w:b w:val="1"/>
                <w:bCs w:val="1"/>
                <w:color w:val="auto"/>
              </w:rPr>
              <w:t>Balance as of September 30, 2021</w:t>
            </w:r>
          </w:p>
        </w:tc>
        <w:tc>
          <w:tcPr>
            <w:tcW w:w="1380" w:type="dxa"/>
            <w:vAlign w:val="bottom"/>
            <w:tcBorders>
              <w:bottom w:val="single" w:sz="8" w:color="auto"/>
            </w:tcBorders>
            <w:shd w:val="clear" w:color="auto" w:fill="D5EAEA"/>
          </w:tcPr>
          <w:p>
            <w:pPr>
              <w:jc w:val="right"/>
              <w:ind w:right="30"/>
              <w:spacing w:after="0"/>
              <w:rPr>
                <w:sz w:val="20"/>
                <w:szCs w:val="20"/>
                <w:color w:val="auto"/>
              </w:rPr>
            </w:pPr>
            <w:r>
              <w:rPr>
                <w:rFonts w:ascii="Arial" w:cs="Arial" w:eastAsia="Arial" w:hAnsi="Arial"/>
                <w:sz w:val="18"/>
                <w:szCs w:val="18"/>
                <w:color w:val="auto"/>
              </w:rPr>
              <w:t>2,435</w:t>
            </w:r>
          </w:p>
        </w:tc>
        <w:tc>
          <w:tcPr>
            <w:tcW w:w="120" w:type="dxa"/>
            <w:vAlign w:val="bottom"/>
            <w:tcBorders>
              <w:bottom w:val="single" w:sz="8" w:color="D5EAEA"/>
            </w:tcBorders>
            <w:shd w:val="clear" w:color="auto" w:fill="D5EAEA"/>
          </w:tcPr>
          <w:p>
            <w:pPr>
              <w:spacing w:after="0"/>
              <w:rPr>
                <w:sz w:val="19"/>
                <w:szCs w:val="19"/>
                <w:color w:val="auto"/>
              </w:rPr>
            </w:pPr>
          </w:p>
        </w:tc>
        <w:tc>
          <w:tcPr>
            <w:tcW w:w="1340" w:type="dxa"/>
            <w:vAlign w:val="bottom"/>
            <w:tcBorders>
              <w:bottom w:val="single" w:sz="8" w:color="auto"/>
            </w:tcBorders>
            <w:shd w:val="clear" w:color="auto" w:fill="D5EAEA"/>
          </w:tcPr>
          <w:p>
            <w:pPr>
              <w:jc w:val="right"/>
              <w:ind w:right="30"/>
              <w:spacing w:after="0"/>
              <w:rPr>
                <w:sz w:val="20"/>
                <w:szCs w:val="20"/>
                <w:color w:val="auto"/>
              </w:rPr>
            </w:pPr>
            <w:r>
              <w:rPr>
                <w:rFonts w:ascii="Arial" w:cs="Arial" w:eastAsia="Arial" w:hAnsi="Arial"/>
                <w:sz w:val="18"/>
                <w:szCs w:val="18"/>
                <w:color w:val="auto"/>
              </w:rPr>
              <w:t>94</w:t>
            </w:r>
          </w:p>
        </w:tc>
        <w:tc>
          <w:tcPr>
            <w:tcW w:w="100" w:type="dxa"/>
            <w:vAlign w:val="bottom"/>
            <w:tcBorders>
              <w:bottom w:val="single" w:sz="8" w:color="D5EAEA"/>
            </w:tcBorders>
            <w:shd w:val="clear" w:color="auto" w:fill="D5EAEA"/>
          </w:tcPr>
          <w:p>
            <w:pPr>
              <w:spacing w:after="0"/>
              <w:rPr>
                <w:sz w:val="19"/>
                <w:szCs w:val="19"/>
                <w:color w:val="auto"/>
              </w:rPr>
            </w:pPr>
          </w:p>
        </w:tc>
        <w:tc>
          <w:tcPr>
            <w:tcW w:w="1340" w:type="dxa"/>
            <w:vAlign w:val="bottom"/>
            <w:tcBorders>
              <w:bottom w:val="single" w:sz="8" w:color="auto"/>
            </w:tcBorders>
            <w:shd w:val="clear" w:color="auto" w:fill="D5EAEA"/>
          </w:tcPr>
          <w:p>
            <w:pPr>
              <w:jc w:val="right"/>
              <w:ind w:right="30"/>
              <w:spacing w:after="0"/>
              <w:rPr>
                <w:sz w:val="20"/>
                <w:szCs w:val="20"/>
                <w:color w:val="auto"/>
              </w:rPr>
            </w:pPr>
            <w:r>
              <w:rPr>
                <w:rFonts w:ascii="Arial" w:cs="Arial" w:eastAsia="Arial" w:hAnsi="Arial"/>
                <w:sz w:val="18"/>
                <w:szCs w:val="18"/>
                <w:color w:val="auto"/>
              </w:rPr>
              <w:t>43</w:t>
            </w:r>
          </w:p>
        </w:tc>
        <w:tc>
          <w:tcPr>
            <w:tcW w:w="100" w:type="dxa"/>
            <w:vAlign w:val="bottom"/>
            <w:tcBorders>
              <w:bottom w:val="single" w:sz="8" w:color="D5EAEA"/>
            </w:tcBorders>
            <w:shd w:val="clear" w:color="auto" w:fill="D5EAEA"/>
          </w:tcPr>
          <w:p>
            <w:pPr>
              <w:spacing w:after="0"/>
              <w:rPr>
                <w:sz w:val="19"/>
                <w:szCs w:val="19"/>
                <w:color w:val="auto"/>
              </w:rPr>
            </w:pPr>
          </w:p>
        </w:tc>
        <w:tc>
          <w:tcPr>
            <w:tcW w:w="1340" w:type="dxa"/>
            <w:vAlign w:val="bottom"/>
            <w:tcBorders>
              <w:bottom w:val="single" w:sz="8" w:color="auto"/>
            </w:tcBorders>
            <w:shd w:val="clear" w:color="auto" w:fill="D5EAEA"/>
          </w:tcPr>
          <w:p>
            <w:pPr>
              <w:jc w:val="right"/>
              <w:ind w:right="10"/>
              <w:spacing w:after="0"/>
              <w:rPr>
                <w:sz w:val="20"/>
                <w:szCs w:val="20"/>
                <w:color w:val="auto"/>
              </w:rPr>
            </w:pPr>
            <w:r>
              <w:rPr>
                <w:rFonts w:ascii="Arial" w:cs="Arial" w:eastAsia="Arial" w:hAnsi="Arial"/>
                <w:sz w:val="18"/>
                <w:szCs w:val="18"/>
                <w:color w:val="auto"/>
              </w:rPr>
              <w:t>2,572</w:t>
            </w:r>
          </w:p>
        </w:tc>
      </w:tr>
      <w:tr>
        <w:trPr>
          <w:trHeight w:val="20"/>
        </w:trPr>
        <w:tc>
          <w:tcPr>
            <w:tcW w:w="5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300" w:firstLine="324"/>
        <w:spacing w:after="0" w:line="277" w:lineRule="auto"/>
        <w:rPr>
          <w:sz w:val="20"/>
          <w:szCs w:val="20"/>
          <w:color w:val="auto"/>
        </w:rPr>
      </w:pPr>
      <w:r>
        <w:rPr>
          <w:rFonts w:ascii="Arial" w:cs="Arial" w:eastAsia="Arial" w:hAnsi="Arial"/>
          <w:sz w:val="18"/>
          <w:szCs w:val="18"/>
          <w:color w:val="auto"/>
        </w:rPr>
        <w:t>There are no variable lease payments that are not included in the measurement of lease obligations. All extension options have been included in the measurement of lease obligations.</w:t>
      </w:r>
    </w:p>
    <w:p>
      <w:pPr>
        <w:spacing w:after="0" w:line="170" w:lineRule="exact"/>
        <w:rPr>
          <w:sz w:val="20"/>
          <w:szCs w:val="20"/>
          <w:color w:val="auto"/>
        </w:rPr>
      </w:pPr>
    </w:p>
    <w:p>
      <w:pPr>
        <w:ind w:right="140" w:firstLine="324"/>
        <w:spacing w:after="0" w:line="277" w:lineRule="auto"/>
        <w:rPr>
          <w:sz w:val="20"/>
          <w:szCs w:val="20"/>
          <w:color w:val="auto"/>
        </w:rPr>
      </w:pPr>
      <w:r>
        <w:rPr>
          <w:rFonts w:ascii="Arial" w:cs="Arial" w:eastAsia="Arial" w:hAnsi="Arial"/>
          <w:sz w:val="18"/>
          <w:szCs w:val="18"/>
          <w:color w:val="auto"/>
        </w:rPr>
        <w:t>For the three and nine months ended September 30, 2021, and 2020, the impact on the Company’s statements of income/(loss) and statements of cash flows is as follows: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0" w:type="dxa"/>
            <w:vAlign w:val="bottom"/>
            <w:gridSpan w:val="3"/>
          </w:tcPr>
          <w:p>
            <w:pPr>
              <w:jc w:val="right"/>
              <w:ind w:right="450"/>
              <w:spacing w:after="0"/>
              <w:rPr>
                <w:sz w:val="20"/>
                <w:szCs w:val="20"/>
                <w:color w:val="auto"/>
              </w:rPr>
            </w:pPr>
            <w:r>
              <w:rPr>
                <w:rFonts w:ascii="Arial" w:cs="Arial" w:eastAsia="Arial" w:hAnsi="Arial"/>
                <w:sz w:val="18"/>
                <w:szCs w:val="18"/>
                <w:b w:val="1"/>
                <w:bCs w:val="1"/>
                <w:color w:val="auto"/>
              </w:rPr>
              <w:t>For the Three Months</w:t>
            </w:r>
          </w:p>
        </w:tc>
      </w:tr>
      <w:tr>
        <w:trPr>
          <w:trHeight w:val="234"/>
        </w:trPr>
        <w:tc>
          <w:tcPr>
            <w:tcW w:w="8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0" w:type="dxa"/>
            <w:vAlign w:val="bottom"/>
            <w:tcBorders>
              <w:bottom w:val="single" w:sz="8" w:color="auto"/>
            </w:tcBorders>
            <w:gridSpan w:val="3"/>
          </w:tcPr>
          <w:p>
            <w:pPr>
              <w:jc w:val="right"/>
              <w:ind w:right="490"/>
              <w:spacing w:after="0"/>
              <w:rPr>
                <w:sz w:val="20"/>
                <w:szCs w:val="20"/>
                <w:color w:val="auto"/>
              </w:rPr>
            </w:pPr>
            <w:r>
              <w:rPr>
                <w:rFonts w:ascii="Arial" w:cs="Arial" w:eastAsia="Arial" w:hAnsi="Arial"/>
                <w:sz w:val="18"/>
                <w:szCs w:val="18"/>
                <w:b w:val="1"/>
                <w:bCs w:val="1"/>
                <w:color w:val="auto"/>
              </w:rPr>
              <w:t>Ended September 30,</w:t>
            </w:r>
          </w:p>
        </w:tc>
      </w:tr>
      <w:tr>
        <w:trPr>
          <w:trHeight w:val="223"/>
        </w:trPr>
        <w:tc>
          <w:tcPr>
            <w:tcW w:w="8440" w:type="dxa"/>
            <w:vAlign w:val="bottom"/>
            <w:gridSpan w:val="2"/>
          </w:tcPr>
          <w:p>
            <w:pPr>
              <w:ind w:left="3460"/>
              <w:spacing w:after="0"/>
              <w:rPr>
                <w:sz w:val="20"/>
                <w:szCs w:val="20"/>
                <w:color w:val="auto"/>
              </w:rPr>
            </w:pPr>
            <w:r>
              <w:rPr>
                <w:rFonts w:ascii="Arial" w:cs="Arial" w:eastAsia="Arial" w:hAnsi="Arial"/>
                <w:sz w:val="18"/>
                <w:szCs w:val="18"/>
                <w:b w:val="1"/>
                <w:bCs w:val="1"/>
                <w:color w:val="auto"/>
              </w:rPr>
              <w:t>in CHF thousands</w:t>
            </w:r>
          </w:p>
        </w:tc>
        <w:tc>
          <w:tcPr>
            <w:tcW w:w="1360" w:type="dxa"/>
            <w:vAlign w:val="bottom"/>
          </w:tcPr>
          <w:p>
            <w:pPr>
              <w:jc w:val="right"/>
              <w:ind w:right="41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9"/>
                <w:szCs w:val="19"/>
                <w:color w:val="auto"/>
              </w:rPr>
            </w:pPr>
          </w:p>
        </w:tc>
        <w:tc>
          <w:tcPr>
            <w:tcW w:w="1340" w:type="dxa"/>
            <w:vAlign w:val="bottom"/>
          </w:tcPr>
          <w:p>
            <w:pPr>
              <w:jc w:val="right"/>
              <w:ind w:right="390"/>
              <w:spacing w:after="0"/>
              <w:rPr>
                <w:sz w:val="20"/>
                <w:szCs w:val="20"/>
                <w:color w:val="auto"/>
              </w:rPr>
            </w:pPr>
            <w:r>
              <w:rPr>
                <w:rFonts w:ascii="Arial" w:cs="Arial" w:eastAsia="Arial" w:hAnsi="Arial"/>
                <w:sz w:val="18"/>
                <w:szCs w:val="18"/>
                <w:b w:val="1"/>
                <w:bCs w:val="1"/>
                <w:color w:val="auto"/>
              </w:rPr>
              <w:t>2020</w:t>
            </w:r>
          </w:p>
        </w:tc>
      </w:tr>
      <w:tr>
        <w:trPr>
          <w:trHeight w:val="210"/>
        </w:trPr>
        <w:tc>
          <w:tcPr>
            <w:tcW w:w="8320" w:type="dxa"/>
            <w:vAlign w:val="bottom"/>
            <w:tcBorders>
              <w:top w:val="single" w:sz="8" w:color="auto"/>
            </w:tcBorders>
            <w:shd w:val="clear" w:color="auto" w:fill="D5EAEA"/>
          </w:tcPr>
          <w:p>
            <w:pPr>
              <w:spacing w:after="0"/>
              <w:rPr>
                <w:sz w:val="20"/>
                <w:szCs w:val="20"/>
                <w:color w:val="auto"/>
              </w:rPr>
            </w:pPr>
            <w:r>
              <w:rPr>
                <w:rFonts w:ascii="Arial" w:cs="Arial" w:eastAsia="Arial" w:hAnsi="Arial"/>
                <w:sz w:val="18"/>
                <w:szCs w:val="18"/>
                <w:i w:val="1"/>
                <w:iCs w:val="1"/>
                <w:color w:val="auto"/>
              </w:rPr>
              <w:t>Statements of income/(loss)</w:t>
            </w:r>
          </w:p>
        </w:tc>
        <w:tc>
          <w:tcPr>
            <w:tcW w:w="120" w:type="dxa"/>
            <w:vAlign w:val="bottom"/>
            <w:tcBorders>
              <w:top w:val="single" w:sz="8" w:color="D5EAEA"/>
            </w:tcBorders>
            <w:shd w:val="clear" w:color="auto" w:fill="D5EAEA"/>
          </w:tcPr>
          <w:p>
            <w:pPr>
              <w:spacing w:after="0"/>
              <w:rPr>
                <w:sz w:val="18"/>
                <w:szCs w:val="18"/>
                <w:color w:val="auto"/>
              </w:rPr>
            </w:pPr>
          </w:p>
        </w:tc>
        <w:tc>
          <w:tcPr>
            <w:tcW w:w="1360" w:type="dxa"/>
            <w:vAlign w:val="bottom"/>
            <w:tcBorders>
              <w:top w:val="single" w:sz="8" w:color="auto"/>
            </w:tcBorders>
            <w:shd w:val="clear" w:color="auto" w:fill="D5EAEA"/>
          </w:tcPr>
          <w:p>
            <w:pPr>
              <w:spacing w:after="0"/>
              <w:rPr>
                <w:sz w:val="18"/>
                <w:szCs w:val="18"/>
                <w:color w:val="auto"/>
              </w:rPr>
            </w:pPr>
          </w:p>
        </w:tc>
        <w:tc>
          <w:tcPr>
            <w:tcW w:w="100" w:type="dxa"/>
            <w:vAlign w:val="bottom"/>
            <w:tcBorders>
              <w:top w:val="single" w:sz="8" w:color="D5EAEA"/>
            </w:tcBorders>
            <w:shd w:val="clear" w:color="auto" w:fill="D5EAEA"/>
          </w:tcPr>
          <w:p>
            <w:pPr>
              <w:spacing w:after="0"/>
              <w:rPr>
                <w:sz w:val="18"/>
                <w:szCs w:val="18"/>
                <w:color w:val="auto"/>
              </w:rPr>
            </w:pPr>
          </w:p>
        </w:tc>
        <w:tc>
          <w:tcPr>
            <w:tcW w:w="1340" w:type="dxa"/>
            <w:vAlign w:val="bottom"/>
            <w:tcBorders>
              <w:top w:val="single" w:sz="8" w:color="auto"/>
            </w:tcBorders>
            <w:shd w:val="clear" w:color="auto" w:fill="D5EAEA"/>
          </w:tcPr>
          <w:p>
            <w:pPr>
              <w:spacing w:after="0"/>
              <w:rPr>
                <w:sz w:val="18"/>
                <w:szCs w:val="18"/>
                <w:color w:val="auto"/>
              </w:rPr>
            </w:pPr>
          </w:p>
        </w:tc>
      </w:tr>
      <w:tr>
        <w:trPr>
          <w:trHeight w:val="216"/>
        </w:trPr>
        <w:tc>
          <w:tcPr>
            <w:tcW w:w="8440" w:type="dxa"/>
            <w:vAlign w:val="bottom"/>
            <w:gridSpan w:val="2"/>
          </w:tcPr>
          <w:p>
            <w:pPr>
              <w:spacing w:after="0"/>
              <w:rPr>
                <w:sz w:val="20"/>
                <w:szCs w:val="20"/>
                <w:color w:val="auto"/>
              </w:rPr>
            </w:pPr>
            <w:r>
              <w:rPr>
                <w:rFonts w:ascii="Arial" w:cs="Arial" w:eastAsia="Arial" w:hAnsi="Arial"/>
                <w:sz w:val="18"/>
                <w:szCs w:val="18"/>
                <w:color w:val="auto"/>
              </w:rPr>
              <w:t>Depreciation of right-of-use assets</w:t>
            </w: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141</w:t>
            </w:r>
          </w:p>
        </w:tc>
        <w:tc>
          <w:tcPr>
            <w:tcW w:w="100" w:type="dxa"/>
            <w:vAlign w:val="bottom"/>
          </w:tcPr>
          <w:p>
            <w:pPr>
              <w:spacing w:after="0"/>
              <w:rPr>
                <w:sz w:val="18"/>
                <w:szCs w:val="18"/>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108</w:t>
            </w:r>
          </w:p>
        </w:tc>
      </w:tr>
      <w:tr>
        <w:trPr>
          <w:trHeight w:val="216"/>
        </w:trPr>
        <w:tc>
          <w:tcPr>
            <w:tcW w:w="8440" w:type="dxa"/>
            <w:vAlign w:val="bottom"/>
            <w:gridSpan w:val="2"/>
            <w:shd w:val="clear" w:color="auto" w:fill="D5EAEA"/>
          </w:tcPr>
          <w:p>
            <w:pPr>
              <w:spacing w:after="0"/>
              <w:rPr>
                <w:sz w:val="20"/>
                <w:szCs w:val="20"/>
                <w:color w:val="auto"/>
              </w:rPr>
            </w:pPr>
            <w:r>
              <w:rPr>
                <w:rFonts w:ascii="Arial" w:cs="Arial" w:eastAsia="Arial" w:hAnsi="Arial"/>
                <w:sz w:val="18"/>
                <w:szCs w:val="18"/>
                <w:color w:val="auto"/>
              </w:rPr>
              <w:t>Interest expense on lease liabilities</w:t>
            </w:r>
          </w:p>
        </w:tc>
        <w:tc>
          <w:tcPr>
            <w:tcW w:w="1360" w:type="dxa"/>
            <w:vAlign w:val="bottom"/>
            <w:shd w:val="clear" w:color="auto" w:fill="D5EAEA"/>
          </w:tcPr>
          <w:p>
            <w:pPr>
              <w:jc w:val="right"/>
              <w:ind w:right="30"/>
              <w:spacing w:after="0"/>
              <w:rPr>
                <w:sz w:val="20"/>
                <w:szCs w:val="20"/>
                <w:color w:val="auto"/>
              </w:rPr>
            </w:pPr>
            <w:r>
              <w:rPr>
                <w:rFonts w:ascii="Arial" w:cs="Arial" w:eastAsia="Arial" w:hAnsi="Arial"/>
                <w:sz w:val="18"/>
                <w:szCs w:val="18"/>
                <w:color w:val="auto"/>
              </w:rPr>
              <w:t>17</w:t>
            </w:r>
          </w:p>
        </w:tc>
        <w:tc>
          <w:tcPr>
            <w:tcW w:w="100" w:type="dxa"/>
            <w:vAlign w:val="bottom"/>
            <w:shd w:val="clear" w:color="auto" w:fill="D5EAEA"/>
          </w:tcPr>
          <w:p>
            <w:pPr>
              <w:spacing w:after="0"/>
              <w:rPr>
                <w:sz w:val="18"/>
                <w:szCs w:val="18"/>
                <w:color w:val="auto"/>
              </w:rPr>
            </w:pPr>
          </w:p>
        </w:tc>
        <w:tc>
          <w:tcPr>
            <w:tcW w:w="134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13</w:t>
            </w:r>
          </w:p>
        </w:tc>
      </w:tr>
      <w:tr>
        <w:trPr>
          <w:trHeight w:val="230"/>
        </w:trPr>
        <w:tc>
          <w:tcPr>
            <w:tcW w:w="8440" w:type="dxa"/>
            <w:vAlign w:val="bottom"/>
            <w:tcBorders>
              <w:bottom w:val="single" w:sz="8" w:color="D5EAEA"/>
            </w:tcBorders>
            <w:gridSpan w:val="2"/>
          </w:tcPr>
          <w:p>
            <w:pPr>
              <w:spacing w:after="0"/>
              <w:rPr>
                <w:sz w:val="20"/>
                <w:szCs w:val="20"/>
                <w:color w:val="auto"/>
              </w:rPr>
            </w:pPr>
            <w:r>
              <w:rPr>
                <w:rFonts w:ascii="Arial" w:cs="Arial" w:eastAsia="Arial" w:hAnsi="Arial"/>
                <w:sz w:val="18"/>
                <w:szCs w:val="18"/>
                <w:color w:val="auto"/>
              </w:rPr>
              <w:t>Expense for short-term leases and leases of low value</w:t>
            </w:r>
          </w:p>
        </w:tc>
        <w:tc>
          <w:tcPr>
            <w:tcW w:w="13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231</w:t>
            </w:r>
          </w:p>
        </w:tc>
        <w:tc>
          <w:tcPr>
            <w:tcW w:w="100" w:type="dxa"/>
            <w:vAlign w:val="bottom"/>
            <w:tcBorders>
              <w:bottom w:val="single" w:sz="8" w:color="D5EAEA"/>
            </w:tcBorders>
          </w:tcPr>
          <w:p>
            <w:pPr>
              <w:spacing w:after="0"/>
              <w:rPr>
                <w:sz w:val="19"/>
                <w:szCs w:val="19"/>
                <w:color w:val="auto"/>
              </w:rPr>
            </w:pPr>
          </w:p>
        </w:tc>
        <w:tc>
          <w:tcPr>
            <w:tcW w:w="13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154</w:t>
            </w:r>
          </w:p>
        </w:tc>
      </w:tr>
      <w:tr>
        <w:trPr>
          <w:trHeight w:val="223"/>
        </w:trPr>
        <w:tc>
          <w:tcPr>
            <w:tcW w:w="8440" w:type="dxa"/>
            <w:vAlign w:val="bottom"/>
            <w:tcBorders>
              <w:bottom w:val="single" w:sz="8" w:color="D5EAEA"/>
            </w:tcBorders>
            <w:gridSpan w:val="2"/>
            <w:shd w:val="clear" w:color="auto" w:fill="D5EAEA"/>
          </w:tcPr>
          <w:p>
            <w:pPr>
              <w:spacing w:after="0"/>
              <w:rPr>
                <w:sz w:val="20"/>
                <w:szCs w:val="20"/>
                <w:color w:val="auto"/>
              </w:rPr>
            </w:pPr>
            <w:r>
              <w:rPr>
                <w:rFonts w:ascii="Arial" w:cs="Arial" w:eastAsia="Arial" w:hAnsi="Arial"/>
                <w:sz w:val="18"/>
                <w:szCs w:val="18"/>
                <w:b w:val="1"/>
                <w:bCs w:val="1"/>
                <w:color w:val="auto"/>
              </w:rPr>
              <w:t>Total</w:t>
            </w:r>
          </w:p>
        </w:tc>
        <w:tc>
          <w:tcPr>
            <w:tcW w:w="1360" w:type="dxa"/>
            <w:vAlign w:val="bottom"/>
            <w:tcBorders>
              <w:bottom w:val="single" w:sz="8" w:color="auto"/>
            </w:tcBorders>
            <w:shd w:val="clear" w:color="auto" w:fill="D5EAEA"/>
          </w:tcPr>
          <w:p>
            <w:pPr>
              <w:jc w:val="right"/>
              <w:ind w:right="30"/>
              <w:spacing w:after="0"/>
              <w:rPr>
                <w:sz w:val="20"/>
                <w:szCs w:val="20"/>
                <w:color w:val="auto"/>
              </w:rPr>
            </w:pPr>
            <w:r>
              <w:rPr>
                <w:rFonts w:ascii="Arial" w:cs="Arial" w:eastAsia="Arial" w:hAnsi="Arial"/>
                <w:sz w:val="18"/>
                <w:szCs w:val="18"/>
                <w:color w:val="auto"/>
              </w:rPr>
              <w:t>389</w:t>
            </w:r>
          </w:p>
        </w:tc>
        <w:tc>
          <w:tcPr>
            <w:tcW w:w="100" w:type="dxa"/>
            <w:vAlign w:val="bottom"/>
            <w:tcBorders>
              <w:bottom w:val="single" w:sz="8" w:color="D5EAEA"/>
            </w:tcBorders>
            <w:shd w:val="clear" w:color="auto" w:fill="D5EAEA"/>
          </w:tcPr>
          <w:p>
            <w:pPr>
              <w:spacing w:after="0"/>
              <w:rPr>
                <w:sz w:val="19"/>
                <w:szCs w:val="19"/>
                <w:color w:val="auto"/>
              </w:rPr>
            </w:pPr>
          </w:p>
        </w:tc>
        <w:tc>
          <w:tcPr>
            <w:tcW w:w="1340" w:type="dxa"/>
            <w:vAlign w:val="bottom"/>
            <w:tcBorders>
              <w:bottom w:val="single" w:sz="8" w:color="auto"/>
            </w:tcBorders>
            <w:shd w:val="clear" w:color="auto" w:fill="D5EAEA"/>
          </w:tcPr>
          <w:p>
            <w:pPr>
              <w:jc w:val="right"/>
              <w:ind w:right="10"/>
              <w:spacing w:after="0"/>
              <w:rPr>
                <w:sz w:val="20"/>
                <w:szCs w:val="20"/>
                <w:color w:val="auto"/>
              </w:rPr>
            </w:pPr>
            <w:r>
              <w:rPr>
                <w:rFonts w:ascii="Arial" w:cs="Arial" w:eastAsia="Arial" w:hAnsi="Arial"/>
                <w:sz w:val="18"/>
                <w:szCs w:val="18"/>
                <w:color w:val="auto"/>
              </w:rPr>
              <w:t>275</w:t>
            </w:r>
          </w:p>
        </w:tc>
      </w:tr>
      <w:tr>
        <w:trPr>
          <w:trHeight w:val="20"/>
        </w:trPr>
        <w:tc>
          <w:tcPr>
            <w:tcW w:w="8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r>
        <w:trPr>
          <w:trHeight w:val="197"/>
        </w:trPr>
        <w:tc>
          <w:tcPr>
            <w:tcW w:w="8320" w:type="dxa"/>
            <w:vAlign w:val="bottom"/>
            <w:tcBorders>
              <w:bottom w:val="single" w:sz="8" w:color="D5EAEA"/>
            </w:tcBorders>
          </w:tcPr>
          <w:p>
            <w:pPr>
              <w:spacing w:after="0"/>
              <w:rPr>
                <w:sz w:val="17"/>
                <w:szCs w:val="17"/>
                <w:color w:val="auto"/>
              </w:rPr>
            </w:pPr>
          </w:p>
        </w:tc>
        <w:tc>
          <w:tcPr>
            <w:tcW w:w="120" w:type="dxa"/>
            <w:vAlign w:val="bottom"/>
            <w:tcBorders>
              <w:bottom w:val="single" w:sz="8" w:color="D5EAEA"/>
            </w:tcBorders>
          </w:tcPr>
          <w:p>
            <w:pPr>
              <w:spacing w:after="0"/>
              <w:rPr>
                <w:sz w:val="17"/>
                <w:szCs w:val="17"/>
                <w:color w:val="auto"/>
              </w:rPr>
            </w:pPr>
          </w:p>
        </w:tc>
        <w:tc>
          <w:tcPr>
            <w:tcW w:w="1360" w:type="dxa"/>
            <w:vAlign w:val="bottom"/>
            <w:tcBorders>
              <w:bottom w:val="single" w:sz="8" w:color="auto"/>
            </w:tcBorders>
          </w:tcPr>
          <w:p>
            <w:pPr>
              <w:spacing w:after="0"/>
              <w:rPr>
                <w:sz w:val="17"/>
                <w:szCs w:val="17"/>
                <w:color w:val="auto"/>
              </w:rPr>
            </w:pPr>
          </w:p>
        </w:tc>
        <w:tc>
          <w:tcPr>
            <w:tcW w:w="100" w:type="dxa"/>
            <w:vAlign w:val="bottom"/>
            <w:tcBorders>
              <w:bottom w:val="single" w:sz="8" w:color="D5EAEA"/>
            </w:tcBorders>
          </w:tcPr>
          <w:p>
            <w:pPr>
              <w:spacing w:after="0"/>
              <w:rPr>
                <w:sz w:val="17"/>
                <w:szCs w:val="17"/>
                <w:color w:val="auto"/>
              </w:rPr>
            </w:pPr>
          </w:p>
        </w:tc>
        <w:tc>
          <w:tcPr>
            <w:tcW w:w="1340" w:type="dxa"/>
            <w:vAlign w:val="bottom"/>
            <w:tcBorders>
              <w:bottom w:val="single" w:sz="8" w:color="auto"/>
            </w:tcBorders>
          </w:tcPr>
          <w:p>
            <w:pPr>
              <w:spacing w:after="0"/>
              <w:rPr>
                <w:sz w:val="17"/>
                <w:szCs w:val="17"/>
                <w:color w:val="auto"/>
              </w:rPr>
            </w:pPr>
          </w:p>
        </w:tc>
      </w:tr>
      <w:tr>
        <w:trPr>
          <w:trHeight w:val="210"/>
        </w:trPr>
        <w:tc>
          <w:tcPr>
            <w:tcW w:w="8440" w:type="dxa"/>
            <w:vAlign w:val="bottom"/>
            <w:gridSpan w:val="2"/>
            <w:shd w:val="clear" w:color="auto" w:fill="D5EAEA"/>
          </w:tcPr>
          <w:p>
            <w:pPr>
              <w:spacing w:after="0"/>
              <w:rPr>
                <w:sz w:val="20"/>
                <w:szCs w:val="20"/>
                <w:color w:val="auto"/>
              </w:rPr>
            </w:pPr>
            <w:r>
              <w:rPr>
                <w:rFonts w:ascii="Arial" w:cs="Arial" w:eastAsia="Arial" w:hAnsi="Arial"/>
                <w:sz w:val="18"/>
                <w:szCs w:val="18"/>
                <w:i w:val="1"/>
                <w:iCs w:val="1"/>
                <w:color w:val="auto"/>
              </w:rPr>
              <w:t>Statements of cash flows</w:t>
            </w:r>
          </w:p>
        </w:tc>
        <w:tc>
          <w:tcPr>
            <w:tcW w:w="1360" w:type="dxa"/>
            <w:vAlign w:val="bottom"/>
            <w:shd w:val="clear" w:color="auto" w:fill="D5EAEA"/>
          </w:tcPr>
          <w:p>
            <w:pPr>
              <w:spacing w:after="0"/>
              <w:rPr>
                <w:sz w:val="18"/>
                <w:szCs w:val="18"/>
                <w:color w:val="auto"/>
              </w:rPr>
            </w:pPr>
          </w:p>
        </w:tc>
        <w:tc>
          <w:tcPr>
            <w:tcW w:w="100" w:type="dxa"/>
            <w:vAlign w:val="bottom"/>
            <w:shd w:val="clear" w:color="auto" w:fill="D5EAEA"/>
          </w:tcPr>
          <w:p>
            <w:pPr>
              <w:spacing w:after="0"/>
              <w:rPr>
                <w:sz w:val="18"/>
                <w:szCs w:val="18"/>
                <w:color w:val="auto"/>
              </w:rPr>
            </w:pPr>
          </w:p>
        </w:tc>
        <w:tc>
          <w:tcPr>
            <w:tcW w:w="1340" w:type="dxa"/>
            <w:vAlign w:val="bottom"/>
            <w:shd w:val="clear" w:color="auto" w:fill="D5EAEA"/>
          </w:tcPr>
          <w:p>
            <w:pPr>
              <w:spacing w:after="0"/>
              <w:rPr>
                <w:sz w:val="18"/>
                <w:szCs w:val="18"/>
                <w:color w:val="auto"/>
              </w:rPr>
            </w:pPr>
          </w:p>
        </w:tc>
      </w:tr>
      <w:tr>
        <w:trPr>
          <w:trHeight w:val="243"/>
        </w:trPr>
        <w:tc>
          <w:tcPr>
            <w:tcW w:w="8440" w:type="dxa"/>
            <w:vAlign w:val="bottom"/>
            <w:gridSpan w:val="2"/>
          </w:tcPr>
          <w:p>
            <w:pPr>
              <w:spacing w:after="0"/>
              <w:rPr>
                <w:sz w:val="20"/>
                <w:szCs w:val="20"/>
                <w:color w:val="auto"/>
              </w:rPr>
            </w:pPr>
            <w:r>
              <w:rPr>
                <w:rFonts w:ascii="Arial" w:cs="Arial" w:eastAsia="Arial" w:hAnsi="Arial"/>
                <w:sz w:val="18"/>
                <w:szCs w:val="18"/>
                <w:color w:val="auto"/>
              </w:rPr>
              <w:t>Total cash outflow for leases</w:t>
            </w:r>
          </w:p>
        </w:tc>
        <w:tc>
          <w:tcPr>
            <w:tcW w:w="13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389</w:t>
            </w:r>
          </w:p>
        </w:tc>
        <w:tc>
          <w:tcPr>
            <w:tcW w:w="100" w:type="dxa"/>
            <w:vAlign w:val="bottom"/>
          </w:tcPr>
          <w:p>
            <w:pPr>
              <w:spacing w:after="0"/>
              <w:rPr>
                <w:sz w:val="21"/>
                <w:szCs w:val="21"/>
                <w:color w:val="auto"/>
              </w:rPr>
            </w:pPr>
          </w:p>
        </w:tc>
        <w:tc>
          <w:tcPr>
            <w:tcW w:w="13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275</w:t>
            </w:r>
          </w:p>
        </w:tc>
      </w:tr>
      <w:tr>
        <w:trPr>
          <w:trHeight w:val="20"/>
        </w:trPr>
        <w:tc>
          <w:tcPr>
            <w:tcW w:w="8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r>
        <w:trPr>
          <w:trHeight w:val="534"/>
        </w:trPr>
        <w:tc>
          <w:tcPr>
            <w:tcW w:w="83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800" w:right="339" w:bottom="1440" w:gutter="0" w:footer="0" w:header="0"/>
        </w:sectPr>
      </w:pPr>
    </w:p>
    <w:bookmarkStart w:id="14" w:name="page15"/>
    <w:bookmarkEnd w:id="1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0" w:type="dxa"/>
            <w:vAlign w:val="bottom"/>
            <w:gridSpan w:val="3"/>
          </w:tcPr>
          <w:p>
            <w:pPr>
              <w:jc w:val="right"/>
              <w:ind w:right="510"/>
              <w:spacing w:after="0"/>
              <w:rPr>
                <w:sz w:val="20"/>
                <w:szCs w:val="20"/>
                <w:color w:val="auto"/>
              </w:rPr>
            </w:pPr>
            <w:r>
              <w:rPr>
                <w:rFonts w:ascii="Arial" w:cs="Arial" w:eastAsia="Arial" w:hAnsi="Arial"/>
                <w:sz w:val="18"/>
                <w:szCs w:val="18"/>
                <w:b w:val="1"/>
                <w:bCs w:val="1"/>
                <w:color w:val="auto"/>
              </w:rPr>
              <w:t>For the Nine Months</w:t>
            </w:r>
          </w:p>
        </w:tc>
      </w:tr>
      <w:tr>
        <w:trPr>
          <w:trHeight w:val="234"/>
        </w:trPr>
        <w:tc>
          <w:tcPr>
            <w:tcW w:w="8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0" w:type="dxa"/>
            <w:vAlign w:val="bottom"/>
            <w:tcBorders>
              <w:bottom w:val="single" w:sz="8" w:color="auto"/>
            </w:tcBorders>
            <w:gridSpan w:val="3"/>
          </w:tcPr>
          <w:p>
            <w:pPr>
              <w:jc w:val="right"/>
              <w:ind w:right="490"/>
              <w:spacing w:after="0"/>
              <w:rPr>
                <w:sz w:val="20"/>
                <w:szCs w:val="20"/>
                <w:color w:val="auto"/>
              </w:rPr>
            </w:pPr>
            <w:r>
              <w:rPr>
                <w:rFonts w:ascii="Arial" w:cs="Arial" w:eastAsia="Arial" w:hAnsi="Arial"/>
                <w:sz w:val="18"/>
                <w:szCs w:val="18"/>
                <w:b w:val="1"/>
                <w:bCs w:val="1"/>
                <w:color w:val="auto"/>
              </w:rPr>
              <w:t>Ended September 30,</w:t>
            </w:r>
          </w:p>
        </w:tc>
      </w:tr>
      <w:tr>
        <w:trPr>
          <w:trHeight w:val="223"/>
        </w:trPr>
        <w:tc>
          <w:tcPr>
            <w:tcW w:w="8440" w:type="dxa"/>
            <w:vAlign w:val="bottom"/>
            <w:gridSpan w:val="2"/>
          </w:tcPr>
          <w:p>
            <w:pPr>
              <w:ind w:left="3460"/>
              <w:spacing w:after="0"/>
              <w:rPr>
                <w:sz w:val="20"/>
                <w:szCs w:val="20"/>
                <w:color w:val="auto"/>
              </w:rPr>
            </w:pPr>
            <w:r>
              <w:rPr>
                <w:rFonts w:ascii="Arial" w:cs="Arial" w:eastAsia="Arial" w:hAnsi="Arial"/>
                <w:sz w:val="18"/>
                <w:szCs w:val="18"/>
                <w:b w:val="1"/>
                <w:bCs w:val="1"/>
                <w:color w:val="auto"/>
              </w:rPr>
              <w:t>in CHF thousands</w:t>
            </w:r>
          </w:p>
        </w:tc>
        <w:tc>
          <w:tcPr>
            <w:tcW w:w="1360" w:type="dxa"/>
            <w:vAlign w:val="bottom"/>
          </w:tcPr>
          <w:p>
            <w:pPr>
              <w:jc w:val="right"/>
              <w:ind w:right="41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9"/>
                <w:szCs w:val="19"/>
                <w:color w:val="auto"/>
              </w:rPr>
            </w:pPr>
          </w:p>
        </w:tc>
        <w:tc>
          <w:tcPr>
            <w:tcW w:w="1340" w:type="dxa"/>
            <w:vAlign w:val="bottom"/>
          </w:tcPr>
          <w:p>
            <w:pPr>
              <w:jc w:val="right"/>
              <w:ind w:right="390"/>
              <w:spacing w:after="0"/>
              <w:rPr>
                <w:sz w:val="20"/>
                <w:szCs w:val="20"/>
                <w:color w:val="auto"/>
              </w:rPr>
            </w:pPr>
            <w:r>
              <w:rPr>
                <w:rFonts w:ascii="Arial" w:cs="Arial" w:eastAsia="Arial" w:hAnsi="Arial"/>
                <w:sz w:val="18"/>
                <w:szCs w:val="18"/>
                <w:b w:val="1"/>
                <w:bCs w:val="1"/>
                <w:color w:val="auto"/>
              </w:rPr>
              <w:t>2020</w:t>
            </w:r>
          </w:p>
        </w:tc>
      </w:tr>
      <w:tr>
        <w:trPr>
          <w:trHeight w:val="209"/>
        </w:trPr>
        <w:tc>
          <w:tcPr>
            <w:tcW w:w="8320" w:type="dxa"/>
            <w:vAlign w:val="bottom"/>
            <w:tcBorders>
              <w:top w:val="single" w:sz="8" w:color="auto"/>
            </w:tcBorders>
            <w:shd w:val="clear" w:color="auto" w:fill="D5EAEA"/>
          </w:tcPr>
          <w:p>
            <w:pPr>
              <w:spacing w:after="0"/>
              <w:rPr>
                <w:sz w:val="20"/>
                <w:szCs w:val="20"/>
                <w:color w:val="auto"/>
              </w:rPr>
            </w:pPr>
            <w:r>
              <w:rPr>
                <w:rFonts w:ascii="Arial" w:cs="Arial" w:eastAsia="Arial" w:hAnsi="Arial"/>
                <w:sz w:val="18"/>
                <w:szCs w:val="18"/>
                <w:i w:val="1"/>
                <w:iCs w:val="1"/>
                <w:color w:val="auto"/>
              </w:rPr>
              <w:t>Statements of income/(loss)</w:t>
            </w:r>
          </w:p>
        </w:tc>
        <w:tc>
          <w:tcPr>
            <w:tcW w:w="120" w:type="dxa"/>
            <w:vAlign w:val="bottom"/>
            <w:tcBorders>
              <w:top w:val="single" w:sz="8" w:color="D5EAEA"/>
            </w:tcBorders>
            <w:shd w:val="clear" w:color="auto" w:fill="D5EAEA"/>
          </w:tcPr>
          <w:p>
            <w:pPr>
              <w:spacing w:after="0"/>
              <w:rPr>
                <w:sz w:val="18"/>
                <w:szCs w:val="18"/>
                <w:color w:val="auto"/>
              </w:rPr>
            </w:pPr>
          </w:p>
        </w:tc>
        <w:tc>
          <w:tcPr>
            <w:tcW w:w="1360" w:type="dxa"/>
            <w:vAlign w:val="bottom"/>
            <w:tcBorders>
              <w:top w:val="single" w:sz="8" w:color="auto"/>
            </w:tcBorders>
            <w:shd w:val="clear" w:color="auto" w:fill="D5EAEA"/>
          </w:tcPr>
          <w:p>
            <w:pPr>
              <w:spacing w:after="0"/>
              <w:rPr>
                <w:sz w:val="18"/>
                <w:szCs w:val="18"/>
                <w:color w:val="auto"/>
              </w:rPr>
            </w:pPr>
          </w:p>
        </w:tc>
        <w:tc>
          <w:tcPr>
            <w:tcW w:w="100" w:type="dxa"/>
            <w:vAlign w:val="bottom"/>
            <w:tcBorders>
              <w:top w:val="single" w:sz="8" w:color="D5EAEA"/>
            </w:tcBorders>
            <w:shd w:val="clear" w:color="auto" w:fill="D5EAEA"/>
          </w:tcPr>
          <w:p>
            <w:pPr>
              <w:spacing w:after="0"/>
              <w:rPr>
                <w:sz w:val="18"/>
                <w:szCs w:val="18"/>
                <w:color w:val="auto"/>
              </w:rPr>
            </w:pPr>
          </w:p>
        </w:tc>
        <w:tc>
          <w:tcPr>
            <w:tcW w:w="1340" w:type="dxa"/>
            <w:vAlign w:val="bottom"/>
            <w:tcBorders>
              <w:top w:val="single" w:sz="8" w:color="auto"/>
            </w:tcBorders>
            <w:shd w:val="clear" w:color="auto" w:fill="D5EAEA"/>
          </w:tcPr>
          <w:p>
            <w:pPr>
              <w:spacing w:after="0"/>
              <w:rPr>
                <w:sz w:val="18"/>
                <w:szCs w:val="18"/>
                <w:color w:val="auto"/>
              </w:rPr>
            </w:pPr>
          </w:p>
        </w:tc>
      </w:tr>
      <w:tr>
        <w:trPr>
          <w:trHeight w:val="216"/>
        </w:trPr>
        <w:tc>
          <w:tcPr>
            <w:tcW w:w="8440" w:type="dxa"/>
            <w:vAlign w:val="bottom"/>
            <w:gridSpan w:val="2"/>
          </w:tcPr>
          <w:p>
            <w:pPr>
              <w:spacing w:after="0"/>
              <w:rPr>
                <w:sz w:val="20"/>
                <w:szCs w:val="20"/>
                <w:color w:val="auto"/>
              </w:rPr>
            </w:pPr>
            <w:r>
              <w:rPr>
                <w:rFonts w:ascii="Arial" w:cs="Arial" w:eastAsia="Arial" w:hAnsi="Arial"/>
                <w:sz w:val="18"/>
                <w:szCs w:val="18"/>
                <w:color w:val="auto"/>
              </w:rPr>
              <w:t>Depreciation of right-of-use assets</w:t>
            </w: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367</w:t>
            </w:r>
          </w:p>
        </w:tc>
        <w:tc>
          <w:tcPr>
            <w:tcW w:w="100" w:type="dxa"/>
            <w:vAlign w:val="bottom"/>
          </w:tcPr>
          <w:p>
            <w:pPr>
              <w:spacing w:after="0"/>
              <w:rPr>
                <w:sz w:val="18"/>
                <w:szCs w:val="18"/>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323</w:t>
            </w:r>
          </w:p>
        </w:tc>
      </w:tr>
      <w:tr>
        <w:trPr>
          <w:trHeight w:val="216"/>
        </w:trPr>
        <w:tc>
          <w:tcPr>
            <w:tcW w:w="8440" w:type="dxa"/>
            <w:vAlign w:val="bottom"/>
            <w:gridSpan w:val="2"/>
            <w:shd w:val="clear" w:color="auto" w:fill="D5EAEA"/>
          </w:tcPr>
          <w:p>
            <w:pPr>
              <w:spacing w:after="0"/>
              <w:rPr>
                <w:sz w:val="20"/>
                <w:szCs w:val="20"/>
                <w:color w:val="auto"/>
              </w:rPr>
            </w:pPr>
            <w:r>
              <w:rPr>
                <w:rFonts w:ascii="Arial" w:cs="Arial" w:eastAsia="Arial" w:hAnsi="Arial"/>
                <w:sz w:val="18"/>
                <w:szCs w:val="18"/>
                <w:color w:val="auto"/>
              </w:rPr>
              <w:t>Interest expense on lease liabilities</w:t>
            </w:r>
          </w:p>
        </w:tc>
        <w:tc>
          <w:tcPr>
            <w:tcW w:w="1360" w:type="dxa"/>
            <w:vAlign w:val="bottom"/>
            <w:shd w:val="clear" w:color="auto" w:fill="D5EAEA"/>
          </w:tcPr>
          <w:p>
            <w:pPr>
              <w:jc w:val="right"/>
              <w:ind w:right="30"/>
              <w:spacing w:after="0"/>
              <w:rPr>
                <w:sz w:val="20"/>
                <w:szCs w:val="20"/>
                <w:color w:val="auto"/>
              </w:rPr>
            </w:pPr>
            <w:r>
              <w:rPr>
                <w:rFonts w:ascii="Arial" w:cs="Arial" w:eastAsia="Arial" w:hAnsi="Arial"/>
                <w:sz w:val="18"/>
                <w:szCs w:val="18"/>
                <w:color w:val="auto"/>
              </w:rPr>
              <w:t>47</w:t>
            </w:r>
          </w:p>
        </w:tc>
        <w:tc>
          <w:tcPr>
            <w:tcW w:w="100" w:type="dxa"/>
            <w:vAlign w:val="bottom"/>
            <w:shd w:val="clear" w:color="auto" w:fill="D5EAEA"/>
          </w:tcPr>
          <w:p>
            <w:pPr>
              <w:spacing w:after="0"/>
              <w:rPr>
                <w:sz w:val="18"/>
                <w:szCs w:val="18"/>
                <w:color w:val="auto"/>
              </w:rPr>
            </w:pPr>
          </w:p>
        </w:tc>
        <w:tc>
          <w:tcPr>
            <w:tcW w:w="134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41</w:t>
            </w:r>
          </w:p>
        </w:tc>
      </w:tr>
      <w:tr>
        <w:trPr>
          <w:trHeight w:val="229"/>
        </w:trPr>
        <w:tc>
          <w:tcPr>
            <w:tcW w:w="8440" w:type="dxa"/>
            <w:vAlign w:val="bottom"/>
            <w:tcBorders>
              <w:bottom w:val="single" w:sz="8" w:color="D5EAEA"/>
            </w:tcBorders>
            <w:gridSpan w:val="2"/>
          </w:tcPr>
          <w:p>
            <w:pPr>
              <w:spacing w:after="0"/>
              <w:rPr>
                <w:sz w:val="20"/>
                <w:szCs w:val="20"/>
                <w:color w:val="auto"/>
              </w:rPr>
            </w:pPr>
            <w:r>
              <w:rPr>
                <w:rFonts w:ascii="Arial" w:cs="Arial" w:eastAsia="Arial" w:hAnsi="Arial"/>
                <w:sz w:val="18"/>
                <w:szCs w:val="18"/>
                <w:color w:val="auto"/>
              </w:rPr>
              <w:t>Expense for short-term leases and leases of low value</w:t>
            </w:r>
          </w:p>
        </w:tc>
        <w:tc>
          <w:tcPr>
            <w:tcW w:w="13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587</w:t>
            </w:r>
          </w:p>
        </w:tc>
        <w:tc>
          <w:tcPr>
            <w:tcW w:w="100" w:type="dxa"/>
            <w:vAlign w:val="bottom"/>
            <w:tcBorders>
              <w:bottom w:val="single" w:sz="8" w:color="D5EAEA"/>
            </w:tcBorders>
          </w:tcPr>
          <w:p>
            <w:pPr>
              <w:spacing w:after="0"/>
              <w:rPr>
                <w:sz w:val="19"/>
                <w:szCs w:val="19"/>
                <w:color w:val="auto"/>
              </w:rPr>
            </w:pPr>
          </w:p>
        </w:tc>
        <w:tc>
          <w:tcPr>
            <w:tcW w:w="13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449</w:t>
            </w:r>
          </w:p>
        </w:tc>
      </w:tr>
      <w:tr>
        <w:trPr>
          <w:trHeight w:val="223"/>
        </w:trPr>
        <w:tc>
          <w:tcPr>
            <w:tcW w:w="8440" w:type="dxa"/>
            <w:vAlign w:val="bottom"/>
            <w:tcBorders>
              <w:bottom w:val="single" w:sz="8" w:color="D5EAEA"/>
            </w:tcBorders>
            <w:gridSpan w:val="2"/>
            <w:shd w:val="clear" w:color="auto" w:fill="D5EAEA"/>
          </w:tcPr>
          <w:p>
            <w:pPr>
              <w:spacing w:after="0"/>
              <w:rPr>
                <w:sz w:val="20"/>
                <w:szCs w:val="20"/>
                <w:color w:val="auto"/>
              </w:rPr>
            </w:pPr>
            <w:r>
              <w:rPr>
                <w:rFonts w:ascii="Arial" w:cs="Arial" w:eastAsia="Arial" w:hAnsi="Arial"/>
                <w:sz w:val="18"/>
                <w:szCs w:val="18"/>
                <w:b w:val="1"/>
                <w:bCs w:val="1"/>
                <w:color w:val="auto"/>
              </w:rPr>
              <w:t>Total</w:t>
            </w:r>
          </w:p>
        </w:tc>
        <w:tc>
          <w:tcPr>
            <w:tcW w:w="1360" w:type="dxa"/>
            <w:vAlign w:val="bottom"/>
            <w:tcBorders>
              <w:bottom w:val="single" w:sz="8" w:color="auto"/>
            </w:tcBorders>
            <w:shd w:val="clear" w:color="auto" w:fill="D5EAEA"/>
          </w:tcPr>
          <w:p>
            <w:pPr>
              <w:jc w:val="right"/>
              <w:ind w:right="30"/>
              <w:spacing w:after="0"/>
              <w:rPr>
                <w:sz w:val="20"/>
                <w:szCs w:val="20"/>
                <w:color w:val="auto"/>
              </w:rPr>
            </w:pPr>
            <w:r>
              <w:rPr>
                <w:rFonts w:ascii="Arial" w:cs="Arial" w:eastAsia="Arial" w:hAnsi="Arial"/>
                <w:sz w:val="18"/>
                <w:szCs w:val="18"/>
                <w:color w:val="auto"/>
              </w:rPr>
              <w:t>1,001</w:t>
            </w:r>
          </w:p>
        </w:tc>
        <w:tc>
          <w:tcPr>
            <w:tcW w:w="100" w:type="dxa"/>
            <w:vAlign w:val="bottom"/>
            <w:tcBorders>
              <w:bottom w:val="single" w:sz="8" w:color="D5EAEA"/>
            </w:tcBorders>
            <w:shd w:val="clear" w:color="auto" w:fill="D5EAEA"/>
          </w:tcPr>
          <w:p>
            <w:pPr>
              <w:spacing w:after="0"/>
              <w:rPr>
                <w:sz w:val="19"/>
                <w:szCs w:val="19"/>
                <w:color w:val="auto"/>
              </w:rPr>
            </w:pPr>
          </w:p>
        </w:tc>
        <w:tc>
          <w:tcPr>
            <w:tcW w:w="1340" w:type="dxa"/>
            <w:vAlign w:val="bottom"/>
            <w:tcBorders>
              <w:bottom w:val="single" w:sz="8" w:color="auto"/>
            </w:tcBorders>
            <w:shd w:val="clear" w:color="auto" w:fill="D5EAEA"/>
          </w:tcPr>
          <w:p>
            <w:pPr>
              <w:jc w:val="right"/>
              <w:ind w:right="10"/>
              <w:spacing w:after="0"/>
              <w:rPr>
                <w:sz w:val="20"/>
                <w:szCs w:val="20"/>
                <w:color w:val="auto"/>
              </w:rPr>
            </w:pPr>
            <w:r>
              <w:rPr>
                <w:rFonts w:ascii="Arial" w:cs="Arial" w:eastAsia="Arial" w:hAnsi="Arial"/>
                <w:sz w:val="18"/>
                <w:szCs w:val="18"/>
                <w:color w:val="auto"/>
              </w:rPr>
              <w:t>813</w:t>
            </w:r>
          </w:p>
        </w:tc>
      </w:tr>
      <w:tr>
        <w:trPr>
          <w:trHeight w:val="20"/>
        </w:trPr>
        <w:tc>
          <w:tcPr>
            <w:tcW w:w="8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r>
        <w:trPr>
          <w:trHeight w:val="197"/>
        </w:trPr>
        <w:tc>
          <w:tcPr>
            <w:tcW w:w="8320" w:type="dxa"/>
            <w:vAlign w:val="bottom"/>
            <w:tcBorders>
              <w:bottom w:val="single" w:sz="8" w:color="D5EAEA"/>
            </w:tcBorders>
          </w:tcPr>
          <w:p>
            <w:pPr>
              <w:spacing w:after="0"/>
              <w:rPr>
                <w:sz w:val="17"/>
                <w:szCs w:val="17"/>
                <w:color w:val="auto"/>
              </w:rPr>
            </w:pPr>
          </w:p>
        </w:tc>
        <w:tc>
          <w:tcPr>
            <w:tcW w:w="120" w:type="dxa"/>
            <w:vAlign w:val="bottom"/>
            <w:tcBorders>
              <w:bottom w:val="single" w:sz="8" w:color="D5EAEA"/>
            </w:tcBorders>
          </w:tcPr>
          <w:p>
            <w:pPr>
              <w:spacing w:after="0"/>
              <w:rPr>
                <w:sz w:val="17"/>
                <w:szCs w:val="17"/>
                <w:color w:val="auto"/>
              </w:rPr>
            </w:pPr>
          </w:p>
        </w:tc>
        <w:tc>
          <w:tcPr>
            <w:tcW w:w="1360" w:type="dxa"/>
            <w:vAlign w:val="bottom"/>
            <w:tcBorders>
              <w:bottom w:val="single" w:sz="8" w:color="auto"/>
            </w:tcBorders>
          </w:tcPr>
          <w:p>
            <w:pPr>
              <w:spacing w:after="0"/>
              <w:rPr>
                <w:sz w:val="17"/>
                <w:szCs w:val="17"/>
                <w:color w:val="auto"/>
              </w:rPr>
            </w:pPr>
          </w:p>
        </w:tc>
        <w:tc>
          <w:tcPr>
            <w:tcW w:w="100" w:type="dxa"/>
            <w:vAlign w:val="bottom"/>
            <w:tcBorders>
              <w:bottom w:val="single" w:sz="8" w:color="D5EAEA"/>
            </w:tcBorders>
          </w:tcPr>
          <w:p>
            <w:pPr>
              <w:spacing w:after="0"/>
              <w:rPr>
                <w:sz w:val="17"/>
                <w:szCs w:val="17"/>
                <w:color w:val="auto"/>
              </w:rPr>
            </w:pPr>
          </w:p>
        </w:tc>
        <w:tc>
          <w:tcPr>
            <w:tcW w:w="1340" w:type="dxa"/>
            <w:vAlign w:val="bottom"/>
            <w:tcBorders>
              <w:bottom w:val="single" w:sz="8" w:color="auto"/>
            </w:tcBorders>
          </w:tcPr>
          <w:p>
            <w:pPr>
              <w:spacing w:after="0"/>
              <w:rPr>
                <w:sz w:val="17"/>
                <w:szCs w:val="17"/>
                <w:color w:val="auto"/>
              </w:rPr>
            </w:pPr>
          </w:p>
        </w:tc>
      </w:tr>
      <w:tr>
        <w:trPr>
          <w:trHeight w:val="210"/>
        </w:trPr>
        <w:tc>
          <w:tcPr>
            <w:tcW w:w="8440" w:type="dxa"/>
            <w:vAlign w:val="bottom"/>
            <w:gridSpan w:val="2"/>
            <w:shd w:val="clear" w:color="auto" w:fill="D5EAEA"/>
          </w:tcPr>
          <w:p>
            <w:pPr>
              <w:spacing w:after="0"/>
              <w:rPr>
                <w:sz w:val="20"/>
                <w:szCs w:val="20"/>
                <w:color w:val="auto"/>
              </w:rPr>
            </w:pPr>
            <w:r>
              <w:rPr>
                <w:rFonts w:ascii="Arial" w:cs="Arial" w:eastAsia="Arial" w:hAnsi="Arial"/>
                <w:sz w:val="18"/>
                <w:szCs w:val="18"/>
                <w:i w:val="1"/>
                <w:iCs w:val="1"/>
                <w:color w:val="auto"/>
              </w:rPr>
              <w:t>Statements of cash flows</w:t>
            </w:r>
          </w:p>
        </w:tc>
        <w:tc>
          <w:tcPr>
            <w:tcW w:w="1360" w:type="dxa"/>
            <w:vAlign w:val="bottom"/>
            <w:shd w:val="clear" w:color="auto" w:fill="D5EAEA"/>
          </w:tcPr>
          <w:p>
            <w:pPr>
              <w:spacing w:after="0"/>
              <w:rPr>
                <w:sz w:val="18"/>
                <w:szCs w:val="18"/>
                <w:color w:val="auto"/>
              </w:rPr>
            </w:pPr>
          </w:p>
        </w:tc>
        <w:tc>
          <w:tcPr>
            <w:tcW w:w="100" w:type="dxa"/>
            <w:vAlign w:val="bottom"/>
            <w:shd w:val="clear" w:color="auto" w:fill="D5EAEA"/>
          </w:tcPr>
          <w:p>
            <w:pPr>
              <w:spacing w:after="0"/>
              <w:rPr>
                <w:sz w:val="18"/>
                <w:szCs w:val="18"/>
                <w:color w:val="auto"/>
              </w:rPr>
            </w:pPr>
          </w:p>
        </w:tc>
        <w:tc>
          <w:tcPr>
            <w:tcW w:w="1340" w:type="dxa"/>
            <w:vAlign w:val="bottom"/>
            <w:shd w:val="clear" w:color="auto" w:fill="D5EAEA"/>
          </w:tcPr>
          <w:p>
            <w:pPr>
              <w:spacing w:after="0"/>
              <w:rPr>
                <w:sz w:val="18"/>
                <w:szCs w:val="18"/>
                <w:color w:val="auto"/>
              </w:rPr>
            </w:pPr>
          </w:p>
        </w:tc>
      </w:tr>
      <w:tr>
        <w:trPr>
          <w:trHeight w:val="243"/>
        </w:trPr>
        <w:tc>
          <w:tcPr>
            <w:tcW w:w="8440" w:type="dxa"/>
            <w:vAlign w:val="bottom"/>
            <w:gridSpan w:val="2"/>
          </w:tcPr>
          <w:p>
            <w:pPr>
              <w:spacing w:after="0"/>
              <w:rPr>
                <w:sz w:val="20"/>
                <w:szCs w:val="20"/>
                <w:color w:val="auto"/>
              </w:rPr>
            </w:pPr>
            <w:r>
              <w:rPr>
                <w:rFonts w:ascii="Arial" w:cs="Arial" w:eastAsia="Arial" w:hAnsi="Arial"/>
                <w:sz w:val="18"/>
                <w:szCs w:val="18"/>
                <w:color w:val="auto"/>
              </w:rPr>
              <w:t>Total cash outflow for leases</w:t>
            </w:r>
          </w:p>
        </w:tc>
        <w:tc>
          <w:tcPr>
            <w:tcW w:w="13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1,001</w:t>
            </w:r>
          </w:p>
        </w:tc>
        <w:tc>
          <w:tcPr>
            <w:tcW w:w="100" w:type="dxa"/>
            <w:vAlign w:val="bottom"/>
          </w:tcPr>
          <w:p>
            <w:pPr>
              <w:spacing w:after="0"/>
              <w:rPr>
                <w:sz w:val="21"/>
                <w:szCs w:val="21"/>
                <w:color w:val="auto"/>
              </w:rPr>
            </w:pPr>
          </w:p>
        </w:tc>
        <w:tc>
          <w:tcPr>
            <w:tcW w:w="13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813</w:t>
            </w:r>
          </w:p>
        </w:tc>
      </w:tr>
      <w:tr>
        <w:trPr>
          <w:trHeight w:val="20"/>
        </w:trPr>
        <w:tc>
          <w:tcPr>
            <w:tcW w:w="8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right="100" w:firstLine="324"/>
        <w:spacing w:after="0" w:line="277" w:lineRule="auto"/>
        <w:rPr>
          <w:sz w:val="20"/>
          <w:szCs w:val="20"/>
          <w:color w:val="auto"/>
        </w:rPr>
      </w:pPr>
      <w:r>
        <w:rPr>
          <w:rFonts w:ascii="Arial" w:cs="Arial" w:eastAsia="Arial" w:hAnsi="Arial"/>
          <w:sz w:val="18"/>
          <w:szCs w:val="18"/>
          <w:color w:val="auto"/>
        </w:rPr>
        <w:t>The Company’s statements of cash flow were impacted by a shift from cash generated from operations of CHF 0.4 million and CHF 0.3 million to net cash used in financing activities for the nine months ended September 30, 2021, and 2020, respectively.</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900" w:type="dxa"/>
            <w:vAlign w:val="bottom"/>
            <w:gridSpan w:val="2"/>
          </w:tcPr>
          <w:p>
            <w:pPr>
              <w:ind w:left="340"/>
              <w:spacing w:after="0"/>
              <w:rPr>
                <w:sz w:val="20"/>
                <w:szCs w:val="20"/>
                <w:color w:val="auto"/>
              </w:rPr>
            </w:pPr>
            <w:r>
              <w:rPr>
                <w:rFonts w:ascii="Arial" w:cs="Arial" w:eastAsia="Arial" w:hAnsi="Arial"/>
                <w:sz w:val="18"/>
                <w:szCs w:val="18"/>
                <w:color w:val="auto"/>
              </w:rPr>
              <w:t>The following table presents the contractual undiscounted cash flows for lease obligations as of September 30, 2021:</w:t>
            </w:r>
          </w:p>
        </w:tc>
        <w:tc>
          <w:tcPr>
            <w:tcW w:w="1340" w:type="dxa"/>
            <w:vAlign w:val="bottom"/>
          </w:tcPr>
          <w:p>
            <w:pPr>
              <w:spacing w:after="0"/>
              <w:rPr>
                <w:sz w:val="20"/>
                <w:szCs w:val="20"/>
                <w:color w:val="auto"/>
              </w:rPr>
            </w:pPr>
          </w:p>
        </w:tc>
      </w:tr>
      <w:tr>
        <w:trPr>
          <w:trHeight w:val="414"/>
        </w:trPr>
        <w:tc>
          <w:tcPr>
            <w:tcW w:w="9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Pr>
          <w:p>
            <w:pPr>
              <w:jc w:val="center"/>
              <w:spacing w:after="0"/>
              <w:rPr>
                <w:sz w:val="20"/>
                <w:szCs w:val="20"/>
                <w:color w:val="auto"/>
              </w:rPr>
            </w:pPr>
            <w:r>
              <w:rPr>
                <w:rFonts w:ascii="Arial" w:cs="Arial" w:eastAsia="Arial" w:hAnsi="Arial"/>
                <w:sz w:val="18"/>
                <w:szCs w:val="18"/>
                <w:b w:val="1"/>
                <w:bCs w:val="1"/>
                <w:color w:val="auto"/>
                <w:w w:val="84"/>
              </w:rPr>
              <w:t>As of</w:t>
            </w:r>
          </w:p>
        </w:tc>
      </w:tr>
      <w:tr>
        <w:trPr>
          <w:trHeight w:val="216"/>
        </w:trPr>
        <w:tc>
          <w:tcPr>
            <w:tcW w:w="9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jc w:val="center"/>
              <w:spacing w:after="0"/>
              <w:rPr>
                <w:sz w:val="20"/>
                <w:szCs w:val="20"/>
                <w:color w:val="auto"/>
              </w:rPr>
            </w:pPr>
            <w:r>
              <w:rPr>
                <w:rFonts w:ascii="Arial" w:cs="Arial" w:eastAsia="Arial" w:hAnsi="Arial"/>
                <w:sz w:val="18"/>
                <w:szCs w:val="18"/>
                <w:b w:val="1"/>
                <w:bCs w:val="1"/>
                <w:color w:val="auto"/>
                <w:w w:val="89"/>
              </w:rPr>
              <w:t>September 30,</w:t>
            </w:r>
          </w:p>
        </w:tc>
      </w:tr>
      <w:tr>
        <w:trPr>
          <w:trHeight w:val="234"/>
        </w:trPr>
        <w:tc>
          <w:tcPr>
            <w:tcW w:w="9900" w:type="dxa"/>
            <w:vAlign w:val="bottom"/>
            <w:gridSpan w:val="2"/>
          </w:tcPr>
          <w:p>
            <w:pPr>
              <w:ind w:left="1560"/>
              <w:spacing w:after="0"/>
              <w:rPr>
                <w:sz w:val="20"/>
                <w:szCs w:val="20"/>
                <w:color w:val="auto"/>
              </w:rPr>
            </w:pPr>
            <w:r>
              <w:rPr>
                <w:rFonts w:ascii="Arial" w:cs="Arial" w:eastAsia="Arial" w:hAnsi="Arial"/>
                <w:sz w:val="18"/>
                <w:szCs w:val="18"/>
                <w:b w:val="1"/>
                <w:bCs w:val="1"/>
                <w:color w:val="auto"/>
              </w:rPr>
              <w:t>in CHF thousands</w:t>
            </w:r>
          </w:p>
        </w:tc>
        <w:tc>
          <w:tcPr>
            <w:tcW w:w="1340" w:type="dxa"/>
            <w:vAlign w:val="bottom"/>
          </w:tcPr>
          <w:p>
            <w:pPr>
              <w:jc w:val="center"/>
              <w:spacing w:after="0"/>
              <w:rPr>
                <w:sz w:val="20"/>
                <w:szCs w:val="20"/>
                <w:color w:val="auto"/>
              </w:rPr>
            </w:pPr>
            <w:r>
              <w:rPr>
                <w:rFonts w:ascii="Arial" w:cs="Arial" w:eastAsia="Arial" w:hAnsi="Arial"/>
                <w:sz w:val="18"/>
                <w:szCs w:val="18"/>
                <w:b w:val="1"/>
                <w:bCs w:val="1"/>
                <w:color w:val="auto"/>
                <w:w w:val="89"/>
              </w:rPr>
              <w:t>2021</w:t>
            </w:r>
          </w:p>
        </w:tc>
      </w:tr>
      <w:tr>
        <w:trPr>
          <w:trHeight w:val="210"/>
        </w:trPr>
        <w:tc>
          <w:tcPr>
            <w:tcW w:w="9780" w:type="dxa"/>
            <w:vAlign w:val="bottom"/>
            <w:tcBorders>
              <w:top w:val="single" w:sz="8" w:color="auto"/>
            </w:tcBorders>
            <w:shd w:val="clear" w:color="auto" w:fill="D5EAEA"/>
          </w:tcPr>
          <w:p>
            <w:pPr>
              <w:spacing w:after="0"/>
              <w:rPr>
                <w:sz w:val="20"/>
                <w:szCs w:val="20"/>
                <w:color w:val="auto"/>
              </w:rPr>
            </w:pPr>
            <w:r>
              <w:rPr>
                <w:rFonts w:ascii="Arial" w:cs="Arial" w:eastAsia="Arial" w:hAnsi="Arial"/>
                <w:sz w:val="18"/>
                <w:szCs w:val="18"/>
                <w:color w:val="auto"/>
              </w:rPr>
              <w:t>Less than one year</w:t>
            </w:r>
          </w:p>
        </w:tc>
        <w:tc>
          <w:tcPr>
            <w:tcW w:w="120" w:type="dxa"/>
            <w:vAlign w:val="bottom"/>
            <w:tcBorders>
              <w:top w:val="single" w:sz="8" w:color="D5EAEA"/>
            </w:tcBorders>
            <w:shd w:val="clear" w:color="auto" w:fill="D5EAEA"/>
          </w:tcPr>
          <w:p>
            <w:pPr>
              <w:spacing w:after="0"/>
              <w:rPr>
                <w:sz w:val="18"/>
                <w:szCs w:val="18"/>
                <w:color w:val="auto"/>
              </w:rPr>
            </w:pPr>
          </w:p>
        </w:tc>
        <w:tc>
          <w:tcPr>
            <w:tcW w:w="1340" w:type="dxa"/>
            <w:vAlign w:val="bottom"/>
            <w:tcBorders>
              <w:top w:val="single" w:sz="8" w:color="auto"/>
            </w:tcBorders>
            <w:shd w:val="clear" w:color="auto" w:fill="D5EAEA"/>
          </w:tcPr>
          <w:p>
            <w:pPr>
              <w:jc w:val="right"/>
              <w:ind w:right="10"/>
              <w:spacing w:after="0"/>
              <w:rPr>
                <w:sz w:val="20"/>
                <w:szCs w:val="20"/>
                <w:color w:val="auto"/>
              </w:rPr>
            </w:pPr>
            <w:r>
              <w:rPr>
                <w:rFonts w:ascii="Arial" w:cs="Arial" w:eastAsia="Arial" w:hAnsi="Arial"/>
                <w:sz w:val="18"/>
                <w:szCs w:val="18"/>
                <w:color w:val="auto"/>
              </w:rPr>
              <w:t>637</w:t>
            </w:r>
          </w:p>
        </w:tc>
      </w:tr>
      <w:tr>
        <w:trPr>
          <w:trHeight w:val="216"/>
        </w:trPr>
        <w:tc>
          <w:tcPr>
            <w:tcW w:w="9900" w:type="dxa"/>
            <w:vAlign w:val="bottom"/>
            <w:gridSpan w:val="2"/>
          </w:tcPr>
          <w:p>
            <w:pPr>
              <w:spacing w:after="0"/>
              <w:rPr>
                <w:sz w:val="20"/>
                <w:szCs w:val="20"/>
                <w:color w:val="auto"/>
              </w:rPr>
            </w:pPr>
            <w:r>
              <w:rPr>
                <w:rFonts w:ascii="Arial" w:cs="Arial" w:eastAsia="Arial" w:hAnsi="Arial"/>
                <w:sz w:val="18"/>
                <w:szCs w:val="18"/>
                <w:color w:val="auto"/>
              </w:rPr>
              <w:t>1-3 years</w:t>
            </w: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1,264</w:t>
            </w:r>
          </w:p>
        </w:tc>
      </w:tr>
      <w:tr>
        <w:trPr>
          <w:trHeight w:val="229"/>
        </w:trPr>
        <w:tc>
          <w:tcPr>
            <w:tcW w:w="9900" w:type="dxa"/>
            <w:vAlign w:val="bottom"/>
            <w:gridSpan w:val="2"/>
            <w:shd w:val="clear" w:color="auto" w:fill="D5EAEA"/>
          </w:tcPr>
          <w:p>
            <w:pPr>
              <w:spacing w:after="0"/>
              <w:rPr>
                <w:sz w:val="20"/>
                <w:szCs w:val="20"/>
                <w:color w:val="auto"/>
              </w:rPr>
            </w:pPr>
            <w:r>
              <w:rPr>
                <w:rFonts w:ascii="Arial" w:cs="Arial" w:eastAsia="Arial" w:hAnsi="Arial"/>
                <w:sz w:val="18"/>
                <w:szCs w:val="18"/>
                <w:color w:val="auto"/>
              </w:rPr>
              <w:t>3-5 years</w:t>
            </w:r>
          </w:p>
        </w:tc>
        <w:tc>
          <w:tcPr>
            <w:tcW w:w="1340" w:type="dxa"/>
            <w:vAlign w:val="bottom"/>
            <w:tcBorders>
              <w:bottom w:val="single" w:sz="8" w:color="auto"/>
            </w:tcBorders>
            <w:shd w:val="clear" w:color="auto" w:fill="D5EAEA"/>
          </w:tcPr>
          <w:p>
            <w:pPr>
              <w:jc w:val="right"/>
              <w:ind w:right="10"/>
              <w:spacing w:after="0"/>
              <w:rPr>
                <w:sz w:val="20"/>
                <w:szCs w:val="20"/>
                <w:color w:val="auto"/>
              </w:rPr>
            </w:pPr>
            <w:r>
              <w:rPr>
                <w:rFonts w:ascii="Arial" w:cs="Arial" w:eastAsia="Arial" w:hAnsi="Arial"/>
                <w:sz w:val="18"/>
                <w:szCs w:val="18"/>
                <w:color w:val="auto"/>
              </w:rPr>
              <w:t>817</w:t>
            </w:r>
          </w:p>
        </w:tc>
      </w:tr>
      <w:tr>
        <w:trPr>
          <w:trHeight w:val="223"/>
        </w:trPr>
        <w:tc>
          <w:tcPr>
            <w:tcW w:w="9900" w:type="dxa"/>
            <w:vAlign w:val="bottom"/>
            <w:gridSpan w:val="2"/>
          </w:tcPr>
          <w:p>
            <w:pPr>
              <w:spacing w:after="0"/>
              <w:rPr>
                <w:sz w:val="20"/>
                <w:szCs w:val="20"/>
                <w:color w:val="auto"/>
              </w:rPr>
            </w:pPr>
            <w:r>
              <w:rPr>
                <w:rFonts w:ascii="Arial" w:cs="Arial" w:eastAsia="Arial" w:hAnsi="Arial"/>
                <w:sz w:val="18"/>
                <w:szCs w:val="18"/>
                <w:b w:val="1"/>
                <w:bCs w:val="1"/>
                <w:color w:val="auto"/>
              </w:rPr>
              <w:t>Total</w:t>
            </w:r>
          </w:p>
        </w:tc>
        <w:tc>
          <w:tcPr>
            <w:tcW w:w="13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2,718</w:t>
            </w:r>
          </w:p>
        </w:tc>
      </w:tr>
      <w:tr>
        <w:trPr>
          <w:trHeight w:val="20"/>
        </w:trPr>
        <w:tc>
          <w:tcPr>
            <w:tcW w:w="9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720" w:firstLine="324"/>
        <w:spacing w:after="0" w:line="277" w:lineRule="auto"/>
        <w:rPr>
          <w:sz w:val="20"/>
          <w:szCs w:val="20"/>
          <w:color w:val="auto"/>
        </w:rPr>
      </w:pPr>
      <w:r>
        <w:rPr>
          <w:rFonts w:ascii="Arial" w:cs="Arial" w:eastAsia="Arial" w:hAnsi="Arial"/>
          <w:sz w:val="18"/>
          <w:szCs w:val="18"/>
          <w:color w:val="auto"/>
        </w:rPr>
        <w:t>The Company also has deposits in escrow accounts totaling CHF 0.4 million and CHF 0.3 million for leases of the Company’s premises as of September 30, 2021 and December 31, 2020, respectively.</w:t>
      </w:r>
    </w:p>
    <w:p>
      <w:pPr>
        <w:spacing w:after="0" w:line="166" w:lineRule="exact"/>
        <w:rPr>
          <w:sz w:val="20"/>
          <w:szCs w:val="20"/>
          <w:color w:val="auto"/>
        </w:rPr>
      </w:pPr>
    </w:p>
    <w:p>
      <w:pPr>
        <w:ind w:left="460" w:hanging="452"/>
        <w:spacing w:after="0"/>
        <w:tabs>
          <w:tab w:leader="none" w:pos="46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Prepaid expenses</w:t>
      </w:r>
    </w:p>
    <w:p>
      <w:pPr>
        <w:spacing w:after="0" w:line="229" w:lineRule="exact"/>
        <w:rPr>
          <w:sz w:val="20"/>
          <w:szCs w:val="20"/>
          <w:color w:val="auto"/>
        </w:rPr>
      </w:pPr>
    </w:p>
    <w:p>
      <w:pPr>
        <w:ind w:right="320" w:firstLine="324"/>
        <w:spacing w:after="0" w:line="277" w:lineRule="auto"/>
        <w:rPr>
          <w:sz w:val="20"/>
          <w:szCs w:val="20"/>
          <w:color w:val="auto"/>
        </w:rPr>
      </w:pPr>
      <w:r>
        <w:rPr>
          <w:rFonts w:ascii="Arial" w:cs="Arial" w:eastAsia="Arial" w:hAnsi="Arial"/>
          <w:sz w:val="18"/>
          <w:szCs w:val="18"/>
          <w:color w:val="auto"/>
        </w:rPr>
        <w:t>Prepaid expenses include prepaid R&amp;D costs, administrative costs and net employee defined benefit liability expenses totaled CHF 1.9 million and CHF 4.0 million as of September 30, 2021 and December 31, 2020, respectively.</w:t>
      </w:r>
    </w:p>
    <w:p>
      <w:pPr>
        <w:spacing w:after="0" w:line="166" w:lineRule="exact"/>
        <w:rPr>
          <w:sz w:val="20"/>
          <w:szCs w:val="20"/>
          <w:color w:val="auto"/>
        </w:rPr>
      </w:pPr>
    </w:p>
    <w:p>
      <w:pPr>
        <w:ind w:left="500" w:hanging="330"/>
        <w:spacing w:after="0"/>
        <w:tabs>
          <w:tab w:leader="none" w:pos="50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Cash and cash equivalents and financial assets</w:t>
      </w:r>
    </w:p>
    <w:p>
      <w:pPr>
        <w:spacing w:after="0" w:line="229" w:lineRule="exact"/>
        <w:rPr>
          <w:sz w:val="20"/>
          <w:szCs w:val="20"/>
          <w:color w:val="auto"/>
        </w:rPr>
      </w:pPr>
    </w:p>
    <w:p>
      <w:pPr>
        <w:ind w:right="160" w:firstLine="324"/>
        <w:spacing w:after="0" w:line="277" w:lineRule="auto"/>
        <w:rPr>
          <w:sz w:val="20"/>
          <w:szCs w:val="20"/>
          <w:color w:val="auto"/>
        </w:rPr>
      </w:pPr>
      <w:r>
        <w:rPr>
          <w:rFonts w:ascii="Arial" w:cs="Arial" w:eastAsia="Arial" w:hAnsi="Arial"/>
          <w:sz w:val="18"/>
          <w:szCs w:val="18"/>
          <w:color w:val="auto"/>
        </w:rPr>
        <w:t>The following table summarizes AC Immune’s cash and cash equivalents and short-term financial assets as of September 30, 2021 and December 31, 2020:</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0" w:type="dxa"/>
            <w:vAlign w:val="bottom"/>
            <w:tcBorders>
              <w:bottom w:val="single" w:sz="8" w:color="auto"/>
            </w:tcBorders>
            <w:gridSpan w:val="3"/>
          </w:tcPr>
          <w:p>
            <w:pPr>
              <w:ind w:left="1200"/>
              <w:spacing w:after="0"/>
              <w:rPr>
                <w:sz w:val="20"/>
                <w:szCs w:val="20"/>
                <w:color w:val="auto"/>
              </w:rPr>
            </w:pPr>
            <w:r>
              <w:rPr>
                <w:rFonts w:ascii="Arial" w:cs="Arial" w:eastAsia="Arial" w:hAnsi="Arial"/>
                <w:sz w:val="18"/>
                <w:szCs w:val="18"/>
                <w:b w:val="1"/>
                <w:bCs w:val="1"/>
                <w:color w:val="auto"/>
                <w:w w:val="84"/>
              </w:rPr>
              <w:t>As of</w:t>
            </w:r>
          </w:p>
        </w:tc>
        <w:tc>
          <w:tcPr>
            <w:tcW w:w="1200" w:type="dxa"/>
            <w:vAlign w:val="bottom"/>
            <w:tcBorders>
              <w:bottom w:val="single" w:sz="8" w:color="auto"/>
            </w:tcBorders>
          </w:tcPr>
          <w:p>
            <w:pPr>
              <w:spacing w:after="0"/>
              <w:rPr>
                <w:sz w:val="20"/>
                <w:szCs w:val="20"/>
                <w:color w:val="auto"/>
              </w:rPr>
            </w:pPr>
          </w:p>
        </w:tc>
      </w:tr>
      <w:tr>
        <w:trPr>
          <w:trHeight w:val="191"/>
        </w:trPr>
        <w:tc>
          <w:tcPr>
            <w:tcW w:w="8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0" w:type="dxa"/>
            <w:vAlign w:val="bottom"/>
            <w:gridSpan w:val="3"/>
          </w:tcPr>
          <w:p>
            <w:pPr>
              <w:jc w:val="center"/>
              <w:ind w:right="240"/>
              <w:spacing w:after="0" w:line="191" w:lineRule="exact"/>
              <w:rPr>
                <w:sz w:val="20"/>
                <w:szCs w:val="20"/>
                <w:color w:val="auto"/>
              </w:rPr>
            </w:pPr>
            <w:r>
              <w:rPr>
                <w:rFonts w:ascii="Arial" w:cs="Arial" w:eastAsia="Arial" w:hAnsi="Arial"/>
                <w:sz w:val="18"/>
                <w:szCs w:val="18"/>
                <w:b w:val="1"/>
                <w:bCs w:val="1"/>
                <w:color w:val="auto"/>
                <w:w w:val="87"/>
              </w:rPr>
              <w:t>September 30,</w:t>
            </w:r>
          </w:p>
        </w:tc>
        <w:tc>
          <w:tcPr>
            <w:tcW w:w="1200" w:type="dxa"/>
            <w:vAlign w:val="bottom"/>
          </w:tcPr>
          <w:p>
            <w:pPr>
              <w:jc w:val="center"/>
              <w:ind w:right="50"/>
              <w:spacing w:after="0" w:line="191" w:lineRule="exact"/>
              <w:rPr>
                <w:sz w:val="20"/>
                <w:szCs w:val="20"/>
                <w:color w:val="auto"/>
              </w:rPr>
            </w:pPr>
            <w:r>
              <w:rPr>
                <w:rFonts w:ascii="Arial" w:cs="Arial" w:eastAsia="Arial" w:hAnsi="Arial"/>
                <w:sz w:val="18"/>
                <w:szCs w:val="18"/>
                <w:b w:val="1"/>
                <w:bCs w:val="1"/>
                <w:color w:val="auto"/>
                <w:w w:val="90"/>
              </w:rPr>
              <w:t>December 31,</w:t>
            </w:r>
          </w:p>
        </w:tc>
      </w:tr>
      <w:tr>
        <w:trPr>
          <w:trHeight w:val="234"/>
        </w:trPr>
        <w:tc>
          <w:tcPr>
            <w:tcW w:w="8440" w:type="dxa"/>
            <w:vAlign w:val="bottom"/>
            <w:gridSpan w:val="2"/>
          </w:tcPr>
          <w:p>
            <w:pPr>
              <w:ind w:left="3460"/>
              <w:spacing w:after="0"/>
              <w:rPr>
                <w:sz w:val="20"/>
                <w:szCs w:val="20"/>
                <w:color w:val="auto"/>
              </w:rPr>
            </w:pPr>
            <w:r>
              <w:rPr>
                <w:rFonts w:ascii="Arial" w:cs="Arial" w:eastAsia="Arial" w:hAnsi="Arial"/>
                <w:sz w:val="18"/>
                <w:szCs w:val="18"/>
                <w:b w:val="1"/>
                <w:bCs w:val="1"/>
                <w:color w:val="auto"/>
              </w:rPr>
              <w:t>in CHF thousands</w:t>
            </w:r>
          </w:p>
        </w:tc>
        <w:tc>
          <w:tcPr>
            <w:tcW w:w="1360" w:type="dxa"/>
            <w:vAlign w:val="bottom"/>
          </w:tcPr>
          <w:p>
            <w:pPr>
              <w:jc w:val="center"/>
              <w:spacing w:after="0"/>
              <w:rPr>
                <w:sz w:val="20"/>
                <w:szCs w:val="20"/>
                <w:color w:val="auto"/>
              </w:rPr>
            </w:pPr>
            <w:r>
              <w:rPr>
                <w:rFonts w:ascii="Arial" w:cs="Arial" w:eastAsia="Arial" w:hAnsi="Arial"/>
                <w:sz w:val="18"/>
                <w:szCs w:val="18"/>
                <w:b w:val="1"/>
                <w:bCs w:val="1"/>
                <w:color w:val="auto"/>
                <w:w w:val="89"/>
              </w:rPr>
              <w:t>2021</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jc w:val="center"/>
              <w:ind w:right="30"/>
              <w:spacing w:after="0"/>
              <w:rPr>
                <w:sz w:val="20"/>
                <w:szCs w:val="20"/>
                <w:color w:val="auto"/>
              </w:rPr>
            </w:pPr>
            <w:r>
              <w:rPr>
                <w:rFonts w:ascii="Arial" w:cs="Arial" w:eastAsia="Arial" w:hAnsi="Arial"/>
                <w:sz w:val="18"/>
                <w:szCs w:val="18"/>
                <w:b w:val="1"/>
                <w:bCs w:val="1"/>
                <w:color w:val="auto"/>
                <w:w w:val="89"/>
              </w:rPr>
              <w:t>2020</w:t>
            </w:r>
          </w:p>
        </w:tc>
      </w:tr>
      <w:tr>
        <w:trPr>
          <w:trHeight w:val="223"/>
        </w:trPr>
        <w:tc>
          <w:tcPr>
            <w:tcW w:w="8320" w:type="dxa"/>
            <w:vAlign w:val="bottom"/>
            <w:tcBorders>
              <w:top w:val="single" w:sz="8" w:color="auto"/>
            </w:tcBorders>
            <w:shd w:val="clear" w:color="auto" w:fill="D5EAEA"/>
          </w:tcPr>
          <w:p>
            <w:pPr>
              <w:spacing w:after="0"/>
              <w:rPr>
                <w:sz w:val="20"/>
                <w:szCs w:val="20"/>
                <w:color w:val="auto"/>
              </w:rPr>
            </w:pPr>
            <w:r>
              <w:rPr>
                <w:rFonts w:ascii="Arial" w:cs="Arial" w:eastAsia="Arial" w:hAnsi="Arial"/>
                <w:sz w:val="18"/>
                <w:szCs w:val="18"/>
                <w:color w:val="auto"/>
              </w:rPr>
              <w:t>Cash and cash equivalents</w:t>
            </w:r>
          </w:p>
        </w:tc>
        <w:tc>
          <w:tcPr>
            <w:tcW w:w="120" w:type="dxa"/>
            <w:vAlign w:val="bottom"/>
            <w:tcBorders>
              <w:top w:val="single" w:sz="8" w:color="D5EAEA"/>
            </w:tcBorders>
            <w:shd w:val="clear" w:color="auto" w:fill="D5EAEA"/>
          </w:tcPr>
          <w:p>
            <w:pPr>
              <w:spacing w:after="0"/>
              <w:rPr>
                <w:sz w:val="19"/>
                <w:szCs w:val="19"/>
                <w:color w:val="auto"/>
              </w:rPr>
            </w:pPr>
          </w:p>
        </w:tc>
        <w:tc>
          <w:tcPr>
            <w:tcW w:w="1360" w:type="dxa"/>
            <w:vAlign w:val="bottom"/>
            <w:tcBorders>
              <w:top w:val="single" w:sz="8" w:color="auto"/>
              <w:bottom w:val="single" w:sz="8" w:color="auto"/>
            </w:tcBorders>
            <w:shd w:val="clear" w:color="auto" w:fill="D5EAEA"/>
          </w:tcPr>
          <w:p>
            <w:pPr>
              <w:jc w:val="right"/>
              <w:ind w:right="30"/>
              <w:spacing w:after="0"/>
              <w:rPr>
                <w:sz w:val="20"/>
                <w:szCs w:val="20"/>
                <w:color w:val="auto"/>
              </w:rPr>
            </w:pPr>
            <w:r>
              <w:rPr>
                <w:rFonts w:ascii="Arial" w:cs="Arial" w:eastAsia="Arial" w:hAnsi="Arial"/>
                <w:sz w:val="18"/>
                <w:szCs w:val="18"/>
                <w:color w:val="auto"/>
              </w:rPr>
              <w:t>93,584</w:t>
            </w:r>
          </w:p>
        </w:tc>
        <w:tc>
          <w:tcPr>
            <w:tcW w:w="100" w:type="dxa"/>
            <w:vAlign w:val="bottom"/>
            <w:tcBorders>
              <w:top w:val="single" w:sz="8" w:color="D5EAEA"/>
            </w:tcBorders>
            <w:shd w:val="clear" w:color="auto" w:fill="D5EAEA"/>
          </w:tcPr>
          <w:p>
            <w:pPr>
              <w:spacing w:after="0"/>
              <w:rPr>
                <w:sz w:val="19"/>
                <w:szCs w:val="19"/>
                <w:color w:val="auto"/>
              </w:rPr>
            </w:pPr>
          </w:p>
        </w:tc>
        <w:tc>
          <w:tcPr>
            <w:tcW w:w="140" w:type="dxa"/>
            <w:vAlign w:val="bottom"/>
            <w:tcBorders>
              <w:top w:val="single" w:sz="8" w:color="auto"/>
              <w:bottom w:val="single" w:sz="8" w:color="auto"/>
            </w:tcBorders>
            <w:shd w:val="clear" w:color="auto" w:fill="D5EAEA"/>
          </w:tcPr>
          <w:p>
            <w:pPr>
              <w:spacing w:after="0"/>
              <w:rPr>
                <w:sz w:val="19"/>
                <w:szCs w:val="19"/>
                <w:color w:val="auto"/>
              </w:rPr>
            </w:pPr>
          </w:p>
        </w:tc>
        <w:tc>
          <w:tcPr>
            <w:tcW w:w="1200" w:type="dxa"/>
            <w:vAlign w:val="bottom"/>
            <w:tcBorders>
              <w:top w:val="single" w:sz="8" w:color="auto"/>
              <w:bottom w:val="single" w:sz="8" w:color="auto"/>
            </w:tcBorders>
            <w:shd w:val="clear" w:color="auto" w:fill="D5EAEA"/>
          </w:tcPr>
          <w:p>
            <w:pPr>
              <w:jc w:val="right"/>
              <w:ind w:right="10"/>
              <w:spacing w:after="0"/>
              <w:rPr>
                <w:sz w:val="20"/>
                <w:szCs w:val="20"/>
                <w:color w:val="auto"/>
              </w:rPr>
            </w:pPr>
            <w:r>
              <w:rPr>
                <w:rFonts w:ascii="Arial" w:cs="Arial" w:eastAsia="Arial" w:hAnsi="Arial"/>
                <w:sz w:val="18"/>
                <w:szCs w:val="18"/>
                <w:color w:val="auto"/>
              </w:rPr>
              <w:t>160,893</w:t>
            </w:r>
          </w:p>
        </w:tc>
      </w:tr>
      <w:tr>
        <w:trPr>
          <w:trHeight w:val="223"/>
        </w:trPr>
        <w:tc>
          <w:tcPr>
            <w:tcW w:w="8440" w:type="dxa"/>
            <w:vAlign w:val="bottom"/>
            <w:gridSpan w:val="2"/>
          </w:tcPr>
          <w:p>
            <w:pPr>
              <w:spacing w:after="0"/>
              <w:rPr>
                <w:sz w:val="20"/>
                <w:szCs w:val="20"/>
                <w:color w:val="auto"/>
              </w:rPr>
            </w:pPr>
            <w:r>
              <w:rPr>
                <w:rFonts w:ascii="Arial" w:cs="Arial" w:eastAsia="Arial" w:hAnsi="Arial"/>
                <w:sz w:val="18"/>
                <w:szCs w:val="18"/>
                <w:b w:val="1"/>
                <w:bCs w:val="1"/>
                <w:color w:val="auto"/>
              </w:rPr>
              <w:t>Total</w:t>
            </w:r>
          </w:p>
        </w:tc>
        <w:tc>
          <w:tcPr>
            <w:tcW w:w="13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93,584</w:t>
            </w: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160,893</w:t>
            </w:r>
          </w:p>
        </w:tc>
      </w:tr>
      <w:tr>
        <w:trPr>
          <w:trHeight w:val="20"/>
        </w:trPr>
        <w:tc>
          <w:tcPr>
            <w:tcW w:w="8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453"/>
        </w:trPr>
        <w:tc>
          <w:tcPr>
            <w:tcW w:w="8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0" w:type="dxa"/>
            <w:vAlign w:val="bottom"/>
            <w:tcBorders>
              <w:bottom w:val="single" w:sz="8" w:color="auto"/>
            </w:tcBorders>
            <w:gridSpan w:val="3"/>
          </w:tcPr>
          <w:p>
            <w:pPr>
              <w:ind w:left="1200"/>
              <w:spacing w:after="0"/>
              <w:rPr>
                <w:sz w:val="20"/>
                <w:szCs w:val="20"/>
                <w:color w:val="auto"/>
              </w:rPr>
            </w:pPr>
            <w:r>
              <w:rPr>
                <w:rFonts w:ascii="Arial" w:cs="Arial" w:eastAsia="Arial" w:hAnsi="Arial"/>
                <w:sz w:val="18"/>
                <w:szCs w:val="18"/>
                <w:b w:val="1"/>
                <w:bCs w:val="1"/>
                <w:color w:val="auto"/>
                <w:w w:val="84"/>
              </w:rPr>
              <w:t>As of</w:t>
            </w:r>
          </w:p>
        </w:tc>
        <w:tc>
          <w:tcPr>
            <w:tcW w:w="1200" w:type="dxa"/>
            <w:vAlign w:val="bottom"/>
            <w:tcBorders>
              <w:bottom w:val="single" w:sz="8" w:color="auto"/>
            </w:tcBorders>
          </w:tcPr>
          <w:p>
            <w:pPr>
              <w:spacing w:after="0"/>
              <w:rPr>
                <w:sz w:val="24"/>
                <w:szCs w:val="24"/>
                <w:color w:val="auto"/>
              </w:rPr>
            </w:pPr>
          </w:p>
        </w:tc>
      </w:tr>
      <w:tr>
        <w:trPr>
          <w:trHeight w:val="191"/>
        </w:trPr>
        <w:tc>
          <w:tcPr>
            <w:tcW w:w="8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0" w:type="dxa"/>
            <w:vAlign w:val="bottom"/>
            <w:gridSpan w:val="3"/>
          </w:tcPr>
          <w:p>
            <w:pPr>
              <w:jc w:val="center"/>
              <w:ind w:right="240"/>
              <w:spacing w:after="0" w:line="191" w:lineRule="exact"/>
              <w:rPr>
                <w:sz w:val="20"/>
                <w:szCs w:val="20"/>
                <w:color w:val="auto"/>
              </w:rPr>
            </w:pPr>
            <w:r>
              <w:rPr>
                <w:rFonts w:ascii="Arial" w:cs="Arial" w:eastAsia="Arial" w:hAnsi="Arial"/>
                <w:sz w:val="18"/>
                <w:szCs w:val="18"/>
                <w:b w:val="1"/>
                <w:bCs w:val="1"/>
                <w:color w:val="auto"/>
                <w:w w:val="87"/>
              </w:rPr>
              <w:t>September 30,</w:t>
            </w:r>
          </w:p>
        </w:tc>
        <w:tc>
          <w:tcPr>
            <w:tcW w:w="1200" w:type="dxa"/>
            <w:vAlign w:val="bottom"/>
          </w:tcPr>
          <w:p>
            <w:pPr>
              <w:jc w:val="center"/>
              <w:ind w:right="50"/>
              <w:spacing w:after="0" w:line="191" w:lineRule="exact"/>
              <w:rPr>
                <w:sz w:val="20"/>
                <w:szCs w:val="20"/>
                <w:color w:val="auto"/>
              </w:rPr>
            </w:pPr>
            <w:r>
              <w:rPr>
                <w:rFonts w:ascii="Arial" w:cs="Arial" w:eastAsia="Arial" w:hAnsi="Arial"/>
                <w:sz w:val="18"/>
                <w:szCs w:val="18"/>
                <w:b w:val="1"/>
                <w:bCs w:val="1"/>
                <w:color w:val="auto"/>
                <w:w w:val="90"/>
              </w:rPr>
              <w:t>December 31,</w:t>
            </w:r>
          </w:p>
        </w:tc>
      </w:tr>
      <w:tr>
        <w:trPr>
          <w:trHeight w:val="234"/>
        </w:trPr>
        <w:tc>
          <w:tcPr>
            <w:tcW w:w="8440" w:type="dxa"/>
            <w:vAlign w:val="bottom"/>
            <w:gridSpan w:val="2"/>
          </w:tcPr>
          <w:p>
            <w:pPr>
              <w:ind w:left="3460"/>
              <w:spacing w:after="0"/>
              <w:rPr>
                <w:sz w:val="20"/>
                <w:szCs w:val="20"/>
                <w:color w:val="auto"/>
              </w:rPr>
            </w:pPr>
            <w:r>
              <w:rPr>
                <w:rFonts w:ascii="Arial" w:cs="Arial" w:eastAsia="Arial" w:hAnsi="Arial"/>
                <w:sz w:val="18"/>
                <w:szCs w:val="18"/>
                <w:b w:val="1"/>
                <w:bCs w:val="1"/>
                <w:color w:val="auto"/>
              </w:rPr>
              <w:t>in CHF thousands</w:t>
            </w:r>
          </w:p>
        </w:tc>
        <w:tc>
          <w:tcPr>
            <w:tcW w:w="1360" w:type="dxa"/>
            <w:vAlign w:val="bottom"/>
          </w:tcPr>
          <w:p>
            <w:pPr>
              <w:jc w:val="center"/>
              <w:spacing w:after="0"/>
              <w:rPr>
                <w:sz w:val="20"/>
                <w:szCs w:val="20"/>
                <w:color w:val="auto"/>
              </w:rPr>
            </w:pPr>
            <w:r>
              <w:rPr>
                <w:rFonts w:ascii="Arial" w:cs="Arial" w:eastAsia="Arial" w:hAnsi="Arial"/>
                <w:sz w:val="18"/>
                <w:szCs w:val="18"/>
                <w:b w:val="1"/>
                <w:bCs w:val="1"/>
                <w:color w:val="auto"/>
                <w:w w:val="89"/>
              </w:rPr>
              <w:t>2021</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jc w:val="center"/>
              <w:ind w:right="30"/>
              <w:spacing w:after="0"/>
              <w:rPr>
                <w:sz w:val="20"/>
                <w:szCs w:val="20"/>
                <w:color w:val="auto"/>
              </w:rPr>
            </w:pPr>
            <w:r>
              <w:rPr>
                <w:rFonts w:ascii="Arial" w:cs="Arial" w:eastAsia="Arial" w:hAnsi="Arial"/>
                <w:sz w:val="18"/>
                <w:szCs w:val="18"/>
                <w:b w:val="1"/>
                <w:bCs w:val="1"/>
                <w:color w:val="auto"/>
                <w:w w:val="89"/>
              </w:rPr>
              <w:t>2020</w:t>
            </w:r>
          </w:p>
        </w:tc>
      </w:tr>
      <w:tr>
        <w:trPr>
          <w:trHeight w:val="223"/>
        </w:trPr>
        <w:tc>
          <w:tcPr>
            <w:tcW w:w="8320" w:type="dxa"/>
            <w:vAlign w:val="bottom"/>
            <w:tcBorders>
              <w:top w:val="single" w:sz="8" w:color="auto"/>
            </w:tcBorders>
            <w:shd w:val="clear" w:color="auto" w:fill="D5EAEA"/>
          </w:tcPr>
          <w:p>
            <w:pPr>
              <w:spacing w:after="0"/>
              <w:rPr>
                <w:sz w:val="20"/>
                <w:szCs w:val="20"/>
                <w:color w:val="auto"/>
              </w:rPr>
            </w:pPr>
            <w:r>
              <w:rPr>
                <w:rFonts w:ascii="Arial" w:cs="Arial" w:eastAsia="Arial" w:hAnsi="Arial"/>
                <w:sz w:val="18"/>
                <w:szCs w:val="18"/>
                <w:color w:val="auto"/>
              </w:rPr>
              <w:t>Short-term financial assets due in one year or less</w:t>
            </w:r>
          </w:p>
        </w:tc>
        <w:tc>
          <w:tcPr>
            <w:tcW w:w="120" w:type="dxa"/>
            <w:vAlign w:val="bottom"/>
            <w:tcBorders>
              <w:top w:val="single" w:sz="8" w:color="D5EAEA"/>
            </w:tcBorders>
            <w:shd w:val="clear" w:color="auto" w:fill="D5EAEA"/>
          </w:tcPr>
          <w:p>
            <w:pPr>
              <w:spacing w:after="0"/>
              <w:rPr>
                <w:sz w:val="19"/>
                <w:szCs w:val="19"/>
                <w:color w:val="auto"/>
              </w:rPr>
            </w:pPr>
          </w:p>
        </w:tc>
        <w:tc>
          <w:tcPr>
            <w:tcW w:w="1360" w:type="dxa"/>
            <w:vAlign w:val="bottom"/>
            <w:tcBorders>
              <w:top w:val="single" w:sz="8" w:color="auto"/>
              <w:bottom w:val="single" w:sz="8" w:color="auto"/>
            </w:tcBorders>
            <w:shd w:val="clear" w:color="auto" w:fill="D5EAEA"/>
          </w:tcPr>
          <w:p>
            <w:pPr>
              <w:jc w:val="right"/>
              <w:ind w:right="30"/>
              <w:spacing w:after="0"/>
              <w:rPr>
                <w:sz w:val="20"/>
                <w:szCs w:val="20"/>
                <w:color w:val="auto"/>
              </w:rPr>
            </w:pPr>
            <w:r>
              <w:rPr>
                <w:rFonts w:ascii="Arial" w:cs="Arial" w:eastAsia="Arial" w:hAnsi="Arial"/>
                <w:sz w:val="18"/>
                <w:szCs w:val="18"/>
                <w:color w:val="auto"/>
              </w:rPr>
              <w:t>95,000</w:t>
            </w:r>
          </w:p>
        </w:tc>
        <w:tc>
          <w:tcPr>
            <w:tcW w:w="100" w:type="dxa"/>
            <w:vAlign w:val="bottom"/>
            <w:tcBorders>
              <w:top w:val="single" w:sz="8" w:color="D5EAEA"/>
            </w:tcBorders>
            <w:shd w:val="clear" w:color="auto" w:fill="D5EAEA"/>
          </w:tcPr>
          <w:p>
            <w:pPr>
              <w:spacing w:after="0"/>
              <w:rPr>
                <w:sz w:val="19"/>
                <w:szCs w:val="19"/>
                <w:color w:val="auto"/>
              </w:rPr>
            </w:pPr>
          </w:p>
        </w:tc>
        <w:tc>
          <w:tcPr>
            <w:tcW w:w="140" w:type="dxa"/>
            <w:vAlign w:val="bottom"/>
            <w:tcBorders>
              <w:top w:val="single" w:sz="8" w:color="auto"/>
              <w:bottom w:val="single" w:sz="8" w:color="auto"/>
            </w:tcBorders>
            <w:shd w:val="clear" w:color="auto" w:fill="D5EAEA"/>
          </w:tcPr>
          <w:p>
            <w:pPr>
              <w:spacing w:after="0"/>
              <w:rPr>
                <w:sz w:val="19"/>
                <w:szCs w:val="19"/>
                <w:color w:val="auto"/>
              </w:rPr>
            </w:pPr>
          </w:p>
        </w:tc>
        <w:tc>
          <w:tcPr>
            <w:tcW w:w="1200" w:type="dxa"/>
            <w:vAlign w:val="bottom"/>
            <w:tcBorders>
              <w:top w:val="single" w:sz="8" w:color="auto"/>
              <w:bottom w:val="single" w:sz="8" w:color="auto"/>
            </w:tcBorders>
            <w:shd w:val="clear" w:color="auto" w:fill="D5EAEA"/>
          </w:tcPr>
          <w:p>
            <w:pPr>
              <w:jc w:val="right"/>
              <w:ind w:right="10"/>
              <w:spacing w:after="0"/>
              <w:rPr>
                <w:sz w:val="20"/>
                <w:szCs w:val="20"/>
                <w:color w:val="auto"/>
              </w:rPr>
            </w:pPr>
            <w:r>
              <w:rPr>
                <w:rFonts w:ascii="Arial" w:cs="Arial" w:eastAsia="Arial" w:hAnsi="Arial"/>
                <w:sz w:val="18"/>
                <w:szCs w:val="18"/>
                <w:color w:val="auto"/>
              </w:rPr>
              <w:t>65,000</w:t>
            </w:r>
          </w:p>
        </w:tc>
      </w:tr>
      <w:tr>
        <w:trPr>
          <w:trHeight w:val="223"/>
        </w:trPr>
        <w:tc>
          <w:tcPr>
            <w:tcW w:w="8440" w:type="dxa"/>
            <w:vAlign w:val="bottom"/>
            <w:gridSpan w:val="2"/>
          </w:tcPr>
          <w:p>
            <w:pPr>
              <w:spacing w:after="0"/>
              <w:rPr>
                <w:sz w:val="20"/>
                <w:szCs w:val="20"/>
                <w:color w:val="auto"/>
              </w:rPr>
            </w:pPr>
            <w:r>
              <w:rPr>
                <w:rFonts w:ascii="Arial" w:cs="Arial" w:eastAsia="Arial" w:hAnsi="Arial"/>
                <w:sz w:val="18"/>
                <w:szCs w:val="18"/>
                <w:b w:val="1"/>
                <w:bCs w:val="1"/>
                <w:color w:val="auto"/>
              </w:rPr>
              <w:t>Total</w:t>
            </w:r>
          </w:p>
        </w:tc>
        <w:tc>
          <w:tcPr>
            <w:tcW w:w="13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95,000</w:t>
            </w: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65,000</w:t>
            </w:r>
          </w:p>
        </w:tc>
      </w:tr>
      <w:tr>
        <w:trPr>
          <w:trHeight w:val="20"/>
        </w:trPr>
        <w:tc>
          <w:tcPr>
            <w:tcW w:w="8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For the nine months ended September 30, 2021, the Company purchased a net CHF 30.0 million in short-term financial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349250</wp:posOffset>
            </wp:positionV>
            <wp:extent cx="713232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823" w:right="339" w:bottom="1440" w:gutter="0" w:footer="0" w:header="0"/>
        </w:sectPr>
      </w:pPr>
    </w:p>
    <w:bookmarkStart w:id="15" w:name="page16"/>
    <w:bookmarkEnd w:id="15"/>
    <w:p>
      <w:pPr>
        <w:ind w:left="380" w:hanging="318"/>
        <w:spacing w:after="0"/>
        <w:tabs>
          <w:tab w:leader="none" w:pos="38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Derivative financial instruments</w:t>
      </w:r>
    </w:p>
    <w:p>
      <w:pPr>
        <w:spacing w:after="0" w:line="229" w:lineRule="exact"/>
        <w:rPr>
          <w:sz w:val="20"/>
          <w:szCs w:val="20"/>
          <w:color w:val="auto"/>
        </w:rPr>
      </w:pPr>
    </w:p>
    <w:p>
      <w:pPr>
        <w:ind w:right="80" w:firstLine="324"/>
        <w:spacing w:after="0" w:line="273" w:lineRule="auto"/>
        <w:rPr>
          <w:sz w:val="20"/>
          <w:szCs w:val="20"/>
          <w:color w:val="auto"/>
        </w:rPr>
      </w:pPr>
      <w:r>
        <w:rPr>
          <w:rFonts w:ascii="Arial" w:cs="Arial" w:eastAsia="Arial" w:hAnsi="Arial"/>
          <w:sz w:val="17"/>
          <w:szCs w:val="17"/>
          <w:color w:val="auto"/>
        </w:rPr>
        <w:t>On July 27, 2021, AC Immune announced it had entered into an Asset Purchase and Contribution in Kind Agreement (Asset Purchase Agreement) to acquire Affiris AG’s (Affiris) program portfolio of therapeutics targeting a-syn, notably PD01, a clinically-validated active vaccine candidate for the treatment of Parkinson’s disease (Transferred Assets). Concurrently, the Company entered into two separate Convertible Note Agreements with entities affiliated with each of Athos Service GmbH and First Capital Partner GmbH (collectively, the Investors), both of which entities are shareholders of Affiris. Each Convertible Note Agreement provides for the sale of an unsecured subordinated Convertible Note of the Company with an aggregate principal amount of USD 12.5 (CHF 11.7) million, for a total net amount of USD 25.0 (CHF 23.3) million.</w:t>
      </w:r>
    </w:p>
    <w:p>
      <w:pPr>
        <w:spacing w:after="0" w:line="178" w:lineRule="exact"/>
        <w:rPr>
          <w:sz w:val="20"/>
          <w:szCs w:val="20"/>
          <w:color w:val="auto"/>
        </w:rPr>
      </w:pPr>
    </w:p>
    <w:p>
      <w:pPr>
        <w:ind w:right="160" w:firstLine="324"/>
        <w:spacing w:after="0" w:line="257" w:lineRule="auto"/>
        <w:rPr>
          <w:sz w:val="20"/>
          <w:szCs w:val="20"/>
          <w:color w:val="auto"/>
        </w:rPr>
      </w:pPr>
      <w:r>
        <w:rPr>
          <w:rFonts w:ascii="Arial" w:cs="Arial" w:eastAsia="Arial" w:hAnsi="Arial"/>
          <w:sz w:val="18"/>
          <w:szCs w:val="18"/>
          <w:color w:val="auto"/>
        </w:rPr>
        <w:t>The Convertible Notes are convertible into a total of 3,026,634 common shares at any time at the option of the Investors or of the Company at a conversion price of USD 8.26, subject to certain conversion price adjustments for changes in the market price of our common shares. This conversion option may be exercised by either the Investors or the Company until July 16, 2022 (the “Conversion Period”). If the Convertible Notes are not converted during the Conversion Period, the Company is required to repay them on July 26, 2022. The Convertible Notes do not permit partial conversion by either the Investors or the Company and do not bear interest.</w:t>
      </w:r>
    </w:p>
    <w:p>
      <w:pPr>
        <w:spacing w:after="0" w:line="188" w:lineRule="exact"/>
        <w:rPr>
          <w:sz w:val="20"/>
          <w:szCs w:val="20"/>
          <w:color w:val="auto"/>
        </w:rPr>
      </w:pPr>
    </w:p>
    <w:p>
      <w:pPr>
        <w:ind w:right="40" w:firstLine="324"/>
        <w:spacing w:after="0" w:line="263" w:lineRule="auto"/>
        <w:rPr>
          <w:sz w:val="20"/>
          <w:szCs w:val="20"/>
          <w:color w:val="auto"/>
        </w:rPr>
      </w:pPr>
      <w:r>
        <w:rPr>
          <w:rFonts w:ascii="Arial" w:cs="Arial" w:eastAsia="Arial" w:hAnsi="Arial"/>
          <w:sz w:val="18"/>
          <w:szCs w:val="18"/>
          <w:color w:val="auto"/>
        </w:rPr>
        <w:t>These options to convert are derivative financial instruments prior to disbursement of funds from the Investors at which point they will be considered embedded derivatives. As of September 30, 2021, the Company uses the Black-Scholes model to value these instruments. The inputs for the valuation as of September 30, 2021 were as follows: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900" w:type="dxa"/>
            <w:vAlign w:val="bottom"/>
          </w:tcPr>
          <w:p>
            <w:pPr>
              <w:spacing w:after="0"/>
              <w:rPr>
                <w:sz w:val="20"/>
                <w:szCs w:val="20"/>
                <w:color w:val="auto"/>
              </w:rPr>
            </w:pP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4"/>
              </w:rPr>
              <w:t>As of</w:t>
            </w:r>
          </w:p>
        </w:tc>
      </w:tr>
      <w:tr>
        <w:trPr>
          <w:trHeight w:val="191"/>
        </w:trPr>
        <w:tc>
          <w:tcPr>
            <w:tcW w:w="9900" w:type="dxa"/>
            <w:vAlign w:val="bottom"/>
          </w:tcPr>
          <w:p>
            <w:pPr>
              <w:spacing w:after="0"/>
              <w:rPr>
                <w:sz w:val="16"/>
                <w:szCs w:val="16"/>
                <w:color w:val="auto"/>
              </w:rPr>
            </w:pPr>
          </w:p>
        </w:tc>
        <w:tc>
          <w:tcPr>
            <w:tcW w:w="1340" w:type="dxa"/>
            <w:vAlign w:val="bottom"/>
          </w:tcPr>
          <w:p>
            <w:pPr>
              <w:jc w:val="center"/>
              <w:spacing w:after="0" w:line="191" w:lineRule="exact"/>
              <w:rPr>
                <w:sz w:val="20"/>
                <w:szCs w:val="20"/>
                <w:color w:val="auto"/>
              </w:rPr>
            </w:pPr>
            <w:r>
              <w:rPr>
                <w:rFonts w:ascii="Arial" w:cs="Arial" w:eastAsia="Arial" w:hAnsi="Arial"/>
                <w:sz w:val="18"/>
                <w:szCs w:val="18"/>
                <w:b w:val="1"/>
                <w:bCs w:val="1"/>
                <w:color w:val="auto"/>
                <w:w w:val="89"/>
              </w:rPr>
              <w:t>September 30,</w:t>
            </w:r>
          </w:p>
        </w:tc>
      </w:tr>
      <w:tr>
        <w:trPr>
          <w:trHeight w:val="234"/>
        </w:trPr>
        <w:tc>
          <w:tcPr>
            <w:tcW w:w="9900" w:type="dxa"/>
            <w:vAlign w:val="bottom"/>
            <w:tcBorders>
              <w:bottom w:val="single" w:sz="8" w:color="D5EAEA"/>
            </w:tcBorders>
          </w:tcPr>
          <w:p>
            <w:pPr>
              <w:spacing w:after="0"/>
              <w:rPr>
                <w:sz w:val="20"/>
                <w:szCs w:val="20"/>
                <w:color w:val="auto"/>
              </w:rPr>
            </w:pP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2021</w:t>
            </w:r>
          </w:p>
        </w:tc>
      </w:tr>
      <w:tr>
        <w:trPr>
          <w:trHeight w:val="209"/>
        </w:trPr>
        <w:tc>
          <w:tcPr>
            <w:tcW w:w="9900" w:type="dxa"/>
            <w:vAlign w:val="bottom"/>
            <w:shd w:val="clear" w:color="auto" w:fill="D5EAEA"/>
          </w:tcPr>
          <w:p>
            <w:pPr>
              <w:spacing w:after="0"/>
              <w:rPr>
                <w:sz w:val="20"/>
                <w:szCs w:val="20"/>
                <w:color w:val="auto"/>
              </w:rPr>
            </w:pPr>
            <w:r>
              <w:rPr>
                <w:rFonts w:ascii="Arial" w:cs="Arial" w:eastAsia="Arial" w:hAnsi="Arial"/>
                <w:sz w:val="18"/>
                <w:szCs w:val="18"/>
                <w:color w:val="auto"/>
              </w:rPr>
              <w:t>Exercise price</w:t>
            </w:r>
          </w:p>
        </w:tc>
        <w:tc>
          <w:tcPr>
            <w:tcW w:w="134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USD 8.26</w:t>
            </w:r>
          </w:p>
        </w:tc>
      </w:tr>
      <w:tr>
        <w:trPr>
          <w:trHeight w:val="216"/>
        </w:trPr>
        <w:tc>
          <w:tcPr>
            <w:tcW w:w="9900" w:type="dxa"/>
            <w:vAlign w:val="bottom"/>
          </w:tcPr>
          <w:p>
            <w:pPr>
              <w:spacing w:after="0"/>
              <w:rPr>
                <w:sz w:val="20"/>
                <w:szCs w:val="20"/>
                <w:color w:val="auto"/>
              </w:rPr>
            </w:pPr>
            <w:r>
              <w:rPr>
                <w:rFonts w:ascii="Arial" w:cs="Arial" w:eastAsia="Arial" w:hAnsi="Arial"/>
                <w:sz w:val="18"/>
                <w:szCs w:val="18"/>
                <w:color w:val="auto"/>
              </w:rPr>
              <w:t>Share Price</w:t>
            </w: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USD 6.71</w:t>
            </w:r>
          </w:p>
        </w:tc>
      </w:tr>
      <w:tr>
        <w:trPr>
          <w:trHeight w:val="216"/>
        </w:trPr>
        <w:tc>
          <w:tcPr>
            <w:tcW w:w="9900" w:type="dxa"/>
            <w:vAlign w:val="bottom"/>
            <w:shd w:val="clear" w:color="auto" w:fill="D5EAEA"/>
          </w:tcPr>
          <w:p>
            <w:pPr>
              <w:spacing w:after="0"/>
              <w:rPr>
                <w:sz w:val="20"/>
                <w:szCs w:val="20"/>
                <w:color w:val="auto"/>
              </w:rPr>
            </w:pPr>
            <w:r>
              <w:rPr>
                <w:rFonts w:ascii="Arial" w:cs="Arial" w:eastAsia="Arial" w:hAnsi="Arial"/>
                <w:sz w:val="18"/>
                <w:szCs w:val="18"/>
                <w:color w:val="auto"/>
              </w:rPr>
              <w:t>Risk-free interest rate</w:t>
            </w:r>
          </w:p>
        </w:tc>
        <w:tc>
          <w:tcPr>
            <w:tcW w:w="134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0%</w:t>
            </w:r>
          </w:p>
        </w:tc>
      </w:tr>
      <w:tr>
        <w:trPr>
          <w:trHeight w:val="216"/>
        </w:trPr>
        <w:tc>
          <w:tcPr>
            <w:tcW w:w="9900" w:type="dxa"/>
            <w:vAlign w:val="bottom"/>
          </w:tcPr>
          <w:p>
            <w:pPr>
              <w:spacing w:after="0"/>
              <w:rPr>
                <w:sz w:val="20"/>
                <w:szCs w:val="20"/>
                <w:color w:val="auto"/>
              </w:rPr>
            </w:pPr>
            <w:r>
              <w:rPr>
                <w:rFonts w:ascii="Arial" w:cs="Arial" w:eastAsia="Arial" w:hAnsi="Arial"/>
                <w:sz w:val="18"/>
                <w:szCs w:val="18"/>
                <w:color w:val="auto"/>
              </w:rPr>
              <w:t>Expected volatility</w:t>
            </w: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80%</w:t>
            </w:r>
          </w:p>
        </w:tc>
      </w:tr>
      <w:tr>
        <w:trPr>
          <w:trHeight w:val="216"/>
        </w:trPr>
        <w:tc>
          <w:tcPr>
            <w:tcW w:w="9900" w:type="dxa"/>
            <w:vAlign w:val="bottom"/>
            <w:shd w:val="clear" w:color="auto" w:fill="D5EAEA"/>
          </w:tcPr>
          <w:p>
            <w:pPr>
              <w:spacing w:after="0"/>
              <w:rPr>
                <w:sz w:val="20"/>
                <w:szCs w:val="20"/>
                <w:color w:val="auto"/>
              </w:rPr>
            </w:pPr>
            <w:r>
              <w:rPr>
                <w:rFonts w:ascii="Arial" w:cs="Arial" w:eastAsia="Arial" w:hAnsi="Arial"/>
                <w:sz w:val="18"/>
                <w:szCs w:val="18"/>
                <w:color w:val="auto"/>
              </w:rPr>
              <w:t>Expected term</w:t>
            </w:r>
          </w:p>
        </w:tc>
        <w:tc>
          <w:tcPr>
            <w:tcW w:w="134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10 months</w:t>
            </w:r>
          </w:p>
        </w:tc>
      </w:tr>
      <w:tr>
        <w:trPr>
          <w:trHeight w:val="230"/>
        </w:trPr>
        <w:tc>
          <w:tcPr>
            <w:tcW w:w="9900" w:type="dxa"/>
            <w:vAlign w:val="bottom"/>
          </w:tcPr>
          <w:p>
            <w:pPr>
              <w:spacing w:after="0"/>
              <w:rPr>
                <w:sz w:val="20"/>
                <w:szCs w:val="20"/>
                <w:color w:val="auto"/>
              </w:rPr>
            </w:pPr>
            <w:r>
              <w:rPr>
                <w:rFonts w:ascii="Arial" w:cs="Arial" w:eastAsia="Arial" w:hAnsi="Arial"/>
                <w:sz w:val="18"/>
                <w:szCs w:val="18"/>
                <w:color w:val="auto"/>
              </w:rPr>
              <w:t>Dividend yield</w:t>
            </w: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w:t>
            </w:r>
          </w:p>
        </w:tc>
      </w:tr>
    </w:tbl>
    <w:p>
      <w:pPr>
        <w:spacing w:after="0" w:line="187" w:lineRule="exact"/>
        <w:rPr>
          <w:sz w:val="20"/>
          <w:szCs w:val="20"/>
          <w:color w:val="auto"/>
        </w:rPr>
      </w:pPr>
    </w:p>
    <w:p>
      <w:pPr>
        <w:jc w:val="both"/>
        <w:ind w:right="100" w:firstLine="324"/>
        <w:spacing w:after="0" w:line="277" w:lineRule="auto"/>
        <w:rPr>
          <w:sz w:val="20"/>
          <w:szCs w:val="20"/>
          <w:color w:val="auto"/>
        </w:rPr>
      </w:pPr>
      <w:r>
        <w:rPr>
          <w:rFonts w:ascii="Arial" w:cs="Arial" w:eastAsia="Arial" w:hAnsi="Arial"/>
          <w:sz w:val="18"/>
          <w:szCs w:val="18"/>
          <w:color w:val="auto"/>
        </w:rPr>
        <w:t>The Company calculated both the value of the investor call option derivative liabilities and the Company’s put option derivative assets. The net of this yielded derivative financial assets of USD 4.7 (CHF 4.4) million as of September 30, 2021.</w:t>
      </w:r>
    </w:p>
    <w:p>
      <w:pPr>
        <w:spacing w:after="0" w:line="170" w:lineRule="exact"/>
        <w:rPr>
          <w:sz w:val="20"/>
          <w:szCs w:val="20"/>
          <w:color w:val="auto"/>
        </w:rPr>
      </w:pPr>
    </w:p>
    <w:p>
      <w:pPr>
        <w:ind w:right="960" w:firstLine="324"/>
        <w:spacing w:after="0" w:line="277" w:lineRule="auto"/>
        <w:rPr>
          <w:sz w:val="20"/>
          <w:szCs w:val="20"/>
          <w:color w:val="auto"/>
        </w:rPr>
      </w:pPr>
      <w:r>
        <w:rPr>
          <w:rFonts w:ascii="Arial" w:cs="Arial" w:eastAsia="Arial" w:hAnsi="Arial"/>
          <w:sz w:val="18"/>
          <w:szCs w:val="18"/>
          <w:color w:val="auto"/>
        </w:rPr>
        <w:t>Subsequent to the period end, the Convertible Notes and derivative financial assets were fully settled and there is no further equity or cash consideration due to the Investors thereunder. See “Note 12. Subsequent events.”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Share capital and public offerings</w:t>
      </w:r>
    </w:p>
    <w:p>
      <w:pPr>
        <w:spacing w:after="0" w:line="229" w:lineRule="exact"/>
        <w:rPr>
          <w:sz w:val="20"/>
          <w:szCs w:val="20"/>
          <w:color w:val="auto"/>
        </w:rPr>
      </w:pPr>
    </w:p>
    <w:p>
      <w:pPr>
        <w:jc w:val="both"/>
        <w:ind w:right="60" w:firstLine="324"/>
        <w:spacing w:after="0" w:line="259" w:lineRule="auto"/>
        <w:rPr>
          <w:sz w:val="20"/>
          <w:szCs w:val="20"/>
          <w:color w:val="auto"/>
        </w:rPr>
      </w:pPr>
      <w:r>
        <w:rPr>
          <w:rFonts w:ascii="Arial" w:cs="Arial" w:eastAsia="Arial" w:hAnsi="Arial"/>
          <w:sz w:val="18"/>
          <w:szCs w:val="18"/>
          <w:color w:val="auto"/>
        </w:rPr>
        <w:t>In Q3 2020, AC Immune issued 5,000,000 common shares with a nominal value of CHF 0.02, which were held as treasury shares. The Company also established an “at the market offering program” (“ATM”) for the sale of up to USD 80.0 (CHF 74.5) million worth of our common shares issued from time to time by entering into an Open Market Sales Agreement (“Sales Agreement”) with Jefferies LLC (“Jefferies”) as the sales agent under a prior registration statement on Form F-3 which expired in Q2 2021.</w:t>
      </w:r>
    </w:p>
    <w:p>
      <w:pPr>
        <w:spacing w:after="0" w:line="187" w:lineRule="exact"/>
        <w:rPr>
          <w:sz w:val="20"/>
          <w:szCs w:val="20"/>
          <w:color w:val="auto"/>
        </w:rPr>
      </w:pPr>
    </w:p>
    <w:p>
      <w:pPr>
        <w:ind w:right="320" w:firstLine="324"/>
        <w:spacing w:after="0" w:line="277" w:lineRule="auto"/>
        <w:rPr>
          <w:sz w:val="20"/>
          <w:szCs w:val="20"/>
          <w:color w:val="auto"/>
        </w:rPr>
      </w:pPr>
      <w:r>
        <w:rPr>
          <w:rFonts w:ascii="Arial" w:cs="Arial" w:eastAsia="Arial" w:hAnsi="Arial"/>
          <w:sz w:val="18"/>
          <w:szCs w:val="18"/>
          <w:color w:val="auto"/>
        </w:rPr>
        <w:t>In Q1 2021, the Company sold 764,977 common shares previously held as treasury shares pursuant to the Sales Agreement, raising USD 8.8 (CHF 8.0) million, net of underwriting fees.</w:t>
      </w:r>
    </w:p>
    <w:p>
      <w:pPr>
        <w:spacing w:after="0" w:line="170" w:lineRule="exact"/>
        <w:rPr>
          <w:sz w:val="20"/>
          <w:szCs w:val="20"/>
          <w:color w:val="auto"/>
        </w:rPr>
      </w:pPr>
    </w:p>
    <w:p>
      <w:pPr>
        <w:ind w:right="40" w:firstLine="324"/>
        <w:spacing w:after="0" w:line="259" w:lineRule="auto"/>
        <w:rPr>
          <w:sz w:val="20"/>
          <w:szCs w:val="20"/>
          <w:color w:val="auto"/>
        </w:rPr>
      </w:pPr>
      <w:r>
        <w:rPr>
          <w:rFonts w:ascii="Arial" w:cs="Arial" w:eastAsia="Arial" w:hAnsi="Arial"/>
          <w:sz w:val="18"/>
          <w:szCs w:val="18"/>
          <w:color w:val="auto"/>
        </w:rPr>
        <w:t>In Q2 2021, the Company filed a new registration statement on Form F-3 and an accompanying prospectus supplement in order to renew its ATM program. The Company also entered into a second Open Market Sales Agreement (the “New Sales Agreement”) with Jefferies to continue the ATM program. Finally, the Company sold 7,650 commons shares previously held as treasury shares pursuant to the Sales Agreement, raising USD 0.1 (CHF 0.1) million, net of underwriting fees.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324485</wp:posOffset>
            </wp:positionV>
            <wp:extent cx="713232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6" w:name="page17"/>
    <w:bookmarkEnd w:id="16"/>
    <w:p>
      <w:pPr>
        <w:ind w:right="320" w:firstLine="324"/>
        <w:spacing w:after="0" w:line="263" w:lineRule="auto"/>
        <w:rPr>
          <w:sz w:val="20"/>
          <w:szCs w:val="20"/>
          <w:color w:val="auto"/>
        </w:rPr>
      </w:pPr>
      <w:r>
        <w:rPr>
          <w:rFonts w:ascii="Arial" w:cs="Arial" w:eastAsia="Arial" w:hAnsi="Arial"/>
          <w:sz w:val="18"/>
          <w:szCs w:val="18"/>
          <w:color w:val="auto"/>
        </w:rPr>
        <w:t>In Q3, 2021, the Company issued 2,393,160 common shares with a nominal value of CHF 0.02 to be held as treasury shares. Additionally, the Company sold 398,916 common shares previously held as treasury shares pursuant to the Sales Agreement, raising USD 4.7 (CHF 4.3) million, net of underwriting fees.</w:t>
      </w:r>
    </w:p>
    <w:p>
      <w:pPr>
        <w:spacing w:after="0" w:line="184" w:lineRule="exact"/>
        <w:rPr>
          <w:sz w:val="20"/>
          <w:szCs w:val="20"/>
          <w:color w:val="auto"/>
        </w:rPr>
      </w:pPr>
    </w:p>
    <w:p>
      <w:pPr>
        <w:ind w:right="200" w:firstLine="324"/>
        <w:spacing w:after="0" w:line="263" w:lineRule="auto"/>
        <w:rPr>
          <w:sz w:val="20"/>
          <w:szCs w:val="20"/>
          <w:color w:val="auto"/>
        </w:rPr>
      </w:pPr>
      <w:r>
        <w:rPr>
          <w:rFonts w:ascii="Arial" w:cs="Arial" w:eastAsia="Arial" w:hAnsi="Arial"/>
          <w:sz w:val="18"/>
          <w:szCs w:val="18"/>
          <w:color w:val="auto"/>
        </w:rPr>
        <w:t>For the nine months ended September 30, 2021, the Company has sold 1,171,543 common shares previously held as treasury shares pursuant to the New Sales Agreement, raising USD 13.6 (CHF 12.3) million, net of underwriting fees. We paid commissions to Jefferies totaling USD 0.4 (CHF 0.4) million as of September 30, 2021, for share issuances in accordance with our ATM programs.</w:t>
      </w:r>
    </w:p>
    <w:p>
      <w:pPr>
        <w:spacing w:after="0" w:line="18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a result of these issuances and sales, the Company has 6,221,617 treasury shares remaining.</w:t>
      </w:r>
    </w:p>
    <w:p>
      <w:pPr>
        <w:spacing w:after="0" w:line="221" w:lineRule="exact"/>
        <w:rPr>
          <w:sz w:val="20"/>
          <w:szCs w:val="20"/>
          <w:color w:val="auto"/>
        </w:rPr>
      </w:pPr>
    </w:p>
    <w:p>
      <w:pPr>
        <w:ind w:left="420"/>
        <w:spacing w:after="0"/>
        <w:rPr>
          <w:sz w:val="20"/>
          <w:szCs w:val="20"/>
          <w:color w:val="auto"/>
        </w:rPr>
      </w:pPr>
      <w:r>
        <w:rPr>
          <w:rFonts w:ascii="Arial" w:cs="Arial" w:eastAsia="Arial" w:hAnsi="Arial"/>
          <w:sz w:val="18"/>
          <w:szCs w:val="18"/>
          <w:b w:val="1"/>
          <w:bCs w:val="1"/>
          <w:color w:val="auto"/>
        </w:rPr>
        <w:t>11. Finance result, net</w:t>
      </w:r>
    </w:p>
    <w:p>
      <w:pPr>
        <w:spacing w:after="0" w:line="229" w:lineRule="exact"/>
        <w:rPr>
          <w:sz w:val="20"/>
          <w:szCs w:val="20"/>
          <w:color w:val="auto"/>
        </w:rPr>
      </w:pPr>
    </w:p>
    <w:p>
      <w:pPr>
        <w:jc w:val="both"/>
        <w:ind w:right="220" w:firstLine="324"/>
        <w:spacing w:after="0" w:line="311" w:lineRule="auto"/>
        <w:rPr>
          <w:sz w:val="20"/>
          <w:szCs w:val="20"/>
          <w:color w:val="auto"/>
        </w:rPr>
      </w:pPr>
      <w:r>
        <w:rPr>
          <w:rFonts w:ascii="Arial" w:cs="Arial" w:eastAsia="Arial" w:hAnsi="Arial"/>
          <w:sz w:val="16"/>
          <w:szCs w:val="16"/>
          <w:color w:val="auto"/>
        </w:rPr>
        <w:t>For the three months ended September 30, 2021 and 2020, AC Immune recorded CHF 4.4 million in net financial gains and CHF 0.2 million in net financial losses, respectively. The Company recorded CHF 4.4 million in finance income associated with the change in fair value of derivative financial assets. Additionally, the Company recorded CHF 0.2 million in interest expense and CHF 0.1 million in foreign currency gains in the period.</w:t>
      </w:r>
    </w:p>
    <w:p>
      <w:pPr>
        <w:spacing w:after="0" w:line="149" w:lineRule="exact"/>
        <w:rPr>
          <w:sz w:val="20"/>
          <w:szCs w:val="20"/>
          <w:color w:val="auto"/>
        </w:rPr>
      </w:pPr>
    </w:p>
    <w:p>
      <w:pPr>
        <w:jc w:val="both"/>
        <w:ind w:right="200" w:firstLine="324"/>
        <w:spacing w:after="0" w:line="311" w:lineRule="auto"/>
        <w:rPr>
          <w:sz w:val="20"/>
          <w:szCs w:val="20"/>
          <w:color w:val="auto"/>
        </w:rPr>
      </w:pPr>
      <w:r>
        <w:rPr>
          <w:rFonts w:ascii="Arial" w:cs="Arial" w:eastAsia="Arial" w:hAnsi="Arial"/>
          <w:sz w:val="16"/>
          <w:szCs w:val="16"/>
          <w:color w:val="auto"/>
        </w:rPr>
        <w:t>For the nine months ended September 30, 2021 and 2020, the Company recorded CHF 4.5 million in net financial gains and CHF 0.6 million in net financial losses, respectively. The Company recorded CHF 4.4 million in finance income associated with the change in fair value of derivative financial assets. Additionally, the Company recorded CHF 0.4 million in interest expense and CHF 0.5 million in foreign currency gains in the period.</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Subsequent events</w:t>
      </w:r>
    </w:p>
    <w:p>
      <w:pPr>
        <w:spacing w:after="0" w:line="229" w:lineRule="exact"/>
        <w:rPr>
          <w:sz w:val="20"/>
          <w:szCs w:val="20"/>
          <w:color w:val="auto"/>
        </w:rPr>
      </w:pPr>
    </w:p>
    <w:p>
      <w:pPr>
        <w:jc w:val="both"/>
        <w:ind w:right="200" w:firstLine="324"/>
        <w:spacing w:after="0" w:line="277" w:lineRule="auto"/>
        <w:rPr>
          <w:sz w:val="20"/>
          <w:szCs w:val="20"/>
          <w:color w:val="auto"/>
        </w:rPr>
      </w:pPr>
      <w:r>
        <w:rPr>
          <w:rFonts w:ascii="Arial" w:cs="Arial" w:eastAsia="Arial" w:hAnsi="Arial"/>
          <w:sz w:val="18"/>
          <w:szCs w:val="18"/>
          <w:color w:val="auto"/>
        </w:rPr>
        <w:t>Management has evaluated subsequent events after the balance sheet date, through the issuance of these Interim Condensed Consolidated Financial Statements, for appropriate accounting and disclosures.</w:t>
      </w:r>
    </w:p>
    <w:p>
      <w:pPr>
        <w:spacing w:after="0" w:line="170" w:lineRule="exact"/>
        <w:rPr>
          <w:sz w:val="20"/>
          <w:szCs w:val="20"/>
          <w:color w:val="auto"/>
        </w:rPr>
      </w:pPr>
    </w:p>
    <w:p>
      <w:pPr>
        <w:ind w:right="160" w:firstLine="324"/>
        <w:spacing w:after="0" w:line="286" w:lineRule="auto"/>
        <w:rPr>
          <w:sz w:val="20"/>
          <w:szCs w:val="20"/>
          <w:color w:val="auto"/>
        </w:rPr>
      </w:pPr>
      <w:r>
        <w:rPr>
          <w:rFonts w:ascii="Arial" w:cs="Arial" w:eastAsia="Arial" w:hAnsi="Arial"/>
          <w:sz w:val="17"/>
          <w:szCs w:val="17"/>
          <w:color w:val="auto"/>
        </w:rPr>
        <w:t>On October 13, 2021, AC Immune announced it had closed its acquisition with Affiris for the program portfolio of therapeutics targeting a-syn, notably PD01, a clinically-validated active vaccine candidate for the treatment of Parkinson’s disease. The Company acquired the Transferred Assets for USD 53.7 (CHF 50.4) million and USD 5.0 (CHF 4.7) million in cash in exchange for 7,106,840 shares.</w:t>
      </w:r>
    </w:p>
    <w:p>
      <w:pPr>
        <w:spacing w:after="0" w:line="165"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With the closing of this transaction, the Company will record an in-process research and development (IPR&amp;D) intangible asset associated with PD01 for USD 53.7 (CHF 50.4) million. The Company used a risk-adjusted discounted cash flow method to determine the fair value of the asset. The Company will not amortize this intangible asset as it was deemed not yet ready for use until such point when or if the asset obtains market approval.</w:t>
      </w:r>
    </w:p>
    <w:p>
      <w:pPr>
        <w:spacing w:after="0" w:line="149" w:lineRule="exact"/>
        <w:rPr>
          <w:sz w:val="20"/>
          <w:szCs w:val="20"/>
          <w:color w:val="auto"/>
        </w:rPr>
      </w:pPr>
    </w:p>
    <w:p>
      <w:pPr>
        <w:ind w:right="300" w:firstLine="324"/>
        <w:spacing w:after="0" w:line="263" w:lineRule="auto"/>
        <w:rPr>
          <w:sz w:val="20"/>
          <w:szCs w:val="20"/>
          <w:color w:val="auto"/>
        </w:rPr>
      </w:pPr>
      <w:r>
        <w:rPr>
          <w:rFonts w:ascii="Arial" w:cs="Arial" w:eastAsia="Arial" w:hAnsi="Arial"/>
          <w:sz w:val="18"/>
          <w:szCs w:val="18"/>
          <w:color w:val="auto"/>
        </w:rPr>
        <w:t>On October 13, 2021, pursuant to the Convertible Note Agreements entered into on July 27, 2021, with entities affiliated with the Investors, the Company issued two unsecured subordinated convertible notes, each with an aggregate principal amount of USD 12.5 (CHF 11.7) million for total net proceeds of USD 25 (CHF 23.3) million.</w:t>
      </w:r>
    </w:p>
    <w:p>
      <w:pPr>
        <w:spacing w:after="0" w:line="184" w:lineRule="exact"/>
        <w:rPr>
          <w:sz w:val="20"/>
          <w:szCs w:val="20"/>
          <w:color w:val="auto"/>
        </w:rPr>
      </w:pPr>
    </w:p>
    <w:p>
      <w:pPr>
        <w:ind w:right="180" w:firstLine="324"/>
        <w:spacing w:after="0" w:line="275" w:lineRule="auto"/>
        <w:rPr>
          <w:sz w:val="20"/>
          <w:szCs w:val="20"/>
          <w:color w:val="auto"/>
        </w:rPr>
      </w:pPr>
      <w:r>
        <w:rPr>
          <w:rFonts w:ascii="Arial" w:cs="Arial" w:eastAsia="Arial" w:hAnsi="Arial"/>
          <w:sz w:val="17"/>
          <w:szCs w:val="17"/>
          <w:color w:val="auto"/>
        </w:rPr>
        <w:t>On October 18, 2021, the Investors exercised their options to convert their respective USD 12.5 (CHF 11.7) million notes. As a result of these conversions, 1,513,317 common shares were issued to each Investor, totaling 3,026,634 common shares. The Company recorded an increase to its share capital for the nominal value of its shares and share premium for the difference associated with settlement of this liability. The Company also settled its derivative financial assets via an offset to its share premium. These convertible notes and derivative financial assets were fully settled and there is no further equity or cash consideration due to the Investors thereunder.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318135</wp:posOffset>
            </wp:positionV>
            <wp:extent cx="713232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40"/>
          </w:cols>
          <w:pgMar w:left="320" w:top="584" w:right="439" w:bottom="1440" w:gutter="0" w:footer="0" w:header="0"/>
        </w:sectPr>
      </w:pPr>
    </w:p>
    <w:bookmarkStart w:id="17" w:name="page18"/>
    <w:bookmarkEnd w:id="17"/>
    <w:p>
      <w:pPr>
        <w:jc w:val="right"/>
        <w:spacing w:after="0"/>
        <w:rPr>
          <w:sz w:val="20"/>
          <w:szCs w:val="20"/>
          <w:color w:val="auto"/>
        </w:rPr>
      </w:pPr>
      <w:r>
        <w:rPr>
          <w:rFonts w:ascii="Arial" w:cs="Arial" w:eastAsia="Arial" w:hAnsi="Arial"/>
          <w:sz w:val="18"/>
          <w:szCs w:val="18"/>
          <w:b w:val="1"/>
          <w:bCs w:val="1"/>
          <w:color w:val="auto"/>
        </w:rPr>
        <w:t>Exhibit 99.2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MANAGEMENT’S DISCUSSION AND ANALYSIS OF FINANCIAL CONDITION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RESULTS OF OPERATIONS</w:t>
      </w:r>
    </w:p>
    <w:p>
      <w:pPr>
        <w:spacing w:after="0" w:line="211" w:lineRule="exact"/>
        <w:rPr>
          <w:sz w:val="20"/>
          <w:szCs w:val="20"/>
          <w:color w:val="auto"/>
        </w:rPr>
      </w:pPr>
    </w:p>
    <w:p>
      <w:pPr>
        <w:ind w:right="260" w:firstLine="324"/>
        <w:spacing w:after="0" w:line="275" w:lineRule="auto"/>
        <w:rPr>
          <w:sz w:val="20"/>
          <w:szCs w:val="20"/>
          <w:color w:val="auto"/>
        </w:rPr>
      </w:pPr>
      <w:r>
        <w:rPr>
          <w:rFonts w:ascii="Arial" w:cs="Arial" w:eastAsia="Arial" w:hAnsi="Arial"/>
          <w:sz w:val="17"/>
          <w:szCs w:val="17"/>
          <w:i w:val="1"/>
          <w:iCs w:val="1"/>
          <w:color w:val="auto"/>
        </w:rPr>
        <w:t>This management’s discussion and analysis is designed to provide you with a narrative explanation of our financial condition and results of operations. We recommend that you read this in conjunction with our unaudited interim condensed consolidated financial information as of and for the three and nine months ended September 30, 2021, included as Exhibit 99.1 to this Report on Form 6-K. We also recommend that you read our management’s discussion and analysis and our audited financial statements and the notes thereto, which appear in our Annual Report on Form 20-F for the year ended December 31, 2020 on file with the U.S. Securities and Exchange Commission (the “SEC”).</w:t>
      </w:r>
    </w:p>
    <w:p>
      <w:pPr>
        <w:spacing w:after="0" w:line="176" w:lineRule="exact"/>
        <w:rPr>
          <w:sz w:val="20"/>
          <w:szCs w:val="20"/>
          <w:color w:val="auto"/>
        </w:rPr>
      </w:pPr>
    </w:p>
    <w:p>
      <w:pPr>
        <w:ind w:right="160" w:firstLine="324"/>
        <w:spacing w:after="0" w:line="277" w:lineRule="auto"/>
        <w:rPr>
          <w:sz w:val="20"/>
          <w:szCs w:val="20"/>
          <w:color w:val="auto"/>
        </w:rPr>
      </w:pPr>
      <w:r>
        <w:rPr>
          <w:rFonts w:ascii="Arial" w:cs="Arial" w:eastAsia="Arial" w:hAnsi="Arial"/>
          <w:sz w:val="18"/>
          <w:szCs w:val="18"/>
          <w:i w:val="1"/>
          <w:iCs w:val="1"/>
          <w:color w:val="auto"/>
        </w:rPr>
        <w:t>Unless otherwise indicated or the context otherwise requires, the terms “Company,” “AC Immune,” “ACIU,” “we,” “our,” “ours,” or “us” refer to AC Immune SA together with its fully-owned subsidiary, AC Immune USA, Inc.</w:t>
      </w:r>
    </w:p>
    <w:p>
      <w:pPr>
        <w:spacing w:after="0" w:line="170" w:lineRule="exact"/>
        <w:rPr>
          <w:sz w:val="20"/>
          <w:szCs w:val="20"/>
          <w:color w:val="auto"/>
        </w:rPr>
      </w:pPr>
    </w:p>
    <w:p>
      <w:pPr>
        <w:ind w:right="40" w:firstLine="324"/>
        <w:spacing w:after="0" w:line="255" w:lineRule="auto"/>
        <w:rPr>
          <w:sz w:val="20"/>
          <w:szCs w:val="20"/>
          <w:color w:val="auto"/>
        </w:rPr>
      </w:pPr>
      <w:r>
        <w:rPr>
          <w:rFonts w:ascii="Arial" w:cs="Arial" w:eastAsia="Arial" w:hAnsi="Arial"/>
          <w:sz w:val="18"/>
          <w:szCs w:val="18"/>
          <w:i w:val="1"/>
          <w:iCs w:val="1"/>
          <w:color w:val="auto"/>
        </w:rPr>
        <w:t>We prepare and report our consolidated financial statements and financial information in accordance with International Financial Reporting Standards (“IFRS”) as issued by the International Accounting Standards Board (the “IASB”). None of our consolidated financial statements were prepared in accordance with generally accepted accounting principles in the United States. We maintain our books and records in Swiss Francs (CHF). We have made rounding adjustments to some of the figures included in this management’s discussion and analysis. Accordingly, numerical figures shown as totals in some tables may not be an arithmetic aggregation of the figures that precede them. Unless otherwise indicated, all references to currency amounts in this discussion and analysis are in Swiss Francs.</w:t>
      </w:r>
    </w:p>
    <w:p>
      <w:pPr>
        <w:spacing w:after="0" w:line="192"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This discussion and analysis is dated as of November 8, 2021.</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Overview</w:t>
      </w:r>
    </w:p>
    <w:p>
      <w:pPr>
        <w:spacing w:after="0" w:line="229" w:lineRule="exact"/>
        <w:rPr>
          <w:sz w:val="20"/>
          <w:szCs w:val="20"/>
          <w:color w:val="auto"/>
        </w:rPr>
      </w:pPr>
    </w:p>
    <w:p>
      <w:pPr>
        <w:ind w:right="20" w:firstLine="324"/>
        <w:spacing w:after="0" w:line="275" w:lineRule="auto"/>
        <w:rPr>
          <w:sz w:val="20"/>
          <w:szCs w:val="20"/>
          <w:color w:val="auto"/>
        </w:rPr>
      </w:pPr>
      <w:r>
        <w:rPr>
          <w:rFonts w:ascii="Arial" w:cs="Arial" w:eastAsia="Arial" w:hAnsi="Arial"/>
          <w:sz w:val="17"/>
          <w:szCs w:val="17"/>
          <w:color w:val="auto"/>
        </w:rPr>
        <w:t>Our goal is to continue leveraging our proprietary discovery platforms, SupraAntigen and Morphomer, to become a global leader in precision medicine for the diagnosis and treatment of neurodegenerative diseases. We are executing a clear business strategy built on three pillars: (i) accelerate development of novel therapeutics in Alzheimer’s disease (AD) with our partners; (ii) expand our strategic focus in non-AD neurodegenerative diseases, including NeuroOrphan indications, Parkinson’s disease (PD) and limbic-predominant age-related TDP-43 encephalopathy (LATE); and (iii) a continued focus on diagnostics enabling precision medicine to be an ultimate differentiator for the Company.</w:t>
      </w:r>
    </w:p>
    <w:p>
      <w:pPr>
        <w:spacing w:after="0" w:line="176" w:lineRule="exact"/>
        <w:rPr>
          <w:sz w:val="20"/>
          <w:szCs w:val="20"/>
          <w:color w:val="auto"/>
        </w:rPr>
      </w:pPr>
    </w:p>
    <w:p>
      <w:pPr>
        <w:ind w:right="40" w:firstLine="324"/>
        <w:spacing w:after="0" w:line="275" w:lineRule="auto"/>
        <w:rPr>
          <w:sz w:val="20"/>
          <w:szCs w:val="20"/>
          <w:color w:val="auto"/>
        </w:rPr>
      </w:pPr>
      <w:r>
        <w:rPr>
          <w:rFonts w:ascii="Arial" w:cs="Arial" w:eastAsia="Arial" w:hAnsi="Arial"/>
          <w:sz w:val="17"/>
          <w:szCs w:val="17"/>
          <w:color w:val="auto"/>
        </w:rPr>
        <w:t>Our three-pillar execution strategy reflects our unique precision medicine approach, which ultimately creates differentiation due to our ability to address the high levels of co-pathologies present in AD and other neurodegenerative diseases. Much like cancer, neurodegenerative diseases are heterogeneous and may require multiple therapeutic interventions tailored to patients’ specific disease drivers, to be used in concert in order to slow or stop the disease progression. Ultimately, it is our belief that precision medicine will increase the chance of treatment success by enabling clinical trial participants to be better defined by their various proteinopathies, affording treatment with the right therapies at the right time.</w:t>
      </w:r>
    </w:p>
    <w:p>
      <w:pPr>
        <w:spacing w:after="0" w:line="176" w:lineRule="exact"/>
        <w:rPr>
          <w:sz w:val="20"/>
          <w:szCs w:val="20"/>
          <w:color w:val="auto"/>
        </w:rPr>
      </w:pPr>
    </w:p>
    <w:p>
      <w:pPr>
        <w:ind w:right="80" w:firstLine="324"/>
        <w:spacing w:after="0" w:line="293" w:lineRule="auto"/>
        <w:rPr>
          <w:sz w:val="20"/>
          <w:szCs w:val="20"/>
          <w:color w:val="auto"/>
        </w:rPr>
      </w:pPr>
      <w:r>
        <w:rPr>
          <w:rFonts w:ascii="Arial" w:cs="Arial" w:eastAsia="Arial" w:hAnsi="Arial"/>
          <w:sz w:val="16"/>
          <w:szCs w:val="16"/>
          <w:color w:val="auto"/>
        </w:rPr>
        <w:t>Leveraging our dual proprietary technology platforms, we have built a comprehensive pipeline of first-in-class or best-in-class candidates spanning multiple treatment modalities and targeting both established and emerging neurodegenerative pathologies. We are currently advancing nine therapeutic and three diagnostic product candidates, with six currently in clinical trials, targeting five different types of misfolded pathological proteins related to AD and other neurodegenerative disorders. Our pipeline assets are further validated by the multiple partnerships we have established with leading global pharmaceutical companies. We believe our validated technology platforms and personalized medicine approach position AC Immune to revolutionize the treatment of neurodegenerative disease in the way precision diagnostics and targeted therapies are revolutionizing the treatment of cancer.</w:t>
      </w:r>
    </w:p>
    <w:p>
      <w:pPr>
        <w:spacing w:after="0" w:line="16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clinical stage product candidates include:</w:t>
      </w:r>
    </w:p>
    <w:p>
      <w:pPr>
        <w:spacing w:after="0" w:line="221" w:lineRule="exact"/>
        <w:rPr>
          <w:sz w:val="20"/>
          <w:szCs w:val="20"/>
          <w:color w:val="auto"/>
        </w:rPr>
      </w:pPr>
    </w:p>
    <w:p>
      <w:pPr>
        <w:ind w:left="660" w:right="400" w:hanging="328"/>
        <w:spacing w:after="0" w:line="282"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b w:val="1"/>
          <w:bCs w:val="1"/>
          <w:i w:val="1"/>
          <w:iCs w:val="1"/>
          <w:color w:val="auto"/>
        </w:rPr>
        <w:t>ACI-35.030</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Janssen and AC Immune are evaluating the anti-phosphorylated-Tau (anti-pTau) vaccine candidate ACI-35.030 in a Phase 1b/2a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study in early AD. Interim results show that ACI-35.030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311150</wp:posOffset>
            </wp:positionV>
            <wp:extent cx="713232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8" w:name="page19"/>
    <w:bookmarkEnd w:id="18"/>
    <w:p>
      <w:pPr>
        <w:ind w:left="328" w:right="20"/>
        <w:spacing w:after="0" w:line="259" w:lineRule="auto"/>
        <w:rPr>
          <w:sz w:val="20"/>
          <w:szCs w:val="20"/>
          <w:color w:val="auto"/>
        </w:rPr>
      </w:pPr>
      <w:r>
        <w:rPr>
          <w:rFonts w:ascii="Arial" w:cs="Arial" w:eastAsia="Arial" w:hAnsi="Arial"/>
          <w:sz w:val="18"/>
          <w:szCs w:val="18"/>
          <w:color w:val="auto"/>
        </w:rPr>
        <w:t>vaccination generated a potent antigen-specific antibody response against pTau in 100% of older patients, achieving antibody levels several orders of magnitude higher than pre-vaccination levels. No vaccine relevant adverse events were observed. These results support plans to further develop this vaccine into Phase 2/3 in Alzheimer’s disease. ACI-35.030 specifically targets pathological pTau and is intended as a disease-modifying treatment for AD and other Tauopathies</w:t>
      </w:r>
    </w:p>
    <w:p>
      <w:pPr>
        <w:spacing w:after="0" w:line="183" w:lineRule="exact"/>
        <w:rPr>
          <w:sz w:val="20"/>
          <w:szCs w:val="20"/>
          <w:color w:val="auto"/>
        </w:rPr>
      </w:pPr>
    </w:p>
    <w:p>
      <w:pPr>
        <w:ind w:left="328" w:hanging="328"/>
        <w:spacing w:after="0" w:line="270" w:lineRule="auto"/>
        <w:tabs>
          <w:tab w:leader="none" w:pos="328" w:val="left"/>
        </w:tabs>
        <w:numPr>
          <w:ilvl w:val="0"/>
          <w:numId w:val="12"/>
        </w:numPr>
        <w:rPr>
          <w:rFonts w:ascii="Arial" w:cs="Arial" w:eastAsia="Arial" w:hAnsi="Arial"/>
          <w:sz w:val="17"/>
          <w:szCs w:val="17"/>
          <w:color w:val="auto"/>
        </w:rPr>
      </w:pPr>
      <w:r>
        <w:rPr>
          <w:rFonts w:ascii="Arial" w:cs="Arial" w:eastAsia="Arial" w:hAnsi="Arial"/>
          <w:sz w:val="17"/>
          <w:szCs w:val="17"/>
          <w:b w:val="1"/>
          <w:bCs w:val="1"/>
          <w:i w:val="1"/>
          <w:iCs w:val="1"/>
          <w:color w:val="auto"/>
        </w:rPr>
        <w:t>Semorinemab</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Our collaboration partner, Genentech, a member of the Roche Group, is currently completing a Phase 2 clinical program for our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anti-Tau monoclonal antibody semorinemab. A Phase 2 study (Tauriel) conducted in patients with prodromal-to-mild AD was completed in Q3 2020 and did not meet its primary efficacy endpoint of reducing decline on Clinical Dementia Rating-Sum of Boxes (CDR-SB) compared to placebo. A second Phase 2 study (Lauriet) conducted in patients with mild-to-moderate AD remains ongoing with top-line results reported by the Company on August 31, 2021 that semorinemab met one of its co-primary endpoints, ADAS-Cog11, demonstrating a statistically significant reduction in cognitive decline from baseline by 43.6% compared to placebo. The second co-primary endpoint, ADCS-ADL, was not met. Safety data showed that semorinemab is well tolerated with an acceptable safety profile and no unanticipated safety signals. Genentech has reported that the open label portion of the study will continue as planned. Further analyses are ongoing, and top-line data will be presented at the CTAD conference (Clinical Trials on Alzheimer's Disease conference) in November 2021. Semorinemab is designed to slow the prion-like propagation of Tau pathology, which coincides with both clinical symptoms and disease progression in AD.</w:t>
      </w:r>
    </w:p>
    <w:p>
      <w:pPr>
        <w:spacing w:after="0" w:line="180" w:lineRule="exact"/>
        <w:rPr>
          <w:rFonts w:ascii="Arial" w:cs="Arial" w:eastAsia="Arial" w:hAnsi="Arial"/>
          <w:sz w:val="17"/>
          <w:szCs w:val="17"/>
          <w:color w:val="auto"/>
        </w:rPr>
      </w:pPr>
    </w:p>
    <w:p>
      <w:pPr>
        <w:ind w:left="328" w:right="60" w:hanging="328"/>
        <w:spacing w:after="0" w:line="293" w:lineRule="auto"/>
        <w:tabs>
          <w:tab w:leader="none" w:pos="328" w:val="left"/>
        </w:tabs>
        <w:numPr>
          <w:ilvl w:val="0"/>
          <w:numId w:val="12"/>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Morphomer Tau. </w:t>
      </w:r>
      <w:r>
        <w:rPr>
          <w:rFonts w:ascii="Arial" w:cs="Arial" w:eastAsia="Arial" w:hAnsi="Arial"/>
          <w:sz w:val="16"/>
          <w:szCs w:val="16"/>
          <w:color w:val="auto"/>
        </w:rPr>
        <w:t>In collaboration with our partner, Eli Lilly and Company (Lilly), we are researching and developing small molecule Tau</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aggregation inhibitors with plans to evaluate candidates in AD and NeuroOrphan indications. We completed a Phase 1 clinical study in healthy volunteers with ACI-3024 in Q2 2020, which showed a dose-dependent exposure and brain penetration, achieving the desired levels of ACI-3024 in the cerebrospinal fluid. Continued candidate characterization across the research program has also identified new and highly differentiated candidates with excellent cerebrospinal fluid exposure and selectivity for pathological aggregated Tau. These novel candidates are currently being assessed for further development in Tau-associated neurodegenerative diseases, AD and NeuroOrphan indications.</w:t>
      </w:r>
    </w:p>
    <w:p>
      <w:pPr>
        <w:spacing w:after="0" w:line="164" w:lineRule="exact"/>
        <w:rPr>
          <w:rFonts w:ascii="Arial" w:cs="Arial" w:eastAsia="Arial" w:hAnsi="Arial"/>
          <w:sz w:val="16"/>
          <w:szCs w:val="16"/>
          <w:color w:val="auto"/>
        </w:rPr>
      </w:pPr>
    </w:p>
    <w:p>
      <w:pPr>
        <w:ind w:left="328" w:right="240" w:hanging="328"/>
        <w:spacing w:after="0" w:line="277" w:lineRule="auto"/>
        <w:tabs>
          <w:tab w:leader="none" w:pos="328" w:val="left"/>
        </w:tabs>
        <w:numPr>
          <w:ilvl w:val="0"/>
          <w:numId w:val="12"/>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ACI-24. </w:t>
      </w:r>
      <w:r>
        <w:rPr>
          <w:rFonts w:ascii="Arial" w:cs="Arial" w:eastAsia="Arial" w:hAnsi="Arial"/>
          <w:sz w:val="18"/>
          <w:szCs w:val="18"/>
          <w:color w:val="auto"/>
        </w:rPr>
        <w:t>We currently own the global rights to our anti-Abeta vaccine candidate ACI-24, and we continue to develop this asset in-house for AD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DS.</w:t>
      </w:r>
    </w:p>
    <w:p>
      <w:pPr>
        <w:spacing w:after="0" w:line="170" w:lineRule="exact"/>
        <w:rPr>
          <w:rFonts w:ascii="Arial" w:cs="Arial" w:eastAsia="Arial" w:hAnsi="Arial"/>
          <w:sz w:val="18"/>
          <w:szCs w:val="18"/>
          <w:color w:val="auto"/>
        </w:rPr>
      </w:pPr>
    </w:p>
    <w:p>
      <w:pPr>
        <w:ind w:left="328" w:right="80" w:hanging="328"/>
        <w:spacing w:after="0" w:line="293" w:lineRule="auto"/>
        <w:tabs>
          <w:tab w:leader="none" w:pos="328" w:val="left"/>
        </w:tabs>
        <w:numPr>
          <w:ilvl w:val="0"/>
          <w:numId w:val="12"/>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ACI-24 for AD. </w:t>
      </w:r>
      <w:r>
        <w:rPr>
          <w:rFonts w:ascii="Arial" w:cs="Arial" w:eastAsia="Arial" w:hAnsi="Arial"/>
          <w:sz w:val="16"/>
          <w:szCs w:val="16"/>
          <w:color w:val="auto"/>
        </w:rPr>
        <w:t>A Phase 2 study commenced in October 2018 to assess the safety, tolerability, immunogenicity and target engagement of ACI-24</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formulations using intramuscular injections, and to analyze the effects of ACI-24 on brain amyloid as assessed by PET imaging. The 18 months treatment and additional six-months safety observation is completed for all participants. AC Immune plans to present the results of this study at the CTAD conference (Clinical Trials on Alzheimer's Disease conference) in November 2021. Non-human primate data further highlight the strong immunogenicity of our optimized ACI-24 formulation against pathological Abeta species, including oligomeric and pyroglutamate Abeta. These results, support the advancement of the optimized formulation of ACI-24 into late-stage clinical testing in AD.</w:t>
      </w:r>
    </w:p>
    <w:p>
      <w:pPr>
        <w:spacing w:after="0" w:line="164" w:lineRule="exact"/>
        <w:rPr>
          <w:rFonts w:ascii="Arial" w:cs="Arial" w:eastAsia="Arial" w:hAnsi="Arial"/>
          <w:sz w:val="16"/>
          <w:szCs w:val="16"/>
          <w:color w:val="auto"/>
        </w:rPr>
      </w:pPr>
    </w:p>
    <w:p>
      <w:pPr>
        <w:ind w:left="328" w:right="140" w:hanging="328"/>
        <w:spacing w:after="0" w:line="275" w:lineRule="auto"/>
        <w:tabs>
          <w:tab w:leader="none" w:pos="328" w:val="left"/>
        </w:tabs>
        <w:numPr>
          <w:ilvl w:val="0"/>
          <w:numId w:val="12"/>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ACI-24 for DS. </w:t>
      </w:r>
      <w:r>
        <w:rPr>
          <w:rFonts w:ascii="Arial" w:cs="Arial" w:eastAsia="Arial" w:hAnsi="Arial"/>
          <w:sz w:val="17"/>
          <w:szCs w:val="17"/>
          <w:color w:val="auto"/>
        </w:rPr>
        <w:t>Our Phase 1b clinical study of ACI-24 for individuals with DS, intended to assess safety, tolerability and immunogenicity at two</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doses, was completed and results reported in Q1 2021. The results support a favorable safety and tolerability profile of ACI-24 in this vulnerable patient population. Data also showed that administration of ACI-24 resulted in encouraging immune responses that correlated with increases in plasma Abeta, which are indicative of target engagement. Based on these results, we plan to advance an optimized formulation of ACI-24 into late-stage clinical testing to treat and prevent the progression of DS-related AD.</w:t>
      </w:r>
    </w:p>
    <w:p>
      <w:pPr>
        <w:spacing w:after="0" w:line="172" w:lineRule="exact"/>
        <w:rPr>
          <w:rFonts w:ascii="Arial" w:cs="Arial" w:eastAsia="Arial" w:hAnsi="Arial"/>
          <w:sz w:val="17"/>
          <w:szCs w:val="17"/>
          <w:color w:val="auto"/>
        </w:rPr>
      </w:pPr>
    </w:p>
    <w:p>
      <w:pPr>
        <w:ind w:left="328" w:right="100" w:hanging="328"/>
        <w:spacing w:after="0" w:line="261" w:lineRule="auto"/>
        <w:tabs>
          <w:tab w:leader="none" w:pos="328" w:val="left"/>
        </w:tabs>
        <w:numPr>
          <w:ilvl w:val="0"/>
          <w:numId w:val="12"/>
        </w:numPr>
        <w:rPr>
          <w:rFonts w:ascii="Arial" w:cs="Arial" w:eastAsia="Arial" w:hAnsi="Arial"/>
          <w:sz w:val="18"/>
          <w:szCs w:val="18"/>
          <w:color w:val="auto"/>
        </w:rPr>
      </w:pPr>
      <w:r>
        <w:rPr>
          <w:rFonts w:ascii="Arial" w:cs="Arial" w:eastAsia="Arial" w:hAnsi="Arial"/>
          <w:sz w:val="18"/>
          <w:szCs w:val="18"/>
          <w:b w:val="1"/>
          <w:bCs w:val="1"/>
          <w:color w:val="auto"/>
        </w:rPr>
        <w:t xml:space="preserve">ACI-7104. </w:t>
      </w:r>
      <w:r>
        <w:rPr>
          <w:rFonts w:ascii="Arial" w:cs="Arial" w:eastAsia="Arial" w:hAnsi="Arial"/>
          <w:sz w:val="18"/>
          <w:szCs w:val="18"/>
          <w:color w:val="auto"/>
        </w:rPr>
        <w:t>We are planning to immediately launch clinical development of ACI-7104, the optimized formulation of PD01, into an adaptive,</w:t>
      </w:r>
      <w:r>
        <w:rPr>
          <w:rFonts w:ascii="Arial" w:cs="Arial" w:eastAsia="Arial" w:hAnsi="Arial"/>
          <w:sz w:val="18"/>
          <w:szCs w:val="18"/>
          <w:b w:val="1"/>
          <w:bCs w:val="1"/>
          <w:color w:val="auto"/>
        </w:rPr>
        <w:t xml:space="preserve"> </w:t>
      </w:r>
      <w:r>
        <w:rPr>
          <w:rFonts w:ascii="Arial" w:cs="Arial" w:eastAsia="Arial" w:hAnsi="Arial"/>
          <w:sz w:val="18"/>
          <w:szCs w:val="18"/>
          <w:color w:val="auto"/>
        </w:rPr>
        <w:t>biomarker-based Phase 2 study. This trial will evaluate an initial dose-response of the optimized formulation focusing on immunogenicity against a-syn and pathological a-syn species. Additionally, progression of motor and non-motor symptoms of Parkinson's disease will be monitored, together with digital, imaging and fluid biomarkers.</w:t>
      </w:r>
    </w:p>
    <w:p>
      <w:pPr>
        <w:spacing w:after="0" w:line="183" w:lineRule="exact"/>
        <w:rPr>
          <w:rFonts w:ascii="Arial" w:cs="Arial" w:eastAsia="Arial" w:hAnsi="Arial"/>
          <w:sz w:val="18"/>
          <w:szCs w:val="18"/>
          <w:color w:val="auto"/>
        </w:rPr>
      </w:pPr>
    </w:p>
    <w:p>
      <w:pPr>
        <w:ind w:left="328" w:right="700" w:hanging="328"/>
        <w:spacing w:after="0" w:line="277" w:lineRule="auto"/>
        <w:tabs>
          <w:tab w:leader="none" w:pos="328" w:val="left"/>
        </w:tabs>
        <w:numPr>
          <w:ilvl w:val="0"/>
          <w:numId w:val="12"/>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Crenezumab. </w:t>
      </w:r>
      <w:r>
        <w:rPr>
          <w:rFonts w:ascii="Arial" w:cs="Arial" w:eastAsia="Arial" w:hAnsi="Arial"/>
          <w:sz w:val="18"/>
          <w:szCs w:val="18"/>
          <w:color w:val="auto"/>
        </w:rPr>
        <w:t>The parent of our collaboration partner Genentech discontinued, as of January 2019, the Phase 3 clinical trials in AD but is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continuing in a landmark prevention trial in Columbia, in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314325</wp:posOffset>
            </wp:positionV>
            <wp:extent cx="713232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888"/>
          </w:cols>
          <w:pgMar w:left="652" w:top="584" w:right="359" w:bottom="1440" w:gutter="0" w:footer="0" w:header="0"/>
        </w:sectPr>
      </w:pPr>
    </w:p>
    <w:bookmarkStart w:id="19" w:name="page20"/>
    <w:bookmarkEnd w:id="19"/>
    <w:p>
      <w:pPr>
        <w:jc w:val="both"/>
        <w:ind w:left="660" w:right="20"/>
        <w:spacing w:after="0" w:line="263" w:lineRule="auto"/>
        <w:rPr>
          <w:sz w:val="20"/>
          <w:szCs w:val="20"/>
          <w:color w:val="auto"/>
        </w:rPr>
      </w:pPr>
      <w:r>
        <w:rPr>
          <w:rFonts w:ascii="Arial" w:cs="Arial" w:eastAsia="Arial" w:hAnsi="Arial"/>
          <w:sz w:val="18"/>
          <w:szCs w:val="18"/>
          <w:color w:val="auto"/>
        </w:rPr>
        <w:t>population of genetically predisposed people at risk of developing familial AD. The overall beneficial safety profile was confirmed in the CREAD studies, supporting the safe use of crenezumab in healthy individuals with risk of developing AD. The data for the primary outcome measures are expected in Q1 2022.</w:t>
      </w:r>
    </w:p>
    <w:p>
      <w:pPr>
        <w:spacing w:after="0" w:line="180" w:lineRule="exact"/>
        <w:rPr>
          <w:sz w:val="20"/>
          <w:szCs w:val="20"/>
          <w:color w:val="auto"/>
        </w:rPr>
      </w:pPr>
    </w:p>
    <w:p>
      <w:pPr>
        <w:ind w:left="660" w:right="20" w:hanging="328"/>
        <w:spacing w:after="0" w:line="347" w:lineRule="auto"/>
        <w:tabs>
          <w:tab w:leader="none" w:pos="660" w:val="left"/>
        </w:tabs>
        <w:numPr>
          <w:ilvl w:val="0"/>
          <w:numId w:val="13"/>
        </w:numPr>
        <w:rPr>
          <w:rFonts w:ascii="Arial" w:cs="Arial" w:eastAsia="Arial" w:hAnsi="Arial"/>
          <w:sz w:val="16"/>
          <w:szCs w:val="16"/>
          <w:color w:val="auto"/>
        </w:rPr>
      </w:pPr>
      <w:r>
        <w:rPr>
          <w:rFonts w:ascii="Arial" w:cs="Arial" w:eastAsia="Arial" w:hAnsi="Arial"/>
          <w:sz w:val="16"/>
          <w:szCs w:val="16"/>
          <w:b w:val="1"/>
          <w:bCs w:val="1"/>
          <w:i w:val="1"/>
          <w:iCs w:val="1"/>
          <w:color w:val="auto"/>
        </w:rPr>
        <w:t>Diagnostic candidates</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 addition to the above product candidates, we will continue to develop our complementary diagnostic product candidates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for Tau (with LMI), a-syn and TDP-43 to advance them through clinical development, either independently or with collaboration partners.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Interim 2021 Company Highlights</w:t>
      </w:r>
    </w:p>
    <w:p>
      <w:pPr>
        <w:spacing w:after="0" w:line="229" w:lineRule="exact"/>
        <w:rPr>
          <w:sz w:val="20"/>
          <w:szCs w:val="20"/>
          <w:color w:val="auto"/>
        </w:rPr>
      </w:pPr>
    </w:p>
    <w:p>
      <w:pPr>
        <w:ind w:left="660" w:right="20" w:hanging="328"/>
        <w:spacing w:after="0" w:line="296" w:lineRule="auto"/>
        <w:tabs>
          <w:tab w:leader="none" w:pos="660" w:val="left"/>
        </w:tabs>
        <w:numPr>
          <w:ilvl w:val="0"/>
          <w:numId w:val="14"/>
        </w:numPr>
        <w:rPr>
          <w:rFonts w:ascii="Arial" w:cs="Arial" w:eastAsia="Arial" w:hAnsi="Arial"/>
          <w:sz w:val="16"/>
          <w:szCs w:val="16"/>
          <w:color w:val="auto"/>
        </w:rPr>
      </w:pPr>
      <w:r>
        <w:rPr>
          <w:rFonts w:ascii="Arial" w:cs="Arial" w:eastAsia="Arial" w:hAnsi="Arial"/>
          <w:sz w:val="16"/>
          <w:szCs w:val="16"/>
          <w:color w:val="auto"/>
        </w:rPr>
        <w:t>Announced the first positive cognitive results for a Tau-targeting monoclonal antibody in Alzheimer’s disease (AD). Topline data from the Lauriet Phase 2 trial of semorinemab in mild-to-moderate AD showed a statistically significant (p&lt;0.0025) 43.6% reduction at week 49 in cognitive decline vs. placebo as measured by ADAS-Cog11, one of the trial’s co-primary endpoints. The second co-primary endpoint, ADCS-ADL, was not met. AC Immune’s partner Genentech is continuing with the trial’s open label extension and is scheduled to present the topline data from the Lauriet study at the CTAD (Clinical Trials on Alzheimer's Disease) conference on November 10, 2021, at 10:50am EST.</w:t>
      </w:r>
    </w:p>
    <w:p>
      <w:pPr>
        <w:spacing w:after="0" w:line="161" w:lineRule="exact"/>
        <w:rPr>
          <w:rFonts w:ascii="Arial" w:cs="Arial" w:eastAsia="Arial" w:hAnsi="Arial"/>
          <w:sz w:val="16"/>
          <w:szCs w:val="16"/>
          <w:color w:val="auto"/>
        </w:rPr>
      </w:pPr>
    </w:p>
    <w:p>
      <w:pPr>
        <w:ind w:left="660" w:right="100" w:hanging="328"/>
        <w:spacing w:after="0" w:line="259"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Completed an all-stock acquisition of Affiris’ portfolio of therapeutics targeting alpha-synuclein, notably PD01 / ACI-7104, a clinically validated active vaccine candidate that places AC Immune at the forefront of Parkinson’s disease drug development. Through this acquisition and a concurrent financing, AC Immune has also strengthened its cash position and added Athos Service GmbH (Strüngmann family office), First Capital Partner GmbH (Egger Family Office), and MIG Fonds to its shareholder base.</w:t>
      </w:r>
    </w:p>
    <w:p>
      <w:pPr>
        <w:spacing w:after="0" w:line="186" w:lineRule="exact"/>
        <w:rPr>
          <w:rFonts w:ascii="Arial" w:cs="Arial" w:eastAsia="Arial" w:hAnsi="Arial"/>
          <w:sz w:val="18"/>
          <w:szCs w:val="18"/>
          <w:color w:val="auto"/>
        </w:rPr>
      </w:pPr>
    </w:p>
    <w:p>
      <w:pPr>
        <w:ind w:left="660" w:right="20" w:hanging="328"/>
        <w:spacing w:after="0" w:line="257"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Presented the full results from the landmark Phase 1b clinical trial evaluating the wholly-owned anti-Abeta vaccine ACI-24 in subjects with Down syndrome (DS) at the Alzheimer’s Association International Conference (AAIC) 2021. Data showed that ACI-24 generated evidence of immunogenicity along with a positive pharmacodynamic response and a favorable safety and tolerability profile. Based on these results, the Company plans to advance an optimized formulation of ACI-24 into mid-stage clinical testing to treat and prevent the progression of DS-related AD.</w:t>
      </w:r>
    </w:p>
    <w:p>
      <w:pPr>
        <w:spacing w:after="0" w:line="187" w:lineRule="exact"/>
        <w:rPr>
          <w:rFonts w:ascii="Arial" w:cs="Arial" w:eastAsia="Arial" w:hAnsi="Arial"/>
          <w:sz w:val="18"/>
          <w:szCs w:val="18"/>
          <w:color w:val="auto"/>
        </w:rPr>
      </w:pPr>
    </w:p>
    <w:p>
      <w:pPr>
        <w:ind w:left="660" w:hanging="328"/>
        <w:spacing w:after="0" w:line="257"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Extended the Company’s research partnership with leading scientists at the Center for Neurodegenerative Disease Research at the Perelman School of Medicine at the University of Pennsylvania (Penn). The goal of the collaboration is to further understand the role of these distinct pathogenic TDP-43 species in the different TDP-43 proteinopathies. Through the development of novel experimental models, AC Immune and Penn hope to unravel the underlying mechanisms of cell-to-cell transmission of TDP-43 pathology that could provide new therapeutic strategies to target TDP-43-related proteinopathies.</w:t>
      </w:r>
    </w:p>
    <w:p>
      <w:pPr>
        <w:spacing w:after="0" w:line="187" w:lineRule="exact"/>
        <w:rPr>
          <w:rFonts w:ascii="Arial" w:cs="Arial" w:eastAsia="Arial" w:hAnsi="Arial"/>
          <w:sz w:val="18"/>
          <w:szCs w:val="18"/>
          <w:color w:val="auto"/>
        </w:rPr>
      </w:pPr>
    </w:p>
    <w:p>
      <w:pPr>
        <w:ind w:left="660" w:right="300" w:hanging="328"/>
        <w:spacing w:after="0" w:line="277"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Welcomed pharmaceutical industry expert Monica Shaw, M.D., and leading Swiss economist Prof. Monika Bütler, Dr. Oec., to the Company’s Board of Directors.</w:t>
      </w:r>
    </w:p>
    <w:p>
      <w:pPr>
        <w:spacing w:after="0" w:line="170" w:lineRule="exact"/>
        <w:rPr>
          <w:rFonts w:ascii="Arial" w:cs="Arial" w:eastAsia="Arial" w:hAnsi="Arial"/>
          <w:sz w:val="18"/>
          <w:szCs w:val="18"/>
          <w:color w:val="auto"/>
        </w:rPr>
      </w:pPr>
    </w:p>
    <w:p>
      <w:pPr>
        <w:ind w:left="660" w:right="140" w:hanging="328"/>
        <w:spacing w:after="0" w:line="263"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Announced that the Swiss Economic Forum (SEF) awarded AC Immune Co-Founder and CEO Prof. Andrea Pfeifer with the SEF.WomenAward for CEO of the Year. This award recognizes women with an excellent entrepreneurial track record, thereby giving greater prominence to role models who can inspire the next generation of businesswomen with their achievements.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ind w:right="60" w:firstLine="324"/>
        <w:spacing w:after="0" w:line="286" w:lineRule="auto"/>
        <w:rPr>
          <w:sz w:val="20"/>
          <w:szCs w:val="20"/>
          <w:color w:val="auto"/>
        </w:rPr>
      </w:pPr>
      <w:r>
        <w:rPr>
          <w:rFonts w:ascii="Arial" w:cs="Arial" w:eastAsia="Arial" w:hAnsi="Arial"/>
          <w:sz w:val="17"/>
          <w:szCs w:val="17"/>
          <w:color w:val="auto"/>
        </w:rPr>
        <w:t>The Covid-19 global pandemic has impacted various countries in which AC Immune currently operates clinical trials and business operations. The extent to which Covid-19 may impact us will depend on future developments, which are currently uncertain and cannot be predicted with confidence, such as the duration of the outbreak, the severity of Covid-19, or the effectiveness of actions to contain and treat Covid-19.</w:t>
      </w:r>
    </w:p>
    <w:p>
      <w:pPr>
        <w:spacing w:after="0" w:line="165" w:lineRule="exact"/>
        <w:rPr>
          <w:sz w:val="20"/>
          <w:szCs w:val="20"/>
          <w:color w:val="auto"/>
        </w:rPr>
      </w:pPr>
    </w:p>
    <w:p>
      <w:pPr>
        <w:ind w:right="100" w:firstLine="324"/>
        <w:spacing w:after="0" w:line="263" w:lineRule="auto"/>
        <w:rPr>
          <w:sz w:val="20"/>
          <w:szCs w:val="20"/>
          <w:color w:val="auto"/>
        </w:rPr>
      </w:pPr>
      <w:r>
        <w:rPr>
          <w:rFonts w:ascii="Arial" w:cs="Arial" w:eastAsia="Arial" w:hAnsi="Arial"/>
          <w:sz w:val="18"/>
          <w:szCs w:val="18"/>
          <w:color w:val="auto"/>
        </w:rPr>
        <w:t>The Company continues to effect its business continuity plan and adapt as the situation evolves. Currently, we have resumed normal operations at full capacity, with minimal disruption to our business. We are continuously assessing and adapting our working practices and business operations to ensure compliance 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322580</wp:posOffset>
            </wp:positionV>
            <wp:extent cx="713232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584" w:right="359" w:bottom="1440" w:gutter="0" w:footer="0" w:header="0"/>
        </w:sectPr>
      </w:pPr>
    </w:p>
    <w:bookmarkStart w:id="20" w:name="page21"/>
    <w:bookmarkEnd w:id="20"/>
    <w:p>
      <w:pPr>
        <w:ind w:right="60"/>
        <w:spacing w:after="0" w:line="277" w:lineRule="auto"/>
        <w:rPr>
          <w:sz w:val="20"/>
          <w:szCs w:val="20"/>
          <w:color w:val="auto"/>
        </w:rPr>
      </w:pPr>
      <w:r>
        <w:rPr>
          <w:rFonts w:ascii="Arial" w:cs="Arial" w:eastAsia="Arial" w:hAnsi="Arial"/>
          <w:sz w:val="18"/>
          <w:szCs w:val="18"/>
          <w:color w:val="auto"/>
        </w:rPr>
        <w:t>official guidance and orders related to the pandemic and are working proactively with our partners and other stakeholders to take steps intended to mitigate and minimize any negative impact to our research, clinical programs and other business operations.</w:t>
      </w:r>
    </w:p>
    <w:p>
      <w:pPr>
        <w:spacing w:after="0" w:line="170" w:lineRule="exact"/>
        <w:rPr>
          <w:sz w:val="20"/>
          <w:szCs w:val="20"/>
          <w:color w:val="auto"/>
        </w:rPr>
      </w:pPr>
    </w:p>
    <w:p>
      <w:pPr>
        <w:ind w:right="120" w:firstLine="324"/>
        <w:spacing w:after="0" w:line="301" w:lineRule="auto"/>
        <w:rPr>
          <w:sz w:val="20"/>
          <w:szCs w:val="20"/>
          <w:color w:val="auto"/>
        </w:rPr>
      </w:pPr>
      <w:r>
        <w:rPr>
          <w:rFonts w:ascii="Arial" w:cs="Arial" w:eastAsia="Arial" w:hAnsi="Arial"/>
          <w:sz w:val="16"/>
          <w:szCs w:val="16"/>
          <w:color w:val="auto"/>
        </w:rPr>
        <w:t>The Company does not currently have or project material impacts to the ongoing key trials. Additionally, the Company has drug supplies that are expected to be sufficient to complete ongoing trials as well as additional drug substance supplies expected to be sufficient to support ongoing cohorts of clinical trials for a period of at least three to six months. The Company will refrain from starting new clinical trials if a minimum of a six-month supply on hand cannot be secured. Finally, the Company currently does not expect delays to its clinical trials due to manufacturing or supply-chain issues.</w:t>
      </w:r>
    </w:p>
    <w:p>
      <w:pPr>
        <w:spacing w:after="0" w:line="157"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Comparison of the three and nine months ended September 30, 2021 and 2020</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Contract revenues</w:t>
      </w:r>
    </w:p>
    <w:p>
      <w:pPr>
        <w:spacing w:after="0" w:line="225" w:lineRule="exact"/>
        <w:rPr>
          <w:sz w:val="20"/>
          <w:szCs w:val="20"/>
          <w:color w:val="auto"/>
        </w:rPr>
      </w:pPr>
    </w:p>
    <w:p>
      <w:pPr>
        <w:ind w:right="440" w:firstLine="324"/>
        <w:spacing w:after="0" w:line="263" w:lineRule="auto"/>
        <w:rPr>
          <w:sz w:val="20"/>
          <w:szCs w:val="20"/>
          <w:color w:val="auto"/>
        </w:rPr>
      </w:pPr>
      <w:r>
        <w:rPr>
          <w:rFonts w:ascii="Arial" w:cs="Arial" w:eastAsia="Arial" w:hAnsi="Arial"/>
          <w:sz w:val="18"/>
          <w:szCs w:val="18"/>
          <w:color w:val="auto"/>
        </w:rPr>
        <w:t>For the three months ended September 30, 2021, AC Immune generated no contract revenues compared with CHF 1.1 million for the comparable period in 2020. This represents a decrease of CHF 1.1 million. The following table summarizes our contract revenues during the three months ended September 30, 2021, and 2020:</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920" w:type="dxa"/>
            <w:vAlign w:val="bottom"/>
            <w:gridSpan w:val="4"/>
          </w:tcPr>
          <w:p>
            <w:pPr>
              <w:jc w:val="center"/>
              <w:ind w:right="100"/>
              <w:spacing w:after="0"/>
              <w:rPr>
                <w:sz w:val="20"/>
                <w:szCs w:val="20"/>
                <w:color w:val="auto"/>
              </w:rPr>
            </w:pPr>
            <w:r>
              <w:rPr>
                <w:rFonts w:ascii="Arial" w:cs="Arial" w:eastAsia="Arial" w:hAnsi="Arial"/>
                <w:sz w:val="18"/>
                <w:szCs w:val="18"/>
                <w:b w:val="1"/>
                <w:bCs w:val="1"/>
                <w:color w:val="auto"/>
                <w:w w:val="92"/>
              </w:rPr>
              <w:t>For the Three Months</w:t>
            </w:r>
          </w:p>
        </w:tc>
        <w:tc>
          <w:tcPr>
            <w:tcW w:w="1340" w:type="dxa"/>
            <w:vAlign w:val="bottom"/>
          </w:tcPr>
          <w:p>
            <w:pPr>
              <w:spacing w:after="0"/>
              <w:rPr>
                <w:sz w:val="18"/>
                <w:szCs w:val="18"/>
                <w:color w:val="auto"/>
              </w:rPr>
            </w:pPr>
          </w:p>
        </w:tc>
      </w:tr>
      <w:tr>
        <w:trPr>
          <w:trHeight w:val="234"/>
        </w:trPr>
        <w:tc>
          <w:tcPr>
            <w:tcW w:w="6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920" w:type="dxa"/>
            <w:vAlign w:val="bottom"/>
            <w:gridSpan w:val="4"/>
          </w:tcPr>
          <w:p>
            <w:pPr>
              <w:jc w:val="center"/>
              <w:ind w:right="100"/>
              <w:spacing w:after="0"/>
              <w:rPr>
                <w:sz w:val="20"/>
                <w:szCs w:val="20"/>
                <w:color w:val="auto"/>
              </w:rPr>
            </w:pPr>
            <w:r>
              <w:rPr>
                <w:rFonts w:ascii="Arial" w:cs="Arial" w:eastAsia="Arial" w:hAnsi="Arial"/>
                <w:sz w:val="18"/>
                <w:szCs w:val="18"/>
                <w:b w:val="1"/>
                <w:bCs w:val="1"/>
                <w:color w:val="auto"/>
                <w:w w:val="90"/>
              </w:rPr>
              <w:t>Ended September 30,</w:t>
            </w:r>
          </w:p>
        </w:tc>
        <w:tc>
          <w:tcPr>
            <w:tcW w:w="1340" w:type="dxa"/>
            <w:vAlign w:val="bottom"/>
          </w:tcPr>
          <w:p>
            <w:pPr>
              <w:spacing w:after="0"/>
              <w:rPr>
                <w:sz w:val="20"/>
                <w:szCs w:val="20"/>
                <w:color w:val="auto"/>
              </w:rPr>
            </w:pPr>
          </w:p>
        </w:tc>
      </w:tr>
      <w:tr>
        <w:trPr>
          <w:trHeight w:val="223"/>
        </w:trPr>
        <w:tc>
          <w:tcPr>
            <w:tcW w:w="6980" w:type="dxa"/>
            <w:vAlign w:val="bottom"/>
            <w:gridSpan w:val="2"/>
          </w:tcPr>
          <w:p>
            <w:pPr>
              <w:ind w:left="2300"/>
              <w:spacing w:after="0"/>
              <w:rPr>
                <w:sz w:val="20"/>
                <w:szCs w:val="20"/>
                <w:color w:val="auto"/>
              </w:rPr>
            </w:pPr>
            <w:r>
              <w:rPr>
                <w:rFonts w:ascii="Arial" w:cs="Arial" w:eastAsia="Arial" w:hAnsi="Arial"/>
                <w:sz w:val="18"/>
                <w:szCs w:val="18"/>
                <w:b w:val="1"/>
                <w:bCs w:val="1"/>
                <w:color w:val="auto"/>
              </w:rPr>
              <w:t>in CHF thousands, unaudited</w:t>
            </w:r>
          </w:p>
        </w:tc>
        <w:tc>
          <w:tcPr>
            <w:tcW w:w="1380" w:type="dxa"/>
            <w:vAlign w:val="bottom"/>
            <w:tcBorders>
              <w:top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top w:val="single" w:sz="8" w:color="auto"/>
            </w:tcBorders>
          </w:tcPr>
          <w:p>
            <w:pPr>
              <w:spacing w:after="0"/>
              <w:rPr>
                <w:sz w:val="19"/>
                <w:szCs w:val="19"/>
                <w:color w:val="auto"/>
              </w:rPr>
            </w:pPr>
          </w:p>
        </w:tc>
        <w:tc>
          <w:tcPr>
            <w:tcW w:w="1340" w:type="dxa"/>
            <w:vAlign w:val="bottom"/>
            <w:tcBorders>
              <w:top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9"/>
                <w:szCs w:val="19"/>
                <w:color w:val="auto"/>
              </w:rPr>
            </w:pPr>
          </w:p>
        </w:tc>
        <w:tc>
          <w:tcPr>
            <w:tcW w:w="1340" w:type="dxa"/>
            <w:vAlign w:val="bottom"/>
          </w:tcPr>
          <w:p>
            <w:pPr>
              <w:jc w:val="right"/>
              <w:ind w:right="290"/>
              <w:spacing w:after="0"/>
              <w:rPr>
                <w:sz w:val="20"/>
                <w:szCs w:val="20"/>
                <w:color w:val="auto"/>
              </w:rPr>
            </w:pPr>
            <w:r>
              <w:rPr>
                <w:rFonts w:ascii="Arial" w:cs="Arial" w:eastAsia="Arial" w:hAnsi="Arial"/>
                <w:sz w:val="18"/>
                <w:szCs w:val="18"/>
                <w:b w:val="1"/>
                <w:bCs w:val="1"/>
                <w:color w:val="auto"/>
              </w:rPr>
              <w:t>Change</w:t>
            </w:r>
          </w:p>
        </w:tc>
      </w:tr>
      <w:tr>
        <w:trPr>
          <w:trHeight w:val="223"/>
        </w:trPr>
        <w:tc>
          <w:tcPr>
            <w:tcW w:w="6860" w:type="dxa"/>
            <w:vAlign w:val="bottom"/>
            <w:tcBorders>
              <w:top w:val="single" w:sz="8" w:color="auto"/>
            </w:tcBorders>
            <w:shd w:val="clear" w:color="auto" w:fill="D5EAEA"/>
          </w:tcPr>
          <w:p>
            <w:pPr>
              <w:spacing w:after="0"/>
              <w:rPr>
                <w:sz w:val="20"/>
                <w:szCs w:val="20"/>
                <w:color w:val="auto"/>
              </w:rPr>
            </w:pPr>
            <w:r>
              <w:rPr>
                <w:rFonts w:ascii="Arial" w:cs="Arial" w:eastAsia="Arial" w:hAnsi="Arial"/>
                <w:sz w:val="18"/>
                <w:szCs w:val="18"/>
                <w:color w:val="auto"/>
              </w:rPr>
              <w:t>Contract revenue</w:t>
            </w:r>
          </w:p>
        </w:tc>
        <w:tc>
          <w:tcPr>
            <w:tcW w:w="120" w:type="dxa"/>
            <w:vAlign w:val="bottom"/>
            <w:tcBorders>
              <w:top w:val="single" w:sz="8" w:color="D5EAEA"/>
            </w:tcBorders>
            <w:shd w:val="clear" w:color="auto" w:fill="D5EAEA"/>
          </w:tcPr>
          <w:p>
            <w:pPr>
              <w:spacing w:after="0"/>
              <w:rPr>
                <w:sz w:val="19"/>
                <w:szCs w:val="19"/>
                <w:color w:val="auto"/>
              </w:rPr>
            </w:pPr>
          </w:p>
        </w:tc>
        <w:tc>
          <w:tcPr>
            <w:tcW w:w="1380" w:type="dxa"/>
            <w:vAlign w:val="bottom"/>
            <w:tcBorders>
              <w:top w:val="single" w:sz="8" w:color="auto"/>
              <w:bottom w:val="single" w:sz="8" w:color="auto"/>
            </w:tcBorders>
            <w:shd w:val="clear" w:color="auto" w:fill="D5EAEA"/>
          </w:tcPr>
          <w:p>
            <w:pPr>
              <w:ind w:left="108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D5EAEA"/>
            </w:tcBorders>
            <w:shd w:val="clear" w:color="auto" w:fill="D5EAEA"/>
          </w:tcPr>
          <w:p>
            <w:pPr>
              <w:spacing w:after="0"/>
              <w:rPr>
                <w:sz w:val="19"/>
                <w:szCs w:val="19"/>
                <w:color w:val="auto"/>
              </w:rPr>
            </w:pPr>
          </w:p>
        </w:tc>
        <w:tc>
          <w:tcPr>
            <w:tcW w:w="1340" w:type="dxa"/>
            <w:vAlign w:val="bottom"/>
            <w:tcBorders>
              <w:top w:val="single" w:sz="8" w:color="auto"/>
              <w:bottom w:val="single" w:sz="8" w:color="auto"/>
            </w:tcBorders>
            <w:shd w:val="clear" w:color="auto" w:fill="D5EAEA"/>
          </w:tcPr>
          <w:p>
            <w:pPr>
              <w:jc w:val="right"/>
              <w:ind w:right="30"/>
              <w:spacing w:after="0"/>
              <w:rPr>
                <w:sz w:val="20"/>
                <w:szCs w:val="20"/>
                <w:color w:val="auto"/>
              </w:rPr>
            </w:pPr>
            <w:r>
              <w:rPr>
                <w:rFonts w:ascii="Arial" w:cs="Arial" w:eastAsia="Arial" w:hAnsi="Arial"/>
                <w:sz w:val="18"/>
                <w:szCs w:val="18"/>
                <w:color w:val="auto"/>
              </w:rPr>
              <w:t>1,123</w:t>
            </w:r>
          </w:p>
        </w:tc>
        <w:tc>
          <w:tcPr>
            <w:tcW w:w="100" w:type="dxa"/>
            <w:vAlign w:val="bottom"/>
            <w:tcBorders>
              <w:top w:val="single" w:sz="8" w:color="D5EAEA"/>
            </w:tcBorders>
            <w:shd w:val="clear" w:color="auto" w:fill="D5EAEA"/>
          </w:tcPr>
          <w:p>
            <w:pPr>
              <w:spacing w:after="0"/>
              <w:rPr>
                <w:sz w:val="19"/>
                <w:szCs w:val="19"/>
                <w:color w:val="auto"/>
              </w:rPr>
            </w:pPr>
          </w:p>
        </w:tc>
        <w:tc>
          <w:tcPr>
            <w:tcW w:w="1340" w:type="dxa"/>
            <w:vAlign w:val="bottom"/>
            <w:tcBorders>
              <w:top w:val="single" w:sz="8" w:color="auto"/>
              <w:bottom w:val="single" w:sz="8" w:color="auto"/>
            </w:tcBorders>
            <w:shd w:val="clear" w:color="auto" w:fill="D5EAEA"/>
          </w:tcPr>
          <w:p>
            <w:pPr>
              <w:jc w:val="right"/>
              <w:spacing w:after="0"/>
              <w:rPr>
                <w:sz w:val="20"/>
                <w:szCs w:val="20"/>
                <w:color w:val="auto"/>
              </w:rPr>
            </w:pPr>
            <w:r>
              <w:rPr>
                <w:rFonts w:ascii="Arial" w:cs="Arial" w:eastAsia="Arial" w:hAnsi="Arial"/>
                <w:sz w:val="18"/>
                <w:szCs w:val="18"/>
                <w:color w:val="auto"/>
              </w:rPr>
              <w:t>(1,123)</w:t>
            </w:r>
          </w:p>
        </w:tc>
      </w:tr>
      <w:tr>
        <w:trPr>
          <w:trHeight w:val="223"/>
        </w:trPr>
        <w:tc>
          <w:tcPr>
            <w:tcW w:w="6980" w:type="dxa"/>
            <w:vAlign w:val="bottom"/>
            <w:gridSpan w:val="2"/>
          </w:tcPr>
          <w:p>
            <w:pPr>
              <w:spacing w:after="0"/>
              <w:rPr>
                <w:sz w:val="20"/>
                <w:szCs w:val="20"/>
                <w:color w:val="auto"/>
              </w:rPr>
            </w:pPr>
            <w:r>
              <w:rPr>
                <w:rFonts w:ascii="Arial" w:cs="Arial" w:eastAsia="Arial" w:hAnsi="Arial"/>
                <w:sz w:val="18"/>
                <w:szCs w:val="18"/>
                <w:b w:val="1"/>
                <w:bCs w:val="1"/>
                <w:color w:val="auto"/>
              </w:rPr>
              <w:t>Total revenues</w:t>
            </w:r>
          </w:p>
        </w:tc>
        <w:tc>
          <w:tcPr>
            <w:tcW w:w="1380" w:type="dxa"/>
            <w:vAlign w:val="bottom"/>
            <w:tcBorders>
              <w:bottom w:val="single" w:sz="8" w:color="auto"/>
            </w:tcBorders>
          </w:tcPr>
          <w:p>
            <w:pPr>
              <w:ind w:left="10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3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1,123</w:t>
            </w:r>
          </w:p>
        </w:tc>
        <w:tc>
          <w:tcPr>
            <w:tcW w:w="100" w:type="dxa"/>
            <w:vAlign w:val="bottom"/>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(1,123)</w:t>
            </w:r>
          </w:p>
        </w:tc>
      </w:tr>
      <w:tr>
        <w:trPr>
          <w:trHeight w:val="20"/>
        </w:trPr>
        <w:tc>
          <w:tcPr>
            <w:tcW w:w="6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340"/>
        <w:spacing w:after="0"/>
        <w:rPr>
          <w:sz w:val="20"/>
          <w:szCs w:val="20"/>
          <w:color w:val="auto"/>
        </w:rPr>
      </w:pPr>
      <w:r>
        <w:rPr>
          <w:rFonts w:ascii="Arial" w:cs="Arial" w:eastAsia="Arial" w:hAnsi="Arial"/>
          <w:sz w:val="17"/>
          <w:szCs w:val="17"/>
          <w:color w:val="auto"/>
        </w:rPr>
        <w:t>For the three months ended September 30, 2021, the CHF 1.1 million decrease compared with the prior period is predominantly related to:</w:t>
      </w:r>
    </w:p>
    <w:p>
      <w:pPr>
        <w:spacing w:after="0" w:line="237" w:lineRule="exact"/>
        <w:rPr>
          <w:sz w:val="20"/>
          <w:szCs w:val="20"/>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 decrease of CHF 1.1 million for R&amp;D activities in our agreement with Lilly.</w:t>
      </w:r>
    </w:p>
    <w:p>
      <w:pPr>
        <w:spacing w:after="0" w:line="225" w:lineRule="exact"/>
        <w:rPr>
          <w:sz w:val="20"/>
          <w:szCs w:val="20"/>
          <w:color w:val="auto"/>
        </w:rPr>
      </w:pPr>
    </w:p>
    <w:p>
      <w:pPr>
        <w:ind w:right="400" w:firstLine="324"/>
        <w:spacing w:after="0" w:line="263" w:lineRule="auto"/>
        <w:rPr>
          <w:sz w:val="20"/>
          <w:szCs w:val="20"/>
          <w:color w:val="auto"/>
        </w:rPr>
      </w:pPr>
      <w:r>
        <w:rPr>
          <w:rFonts w:ascii="Arial" w:cs="Arial" w:eastAsia="Arial" w:hAnsi="Arial"/>
          <w:sz w:val="18"/>
          <w:szCs w:val="18"/>
          <w:color w:val="auto"/>
        </w:rPr>
        <w:t>For the nine months ended September 30, 2021, AC Immune generated no contract revenues compared with CHF 14.5 million for the comparable period in 2020. This represents a decrease of CHF 14.5 million. The following table summarizes our contract revenues during the nine months ended September 30, 2021 and 2020:</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920" w:type="dxa"/>
            <w:vAlign w:val="bottom"/>
            <w:gridSpan w:val="4"/>
          </w:tcPr>
          <w:p>
            <w:pPr>
              <w:ind w:left="600"/>
              <w:spacing w:after="0"/>
              <w:rPr>
                <w:sz w:val="20"/>
                <w:szCs w:val="20"/>
                <w:color w:val="auto"/>
              </w:rPr>
            </w:pPr>
            <w:r>
              <w:rPr>
                <w:rFonts w:ascii="Arial" w:cs="Arial" w:eastAsia="Arial" w:hAnsi="Arial"/>
                <w:sz w:val="18"/>
                <w:szCs w:val="18"/>
                <w:b w:val="1"/>
                <w:bCs w:val="1"/>
                <w:color w:val="auto"/>
              </w:rPr>
              <w:t>For the Nine Months</w:t>
            </w:r>
          </w:p>
        </w:tc>
        <w:tc>
          <w:tcPr>
            <w:tcW w:w="1340" w:type="dxa"/>
            <w:vAlign w:val="bottom"/>
          </w:tcPr>
          <w:p>
            <w:pPr>
              <w:spacing w:after="0"/>
              <w:rPr>
                <w:sz w:val="18"/>
                <w:szCs w:val="18"/>
                <w:color w:val="auto"/>
              </w:rPr>
            </w:pPr>
          </w:p>
        </w:tc>
      </w:tr>
      <w:tr>
        <w:trPr>
          <w:trHeight w:val="234"/>
        </w:trPr>
        <w:tc>
          <w:tcPr>
            <w:tcW w:w="6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920" w:type="dxa"/>
            <w:vAlign w:val="bottom"/>
            <w:gridSpan w:val="4"/>
          </w:tcPr>
          <w:p>
            <w:pPr>
              <w:ind w:left="580"/>
              <w:spacing w:after="0"/>
              <w:rPr>
                <w:sz w:val="20"/>
                <w:szCs w:val="20"/>
                <w:color w:val="auto"/>
              </w:rPr>
            </w:pPr>
            <w:r>
              <w:rPr>
                <w:rFonts w:ascii="Arial" w:cs="Arial" w:eastAsia="Arial" w:hAnsi="Arial"/>
                <w:sz w:val="18"/>
                <w:szCs w:val="18"/>
                <w:b w:val="1"/>
                <w:bCs w:val="1"/>
                <w:color w:val="auto"/>
              </w:rPr>
              <w:t>Ended September 30,</w:t>
            </w:r>
          </w:p>
        </w:tc>
        <w:tc>
          <w:tcPr>
            <w:tcW w:w="1340" w:type="dxa"/>
            <w:vAlign w:val="bottom"/>
          </w:tcPr>
          <w:p>
            <w:pPr>
              <w:spacing w:after="0"/>
              <w:rPr>
                <w:sz w:val="20"/>
                <w:szCs w:val="20"/>
                <w:color w:val="auto"/>
              </w:rPr>
            </w:pPr>
          </w:p>
        </w:tc>
      </w:tr>
      <w:tr>
        <w:trPr>
          <w:trHeight w:val="223"/>
        </w:trPr>
        <w:tc>
          <w:tcPr>
            <w:tcW w:w="6980" w:type="dxa"/>
            <w:vAlign w:val="bottom"/>
            <w:gridSpan w:val="2"/>
          </w:tcPr>
          <w:p>
            <w:pPr>
              <w:ind w:left="2300"/>
              <w:spacing w:after="0"/>
              <w:rPr>
                <w:sz w:val="20"/>
                <w:szCs w:val="20"/>
                <w:color w:val="auto"/>
              </w:rPr>
            </w:pPr>
            <w:r>
              <w:rPr>
                <w:rFonts w:ascii="Arial" w:cs="Arial" w:eastAsia="Arial" w:hAnsi="Arial"/>
                <w:sz w:val="18"/>
                <w:szCs w:val="18"/>
                <w:b w:val="1"/>
                <w:bCs w:val="1"/>
                <w:color w:val="auto"/>
              </w:rPr>
              <w:t>in CHF thousands, unaudited</w:t>
            </w:r>
          </w:p>
        </w:tc>
        <w:tc>
          <w:tcPr>
            <w:tcW w:w="1380" w:type="dxa"/>
            <w:vAlign w:val="bottom"/>
            <w:tcBorders>
              <w:top w:val="single" w:sz="8" w:color="auto"/>
            </w:tcBorders>
          </w:tcPr>
          <w:p>
            <w:pPr>
              <w:ind w:left="50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top w:val="single" w:sz="8" w:color="auto"/>
            </w:tcBorders>
          </w:tcPr>
          <w:p>
            <w:pPr>
              <w:spacing w:after="0"/>
              <w:rPr>
                <w:sz w:val="19"/>
                <w:szCs w:val="19"/>
                <w:color w:val="auto"/>
              </w:rPr>
            </w:pPr>
          </w:p>
        </w:tc>
        <w:tc>
          <w:tcPr>
            <w:tcW w:w="1340" w:type="dxa"/>
            <w:vAlign w:val="bottom"/>
            <w:tcBorders>
              <w:top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9"/>
                <w:szCs w:val="19"/>
                <w:color w:val="auto"/>
              </w:rPr>
            </w:pPr>
          </w:p>
        </w:tc>
        <w:tc>
          <w:tcPr>
            <w:tcW w:w="1340" w:type="dxa"/>
            <w:vAlign w:val="bottom"/>
          </w:tcPr>
          <w:p>
            <w:pPr>
              <w:jc w:val="right"/>
              <w:ind w:right="290"/>
              <w:spacing w:after="0"/>
              <w:rPr>
                <w:sz w:val="20"/>
                <w:szCs w:val="20"/>
                <w:color w:val="auto"/>
              </w:rPr>
            </w:pPr>
            <w:r>
              <w:rPr>
                <w:rFonts w:ascii="Arial" w:cs="Arial" w:eastAsia="Arial" w:hAnsi="Arial"/>
                <w:sz w:val="18"/>
                <w:szCs w:val="18"/>
                <w:b w:val="1"/>
                <w:bCs w:val="1"/>
                <w:color w:val="auto"/>
              </w:rPr>
              <w:t>Change</w:t>
            </w:r>
          </w:p>
        </w:tc>
      </w:tr>
      <w:tr>
        <w:trPr>
          <w:trHeight w:val="223"/>
        </w:trPr>
        <w:tc>
          <w:tcPr>
            <w:tcW w:w="6860" w:type="dxa"/>
            <w:vAlign w:val="bottom"/>
            <w:tcBorders>
              <w:top w:val="single" w:sz="8" w:color="auto"/>
            </w:tcBorders>
            <w:shd w:val="clear" w:color="auto" w:fill="D5EAEA"/>
          </w:tcPr>
          <w:p>
            <w:pPr>
              <w:spacing w:after="0"/>
              <w:rPr>
                <w:sz w:val="20"/>
                <w:szCs w:val="20"/>
                <w:color w:val="auto"/>
              </w:rPr>
            </w:pPr>
            <w:r>
              <w:rPr>
                <w:rFonts w:ascii="Arial" w:cs="Arial" w:eastAsia="Arial" w:hAnsi="Arial"/>
                <w:sz w:val="18"/>
                <w:szCs w:val="18"/>
                <w:color w:val="auto"/>
              </w:rPr>
              <w:t>Contract revenue</w:t>
            </w:r>
          </w:p>
        </w:tc>
        <w:tc>
          <w:tcPr>
            <w:tcW w:w="120" w:type="dxa"/>
            <w:vAlign w:val="bottom"/>
            <w:tcBorders>
              <w:top w:val="single" w:sz="8" w:color="D5EAEA"/>
            </w:tcBorders>
            <w:shd w:val="clear" w:color="auto" w:fill="D5EAEA"/>
          </w:tcPr>
          <w:p>
            <w:pPr>
              <w:spacing w:after="0"/>
              <w:rPr>
                <w:sz w:val="19"/>
                <w:szCs w:val="19"/>
                <w:color w:val="auto"/>
              </w:rPr>
            </w:pPr>
          </w:p>
        </w:tc>
        <w:tc>
          <w:tcPr>
            <w:tcW w:w="1380" w:type="dxa"/>
            <w:vAlign w:val="bottom"/>
            <w:tcBorders>
              <w:top w:val="single" w:sz="8" w:color="auto"/>
              <w:bottom w:val="single" w:sz="8" w:color="auto"/>
            </w:tcBorders>
            <w:shd w:val="clear" w:color="auto" w:fill="D5EAEA"/>
          </w:tcPr>
          <w:p>
            <w:pPr>
              <w:ind w:left="108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D5EAEA"/>
            </w:tcBorders>
            <w:shd w:val="clear" w:color="auto" w:fill="D5EAEA"/>
          </w:tcPr>
          <w:p>
            <w:pPr>
              <w:spacing w:after="0"/>
              <w:rPr>
                <w:sz w:val="19"/>
                <w:szCs w:val="19"/>
                <w:color w:val="auto"/>
              </w:rPr>
            </w:pPr>
          </w:p>
        </w:tc>
        <w:tc>
          <w:tcPr>
            <w:tcW w:w="1340" w:type="dxa"/>
            <w:vAlign w:val="bottom"/>
            <w:tcBorders>
              <w:top w:val="single" w:sz="8" w:color="auto"/>
              <w:bottom w:val="single" w:sz="8" w:color="auto"/>
            </w:tcBorders>
            <w:shd w:val="clear" w:color="auto" w:fill="D5EAEA"/>
          </w:tcPr>
          <w:p>
            <w:pPr>
              <w:jc w:val="right"/>
              <w:ind w:right="30"/>
              <w:spacing w:after="0"/>
              <w:rPr>
                <w:sz w:val="20"/>
                <w:szCs w:val="20"/>
                <w:color w:val="auto"/>
              </w:rPr>
            </w:pPr>
            <w:r>
              <w:rPr>
                <w:rFonts w:ascii="Arial" w:cs="Arial" w:eastAsia="Arial" w:hAnsi="Arial"/>
                <w:sz w:val="18"/>
                <w:szCs w:val="18"/>
                <w:color w:val="auto"/>
              </w:rPr>
              <w:t>14,487</w:t>
            </w:r>
          </w:p>
        </w:tc>
        <w:tc>
          <w:tcPr>
            <w:tcW w:w="100" w:type="dxa"/>
            <w:vAlign w:val="bottom"/>
            <w:tcBorders>
              <w:top w:val="single" w:sz="8" w:color="D5EAEA"/>
            </w:tcBorders>
            <w:shd w:val="clear" w:color="auto" w:fill="D5EAEA"/>
          </w:tcPr>
          <w:p>
            <w:pPr>
              <w:spacing w:after="0"/>
              <w:rPr>
                <w:sz w:val="19"/>
                <w:szCs w:val="19"/>
                <w:color w:val="auto"/>
              </w:rPr>
            </w:pPr>
          </w:p>
        </w:tc>
        <w:tc>
          <w:tcPr>
            <w:tcW w:w="1340" w:type="dxa"/>
            <w:vAlign w:val="bottom"/>
            <w:tcBorders>
              <w:top w:val="single" w:sz="8" w:color="auto"/>
              <w:bottom w:val="single" w:sz="8" w:color="auto"/>
            </w:tcBorders>
            <w:shd w:val="clear" w:color="auto" w:fill="D5EAEA"/>
          </w:tcPr>
          <w:p>
            <w:pPr>
              <w:jc w:val="right"/>
              <w:spacing w:after="0"/>
              <w:rPr>
                <w:sz w:val="20"/>
                <w:szCs w:val="20"/>
                <w:color w:val="auto"/>
              </w:rPr>
            </w:pPr>
            <w:r>
              <w:rPr>
                <w:rFonts w:ascii="Arial" w:cs="Arial" w:eastAsia="Arial" w:hAnsi="Arial"/>
                <w:sz w:val="18"/>
                <w:szCs w:val="18"/>
                <w:color w:val="auto"/>
              </w:rPr>
              <w:t>(14,487)</w:t>
            </w:r>
          </w:p>
        </w:tc>
      </w:tr>
      <w:tr>
        <w:trPr>
          <w:trHeight w:val="223"/>
        </w:trPr>
        <w:tc>
          <w:tcPr>
            <w:tcW w:w="6980" w:type="dxa"/>
            <w:vAlign w:val="bottom"/>
            <w:gridSpan w:val="2"/>
          </w:tcPr>
          <w:p>
            <w:pPr>
              <w:spacing w:after="0"/>
              <w:rPr>
                <w:sz w:val="20"/>
                <w:szCs w:val="20"/>
                <w:color w:val="auto"/>
              </w:rPr>
            </w:pPr>
            <w:r>
              <w:rPr>
                <w:rFonts w:ascii="Arial" w:cs="Arial" w:eastAsia="Arial" w:hAnsi="Arial"/>
                <w:sz w:val="18"/>
                <w:szCs w:val="18"/>
                <w:b w:val="1"/>
                <w:bCs w:val="1"/>
                <w:color w:val="auto"/>
              </w:rPr>
              <w:t>Total revenues</w:t>
            </w:r>
          </w:p>
        </w:tc>
        <w:tc>
          <w:tcPr>
            <w:tcW w:w="1380" w:type="dxa"/>
            <w:vAlign w:val="bottom"/>
            <w:tcBorders>
              <w:bottom w:val="single" w:sz="8" w:color="auto"/>
            </w:tcBorders>
          </w:tcPr>
          <w:p>
            <w:pPr>
              <w:ind w:left="10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3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14,487</w:t>
            </w:r>
          </w:p>
        </w:tc>
        <w:tc>
          <w:tcPr>
            <w:tcW w:w="100" w:type="dxa"/>
            <w:vAlign w:val="bottom"/>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(14,487)</w:t>
            </w:r>
          </w:p>
        </w:tc>
      </w:tr>
      <w:tr>
        <w:trPr>
          <w:trHeight w:val="20"/>
        </w:trPr>
        <w:tc>
          <w:tcPr>
            <w:tcW w:w="6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340"/>
        <w:spacing w:after="0"/>
        <w:rPr>
          <w:sz w:val="20"/>
          <w:szCs w:val="20"/>
          <w:color w:val="auto"/>
        </w:rPr>
      </w:pPr>
      <w:r>
        <w:rPr>
          <w:rFonts w:ascii="Arial" w:cs="Arial" w:eastAsia="Arial" w:hAnsi="Arial"/>
          <w:sz w:val="17"/>
          <w:szCs w:val="17"/>
          <w:color w:val="auto"/>
        </w:rPr>
        <w:t>For the nine months ended September 30, 2021, the CHF 14.5 million decrease compared with the prior period is predominantly related to:</w:t>
      </w:r>
    </w:p>
    <w:p>
      <w:pPr>
        <w:spacing w:after="0" w:line="237" w:lineRule="exact"/>
        <w:rPr>
          <w:sz w:val="20"/>
          <w:szCs w:val="20"/>
          <w:color w:val="auto"/>
        </w:rPr>
      </w:pPr>
    </w:p>
    <w:p>
      <w:pPr>
        <w:ind w:left="660" w:right="80" w:hanging="328"/>
        <w:spacing w:after="0" w:line="277"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 decrease of CHF 14.1 million in our agreement with Lilly. The Company recognized a CHF 10 million milestone as well as CHF 4.1 million for R&amp;D activities in 2020; and</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 decrease of CHF 0.4 million in our collaboration with Janssen.</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Research and Development Expenses</w:t>
      </w:r>
    </w:p>
    <w:p>
      <w:pPr>
        <w:spacing w:after="0" w:line="225" w:lineRule="exact"/>
        <w:rPr>
          <w:sz w:val="20"/>
          <w:szCs w:val="20"/>
          <w:color w:val="auto"/>
        </w:rPr>
      </w:pPr>
    </w:p>
    <w:p>
      <w:pPr>
        <w:ind w:right="100" w:firstLine="324"/>
        <w:spacing w:after="0" w:line="259" w:lineRule="auto"/>
        <w:rPr>
          <w:sz w:val="20"/>
          <w:szCs w:val="20"/>
          <w:color w:val="auto"/>
        </w:rPr>
      </w:pPr>
      <w:r>
        <w:rPr>
          <w:rFonts w:ascii="Arial" w:cs="Arial" w:eastAsia="Arial" w:hAnsi="Arial"/>
          <w:sz w:val="18"/>
          <w:szCs w:val="18"/>
          <w:color w:val="auto"/>
        </w:rPr>
        <w:t>Research and development (R&amp;D) activities are essential to our business and represent the majority of our costs incurred. Costs for certain development activities, such as clinical trials, are recognized based on an evaluation of the progress to completion of specific tasks using information from the clinical sites and our vendors. Our collaboration arrangements have different arrangements to share costs for the development of our product candidates.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324485</wp:posOffset>
            </wp:positionV>
            <wp:extent cx="713232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21" w:name="page22"/>
    <w:bookmarkEnd w:id="21"/>
    <w:p>
      <w:pPr>
        <w:ind w:right="100" w:firstLine="324"/>
        <w:spacing w:after="0" w:line="275" w:lineRule="auto"/>
        <w:rPr>
          <w:sz w:val="20"/>
          <w:szCs w:val="20"/>
          <w:color w:val="auto"/>
        </w:rPr>
      </w:pPr>
      <w:r>
        <w:rPr>
          <w:rFonts w:ascii="Arial" w:cs="Arial" w:eastAsia="Arial" w:hAnsi="Arial"/>
          <w:sz w:val="17"/>
          <w:szCs w:val="17"/>
          <w:color w:val="auto"/>
        </w:rPr>
        <w:t>We have completed our R&amp;D spending in both of our Genentech collaborations. We and Janssen are co-developing second-generation therapeutic vaccines, ACI-35.030 and JACI-35.054, through Phase 1b/2a completion. AC Immune and Janssen will jointly share research and development costs until the completion of the first Phase 2b (AC Immune’s contribution to the first Phase 2b trial is capped). From Phase 2b and onwards, Janssen will assume responsibility for the clinical development, manufacturing and commercialization of the vaccines. We also expect to incur additional R&amp;D expenditures associated with the expansion of our Morphomer Tau program into AD and NeuroOrphan indications.</w:t>
      </w:r>
    </w:p>
    <w:p>
      <w:pPr>
        <w:spacing w:after="0" w:line="176" w:lineRule="exact"/>
        <w:rPr>
          <w:sz w:val="20"/>
          <w:szCs w:val="20"/>
          <w:color w:val="auto"/>
        </w:rPr>
      </w:pPr>
    </w:p>
    <w:p>
      <w:pPr>
        <w:ind w:left="340"/>
        <w:spacing w:after="0"/>
        <w:rPr>
          <w:sz w:val="20"/>
          <w:szCs w:val="20"/>
          <w:color w:val="auto"/>
        </w:rPr>
      </w:pPr>
      <w:r>
        <w:rPr>
          <w:rFonts w:ascii="Arial" w:cs="Arial" w:eastAsia="Arial" w:hAnsi="Arial"/>
          <w:sz w:val="16"/>
          <w:szCs w:val="16"/>
          <w:color w:val="auto"/>
        </w:rPr>
        <w:t>We also intend to increase our R&amp;D costs associated with the advancement of ACI-7104 in Parkinson’s disease and our ACI-24 vaccine program (i.e.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ACI-24 AD and ACI-24 DS) through mid-stage clinical development.</w:t>
      </w:r>
    </w:p>
    <w:p>
      <w:pPr>
        <w:spacing w:after="0" w:line="211" w:lineRule="exact"/>
        <w:rPr>
          <w:sz w:val="20"/>
          <w:szCs w:val="20"/>
          <w:color w:val="auto"/>
        </w:rPr>
      </w:pPr>
    </w:p>
    <w:p>
      <w:pPr>
        <w:ind w:right="40" w:firstLine="324"/>
        <w:spacing w:after="0" w:line="263" w:lineRule="auto"/>
        <w:rPr>
          <w:sz w:val="20"/>
          <w:szCs w:val="20"/>
          <w:color w:val="auto"/>
        </w:rPr>
      </w:pPr>
      <w:r>
        <w:rPr>
          <w:rFonts w:ascii="Arial" w:cs="Arial" w:eastAsia="Arial" w:hAnsi="Arial"/>
          <w:sz w:val="18"/>
          <w:szCs w:val="18"/>
          <w:color w:val="auto"/>
        </w:rPr>
        <w:t>Finally, we intend to further characterize our other clinical and preclinical candidates. In addition to these arrangements and proprietarily held assets, we expect that our total future R&amp;D costs will increase over current levels, in line with our three-pillar strategy that focuses on (i) AD, (ii) focused non-AD NDD including Parkinson’s disease, LATE and NeuroOrphan indications and (iii) diagnostics.</w:t>
      </w:r>
    </w:p>
    <w:p>
      <w:pPr>
        <w:spacing w:after="0" w:line="184" w:lineRule="exact"/>
        <w:rPr>
          <w:sz w:val="20"/>
          <w:szCs w:val="20"/>
          <w:color w:val="auto"/>
        </w:rPr>
      </w:pPr>
    </w:p>
    <w:p>
      <w:pPr>
        <w:ind w:right="40" w:firstLine="324"/>
        <w:spacing w:after="0" w:line="275" w:lineRule="auto"/>
        <w:rPr>
          <w:sz w:val="20"/>
          <w:szCs w:val="20"/>
          <w:color w:val="auto"/>
        </w:rPr>
      </w:pPr>
      <w:r>
        <w:rPr>
          <w:rFonts w:ascii="Arial" w:cs="Arial" w:eastAsia="Arial" w:hAnsi="Arial"/>
          <w:sz w:val="17"/>
          <w:szCs w:val="17"/>
          <w:color w:val="auto"/>
        </w:rPr>
        <w:t>The table below provides a breakdown of our R&amp;D costs, including direct R&amp;D costs, manufacturing costs related to R&amp;D and other R&amp;D costs not allocated directly to programs for the periods covered in this interim report. The R&amp;D costs not allocated to specific programs include employment costs, regulatory, quality assurance and intellectual property (IP) costs. We do not assign our internal costs, such as salary and benefits, share-based compensation expenses, laboratory supplies, and other direct expenses and infrastructure costs to individual R&amp;D projects, because the employees within our R&amp;D groups are typically deployed across multiple research and development programs.</w:t>
      </w:r>
    </w:p>
    <w:p>
      <w:pPr>
        <w:spacing w:after="0" w:line="176" w:lineRule="exact"/>
        <w:rPr>
          <w:sz w:val="20"/>
          <w:szCs w:val="20"/>
          <w:color w:val="auto"/>
        </w:rPr>
      </w:pPr>
    </w:p>
    <w:p>
      <w:pPr>
        <w:ind w:right="100" w:firstLine="324"/>
        <w:spacing w:after="0" w:line="263" w:lineRule="auto"/>
        <w:rPr>
          <w:sz w:val="20"/>
          <w:szCs w:val="20"/>
          <w:color w:val="auto"/>
        </w:rPr>
      </w:pPr>
      <w:r>
        <w:rPr>
          <w:rFonts w:ascii="Arial" w:cs="Arial" w:eastAsia="Arial" w:hAnsi="Arial"/>
          <w:sz w:val="18"/>
          <w:szCs w:val="18"/>
          <w:color w:val="auto"/>
        </w:rPr>
        <w:t>For the three months ended September 30, 2021, research and development expenses totaled CHF 15.1 million compared with CHF 15.5 million for the comparable period in 2020. This represents a decrease of CHF 0.4 million. The following table presents the research and development expenses during the three months ended September 30, 2021 and 2020:</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920" w:type="dxa"/>
            <w:vAlign w:val="bottom"/>
            <w:gridSpan w:val="4"/>
          </w:tcPr>
          <w:p>
            <w:pPr>
              <w:jc w:val="center"/>
              <w:ind w:right="100"/>
              <w:spacing w:after="0"/>
              <w:rPr>
                <w:sz w:val="20"/>
                <w:szCs w:val="20"/>
                <w:color w:val="auto"/>
              </w:rPr>
            </w:pPr>
            <w:r>
              <w:rPr>
                <w:rFonts w:ascii="Arial" w:cs="Arial" w:eastAsia="Arial" w:hAnsi="Arial"/>
                <w:sz w:val="18"/>
                <w:szCs w:val="18"/>
                <w:b w:val="1"/>
                <w:bCs w:val="1"/>
                <w:color w:val="auto"/>
                <w:w w:val="92"/>
              </w:rPr>
              <w:t>For the Three Months</w:t>
            </w:r>
          </w:p>
        </w:tc>
        <w:tc>
          <w:tcPr>
            <w:tcW w:w="1340" w:type="dxa"/>
            <w:vAlign w:val="bottom"/>
          </w:tcPr>
          <w:p>
            <w:pPr>
              <w:spacing w:after="0"/>
              <w:rPr>
                <w:sz w:val="18"/>
                <w:szCs w:val="18"/>
                <w:color w:val="auto"/>
              </w:rPr>
            </w:pPr>
          </w:p>
        </w:tc>
      </w:tr>
      <w:tr>
        <w:trPr>
          <w:trHeight w:val="234"/>
        </w:trPr>
        <w:tc>
          <w:tcPr>
            <w:tcW w:w="6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920" w:type="dxa"/>
            <w:vAlign w:val="bottom"/>
            <w:gridSpan w:val="4"/>
          </w:tcPr>
          <w:p>
            <w:pPr>
              <w:jc w:val="center"/>
              <w:ind w:right="100"/>
              <w:spacing w:after="0"/>
              <w:rPr>
                <w:sz w:val="20"/>
                <w:szCs w:val="20"/>
                <w:color w:val="auto"/>
              </w:rPr>
            </w:pPr>
            <w:r>
              <w:rPr>
                <w:rFonts w:ascii="Arial" w:cs="Arial" w:eastAsia="Arial" w:hAnsi="Arial"/>
                <w:sz w:val="18"/>
                <w:szCs w:val="18"/>
                <w:b w:val="1"/>
                <w:bCs w:val="1"/>
                <w:color w:val="auto"/>
                <w:w w:val="90"/>
              </w:rPr>
              <w:t>Ended September 30,</w:t>
            </w:r>
          </w:p>
        </w:tc>
        <w:tc>
          <w:tcPr>
            <w:tcW w:w="1340" w:type="dxa"/>
            <w:vAlign w:val="bottom"/>
          </w:tcPr>
          <w:p>
            <w:pPr>
              <w:spacing w:after="0"/>
              <w:rPr>
                <w:sz w:val="20"/>
                <w:szCs w:val="20"/>
                <w:color w:val="auto"/>
              </w:rPr>
            </w:pPr>
          </w:p>
        </w:tc>
      </w:tr>
      <w:tr>
        <w:trPr>
          <w:trHeight w:val="223"/>
        </w:trPr>
        <w:tc>
          <w:tcPr>
            <w:tcW w:w="6980" w:type="dxa"/>
            <w:vAlign w:val="bottom"/>
            <w:gridSpan w:val="2"/>
          </w:tcPr>
          <w:p>
            <w:pPr>
              <w:ind w:left="2300"/>
              <w:spacing w:after="0"/>
              <w:rPr>
                <w:sz w:val="20"/>
                <w:szCs w:val="20"/>
                <w:color w:val="auto"/>
              </w:rPr>
            </w:pPr>
            <w:r>
              <w:rPr>
                <w:rFonts w:ascii="Arial" w:cs="Arial" w:eastAsia="Arial" w:hAnsi="Arial"/>
                <w:sz w:val="18"/>
                <w:szCs w:val="18"/>
                <w:b w:val="1"/>
                <w:bCs w:val="1"/>
                <w:color w:val="auto"/>
              </w:rPr>
              <w:t>in CHF thousands, unaudited</w:t>
            </w:r>
          </w:p>
        </w:tc>
        <w:tc>
          <w:tcPr>
            <w:tcW w:w="1380" w:type="dxa"/>
            <w:vAlign w:val="bottom"/>
            <w:tcBorders>
              <w:top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top w:val="single" w:sz="8" w:color="auto"/>
            </w:tcBorders>
          </w:tcPr>
          <w:p>
            <w:pPr>
              <w:spacing w:after="0"/>
              <w:rPr>
                <w:sz w:val="19"/>
                <w:szCs w:val="19"/>
                <w:color w:val="auto"/>
              </w:rPr>
            </w:pPr>
          </w:p>
        </w:tc>
        <w:tc>
          <w:tcPr>
            <w:tcW w:w="1340" w:type="dxa"/>
            <w:vAlign w:val="bottom"/>
            <w:tcBorders>
              <w:top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9"/>
                <w:szCs w:val="19"/>
                <w:color w:val="auto"/>
              </w:rPr>
            </w:pPr>
          </w:p>
        </w:tc>
        <w:tc>
          <w:tcPr>
            <w:tcW w:w="1340" w:type="dxa"/>
            <w:vAlign w:val="bottom"/>
          </w:tcPr>
          <w:p>
            <w:pPr>
              <w:jc w:val="right"/>
              <w:ind w:right="290"/>
              <w:spacing w:after="0"/>
              <w:rPr>
                <w:sz w:val="20"/>
                <w:szCs w:val="20"/>
                <w:color w:val="auto"/>
              </w:rPr>
            </w:pPr>
            <w:r>
              <w:rPr>
                <w:rFonts w:ascii="Arial" w:cs="Arial" w:eastAsia="Arial" w:hAnsi="Arial"/>
                <w:sz w:val="18"/>
                <w:szCs w:val="18"/>
                <w:b w:val="1"/>
                <w:bCs w:val="1"/>
                <w:color w:val="auto"/>
              </w:rPr>
              <w:t>Change</w:t>
            </w:r>
          </w:p>
        </w:tc>
      </w:tr>
      <w:tr>
        <w:trPr>
          <w:trHeight w:val="209"/>
        </w:trPr>
        <w:tc>
          <w:tcPr>
            <w:tcW w:w="6860" w:type="dxa"/>
            <w:vAlign w:val="bottom"/>
            <w:tcBorders>
              <w:top w:val="single" w:sz="8" w:color="auto"/>
            </w:tcBorders>
            <w:shd w:val="clear" w:color="auto" w:fill="D5EAEA"/>
          </w:tcPr>
          <w:p>
            <w:pPr>
              <w:spacing w:after="0"/>
              <w:rPr>
                <w:sz w:val="20"/>
                <w:szCs w:val="20"/>
                <w:color w:val="auto"/>
              </w:rPr>
            </w:pPr>
            <w:r>
              <w:rPr>
                <w:rFonts w:ascii="Arial" w:cs="Arial" w:eastAsia="Arial" w:hAnsi="Arial"/>
                <w:sz w:val="18"/>
                <w:szCs w:val="18"/>
                <w:color w:val="auto"/>
              </w:rPr>
              <w:t>Discovery and preclinical expenses</w:t>
            </w:r>
          </w:p>
        </w:tc>
        <w:tc>
          <w:tcPr>
            <w:tcW w:w="120" w:type="dxa"/>
            <w:vAlign w:val="bottom"/>
            <w:tcBorders>
              <w:top w:val="single" w:sz="8" w:color="D5EAEA"/>
            </w:tcBorders>
            <w:shd w:val="clear" w:color="auto" w:fill="D5EAEA"/>
          </w:tcPr>
          <w:p>
            <w:pPr>
              <w:spacing w:after="0"/>
              <w:rPr>
                <w:sz w:val="18"/>
                <w:szCs w:val="18"/>
                <w:color w:val="auto"/>
              </w:rPr>
            </w:pPr>
          </w:p>
        </w:tc>
        <w:tc>
          <w:tcPr>
            <w:tcW w:w="1380" w:type="dxa"/>
            <w:vAlign w:val="bottom"/>
            <w:tcBorders>
              <w:top w:val="single" w:sz="8" w:color="auto"/>
            </w:tcBorders>
            <w:shd w:val="clear" w:color="auto" w:fill="D5EAEA"/>
          </w:tcPr>
          <w:p>
            <w:pPr>
              <w:jc w:val="right"/>
              <w:ind w:right="30"/>
              <w:spacing w:after="0"/>
              <w:rPr>
                <w:sz w:val="20"/>
                <w:szCs w:val="20"/>
                <w:color w:val="auto"/>
              </w:rPr>
            </w:pPr>
            <w:r>
              <w:rPr>
                <w:rFonts w:ascii="Arial" w:cs="Arial" w:eastAsia="Arial" w:hAnsi="Arial"/>
                <w:sz w:val="18"/>
                <w:szCs w:val="18"/>
                <w:color w:val="auto"/>
              </w:rPr>
              <w:t>4,603</w:t>
            </w:r>
          </w:p>
        </w:tc>
        <w:tc>
          <w:tcPr>
            <w:tcW w:w="100" w:type="dxa"/>
            <w:vAlign w:val="bottom"/>
            <w:tcBorders>
              <w:top w:val="single" w:sz="8" w:color="D5EAEA"/>
            </w:tcBorders>
            <w:shd w:val="clear" w:color="auto" w:fill="D5EAEA"/>
          </w:tcPr>
          <w:p>
            <w:pPr>
              <w:spacing w:after="0"/>
              <w:rPr>
                <w:sz w:val="18"/>
                <w:szCs w:val="18"/>
                <w:color w:val="auto"/>
              </w:rPr>
            </w:pPr>
          </w:p>
        </w:tc>
        <w:tc>
          <w:tcPr>
            <w:tcW w:w="1340" w:type="dxa"/>
            <w:vAlign w:val="bottom"/>
            <w:tcBorders>
              <w:top w:val="single" w:sz="8" w:color="auto"/>
            </w:tcBorders>
            <w:shd w:val="clear" w:color="auto" w:fill="D5EAEA"/>
          </w:tcPr>
          <w:p>
            <w:pPr>
              <w:jc w:val="right"/>
              <w:ind w:right="30"/>
              <w:spacing w:after="0"/>
              <w:rPr>
                <w:sz w:val="20"/>
                <w:szCs w:val="20"/>
                <w:color w:val="auto"/>
              </w:rPr>
            </w:pPr>
            <w:r>
              <w:rPr>
                <w:rFonts w:ascii="Arial" w:cs="Arial" w:eastAsia="Arial" w:hAnsi="Arial"/>
                <w:sz w:val="18"/>
                <w:szCs w:val="18"/>
                <w:color w:val="auto"/>
              </w:rPr>
              <w:t>6,273</w:t>
            </w:r>
          </w:p>
        </w:tc>
        <w:tc>
          <w:tcPr>
            <w:tcW w:w="100" w:type="dxa"/>
            <w:vAlign w:val="bottom"/>
            <w:tcBorders>
              <w:top w:val="single" w:sz="8" w:color="D5EAEA"/>
            </w:tcBorders>
            <w:shd w:val="clear" w:color="auto" w:fill="D5EAEA"/>
          </w:tcPr>
          <w:p>
            <w:pPr>
              <w:spacing w:after="0"/>
              <w:rPr>
                <w:sz w:val="18"/>
                <w:szCs w:val="18"/>
                <w:color w:val="auto"/>
              </w:rPr>
            </w:pPr>
          </w:p>
        </w:tc>
        <w:tc>
          <w:tcPr>
            <w:tcW w:w="1340" w:type="dxa"/>
            <w:vAlign w:val="bottom"/>
            <w:tcBorders>
              <w:top w:val="single" w:sz="8" w:color="auto"/>
            </w:tcBorders>
            <w:shd w:val="clear" w:color="auto" w:fill="D5EAEA"/>
          </w:tcPr>
          <w:p>
            <w:pPr>
              <w:jc w:val="right"/>
              <w:spacing w:after="0"/>
              <w:rPr>
                <w:sz w:val="20"/>
                <w:szCs w:val="20"/>
                <w:color w:val="auto"/>
              </w:rPr>
            </w:pPr>
            <w:r>
              <w:rPr>
                <w:rFonts w:ascii="Arial" w:cs="Arial" w:eastAsia="Arial" w:hAnsi="Arial"/>
                <w:sz w:val="18"/>
                <w:szCs w:val="18"/>
                <w:color w:val="auto"/>
              </w:rPr>
              <w:t>(1,670)</w:t>
            </w:r>
          </w:p>
        </w:tc>
      </w:tr>
      <w:tr>
        <w:trPr>
          <w:trHeight w:val="216"/>
        </w:trPr>
        <w:tc>
          <w:tcPr>
            <w:tcW w:w="6980" w:type="dxa"/>
            <w:vAlign w:val="bottom"/>
            <w:gridSpan w:val="2"/>
          </w:tcPr>
          <w:p>
            <w:pPr>
              <w:spacing w:after="0"/>
              <w:rPr>
                <w:sz w:val="20"/>
                <w:szCs w:val="20"/>
                <w:color w:val="auto"/>
              </w:rPr>
            </w:pPr>
            <w:r>
              <w:rPr>
                <w:rFonts w:ascii="Arial" w:cs="Arial" w:eastAsia="Arial" w:hAnsi="Arial"/>
                <w:sz w:val="18"/>
                <w:szCs w:val="18"/>
                <w:color w:val="auto"/>
              </w:rPr>
              <w:t>Clinical expenses</w:t>
            </w: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4,186</w:t>
            </w:r>
          </w:p>
        </w:tc>
        <w:tc>
          <w:tcPr>
            <w:tcW w:w="100" w:type="dxa"/>
            <w:vAlign w:val="bottom"/>
          </w:tcPr>
          <w:p>
            <w:pPr>
              <w:spacing w:after="0"/>
              <w:rPr>
                <w:sz w:val="18"/>
                <w:szCs w:val="18"/>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3,572</w:t>
            </w:r>
          </w:p>
        </w:tc>
        <w:tc>
          <w:tcPr>
            <w:tcW w:w="100" w:type="dxa"/>
            <w:vAlign w:val="bottom"/>
          </w:tcPr>
          <w:p>
            <w:pPr>
              <w:spacing w:after="0"/>
              <w:rPr>
                <w:sz w:val="18"/>
                <w:szCs w:val="18"/>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614</w:t>
            </w:r>
          </w:p>
        </w:tc>
      </w:tr>
      <w:tr>
        <w:trPr>
          <w:trHeight w:val="230"/>
        </w:trPr>
        <w:tc>
          <w:tcPr>
            <w:tcW w:w="6980" w:type="dxa"/>
            <w:vAlign w:val="bottom"/>
            <w:gridSpan w:val="2"/>
            <w:shd w:val="clear" w:color="auto" w:fill="D5EAEA"/>
          </w:tcPr>
          <w:p>
            <w:pPr>
              <w:spacing w:after="0"/>
              <w:rPr>
                <w:sz w:val="20"/>
                <w:szCs w:val="20"/>
                <w:color w:val="auto"/>
              </w:rPr>
            </w:pPr>
            <w:r>
              <w:rPr>
                <w:rFonts w:ascii="Arial" w:cs="Arial" w:eastAsia="Arial" w:hAnsi="Arial"/>
                <w:sz w:val="18"/>
                <w:szCs w:val="18"/>
                <w:color w:val="auto"/>
              </w:rPr>
              <w:t>Group function expenses</w:t>
            </w:r>
          </w:p>
        </w:tc>
        <w:tc>
          <w:tcPr>
            <w:tcW w:w="1380" w:type="dxa"/>
            <w:vAlign w:val="bottom"/>
            <w:tcBorders>
              <w:bottom w:val="single" w:sz="8" w:color="auto"/>
            </w:tcBorders>
            <w:shd w:val="clear" w:color="auto" w:fill="D5EAEA"/>
          </w:tcPr>
          <w:p>
            <w:pPr>
              <w:jc w:val="right"/>
              <w:ind w:right="30"/>
              <w:spacing w:after="0"/>
              <w:rPr>
                <w:sz w:val="20"/>
                <w:szCs w:val="20"/>
                <w:color w:val="auto"/>
              </w:rPr>
            </w:pPr>
            <w:r>
              <w:rPr>
                <w:rFonts w:ascii="Arial" w:cs="Arial" w:eastAsia="Arial" w:hAnsi="Arial"/>
                <w:sz w:val="18"/>
                <w:szCs w:val="18"/>
                <w:color w:val="auto"/>
              </w:rPr>
              <w:t>261</w:t>
            </w:r>
          </w:p>
        </w:tc>
        <w:tc>
          <w:tcPr>
            <w:tcW w:w="100" w:type="dxa"/>
            <w:vAlign w:val="bottom"/>
            <w:shd w:val="clear" w:color="auto" w:fill="D5EAEA"/>
          </w:tcPr>
          <w:p>
            <w:pPr>
              <w:spacing w:after="0"/>
              <w:rPr>
                <w:sz w:val="19"/>
                <w:szCs w:val="19"/>
                <w:color w:val="auto"/>
              </w:rPr>
            </w:pPr>
          </w:p>
        </w:tc>
        <w:tc>
          <w:tcPr>
            <w:tcW w:w="1340" w:type="dxa"/>
            <w:vAlign w:val="bottom"/>
            <w:tcBorders>
              <w:bottom w:val="single" w:sz="8" w:color="auto"/>
            </w:tcBorders>
            <w:shd w:val="clear" w:color="auto" w:fill="D5EAEA"/>
          </w:tcPr>
          <w:p>
            <w:pPr>
              <w:jc w:val="right"/>
              <w:ind w:right="30"/>
              <w:spacing w:after="0"/>
              <w:rPr>
                <w:sz w:val="20"/>
                <w:szCs w:val="20"/>
                <w:color w:val="auto"/>
              </w:rPr>
            </w:pPr>
            <w:r>
              <w:rPr>
                <w:rFonts w:ascii="Arial" w:cs="Arial" w:eastAsia="Arial" w:hAnsi="Arial"/>
                <w:sz w:val="18"/>
                <w:szCs w:val="18"/>
                <w:color w:val="auto"/>
              </w:rPr>
              <w:t>288</w:t>
            </w:r>
          </w:p>
        </w:tc>
        <w:tc>
          <w:tcPr>
            <w:tcW w:w="100" w:type="dxa"/>
            <w:vAlign w:val="bottom"/>
            <w:shd w:val="clear" w:color="auto" w:fill="D5EAEA"/>
          </w:tcPr>
          <w:p>
            <w:pPr>
              <w:spacing w:after="0"/>
              <w:rPr>
                <w:sz w:val="19"/>
                <w:szCs w:val="19"/>
                <w:color w:val="auto"/>
              </w:rPr>
            </w:pPr>
          </w:p>
        </w:tc>
        <w:tc>
          <w:tcPr>
            <w:tcW w:w="1340" w:type="dxa"/>
            <w:vAlign w:val="bottom"/>
            <w:tcBorders>
              <w:bottom w:val="single" w:sz="8" w:color="auto"/>
            </w:tcBorders>
            <w:shd w:val="clear" w:color="auto" w:fill="D5EAEA"/>
          </w:tcPr>
          <w:p>
            <w:pPr>
              <w:jc w:val="right"/>
              <w:spacing w:after="0"/>
              <w:rPr>
                <w:sz w:val="20"/>
                <w:szCs w:val="20"/>
                <w:color w:val="auto"/>
              </w:rPr>
            </w:pPr>
            <w:r>
              <w:rPr>
                <w:rFonts w:ascii="Arial" w:cs="Arial" w:eastAsia="Arial" w:hAnsi="Arial"/>
                <w:sz w:val="18"/>
                <w:szCs w:val="18"/>
                <w:color w:val="auto"/>
              </w:rPr>
              <w:t>(27)</w:t>
            </w:r>
          </w:p>
        </w:tc>
      </w:tr>
      <w:tr>
        <w:trPr>
          <w:trHeight w:val="263"/>
        </w:trPr>
        <w:tc>
          <w:tcPr>
            <w:tcW w:w="6980" w:type="dxa"/>
            <w:vAlign w:val="bottom"/>
            <w:tcBorders>
              <w:bottom w:val="single" w:sz="8" w:color="D5EAEA"/>
            </w:tcBorders>
            <w:gridSpan w:val="2"/>
          </w:tcPr>
          <w:p>
            <w:pPr>
              <w:spacing w:after="0"/>
              <w:rPr>
                <w:sz w:val="20"/>
                <w:szCs w:val="20"/>
                <w:color w:val="auto"/>
              </w:rPr>
            </w:pPr>
            <w:r>
              <w:rPr>
                <w:rFonts w:ascii="Arial" w:cs="Arial" w:eastAsia="Arial" w:hAnsi="Arial"/>
                <w:sz w:val="18"/>
                <w:szCs w:val="18"/>
                <w:b w:val="1"/>
                <w:bCs w:val="1"/>
                <w:color w:val="auto"/>
              </w:rPr>
              <w:t>Total Direct R&amp;D</w:t>
            </w:r>
          </w:p>
        </w:tc>
        <w:tc>
          <w:tcPr>
            <w:tcW w:w="13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9,050</w:t>
            </w:r>
          </w:p>
        </w:tc>
        <w:tc>
          <w:tcPr>
            <w:tcW w:w="100" w:type="dxa"/>
            <w:vAlign w:val="bottom"/>
            <w:tcBorders>
              <w:bottom w:val="single" w:sz="8" w:color="D5EAEA"/>
            </w:tcBorders>
          </w:tcPr>
          <w:p>
            <w:pPr>
              <w:spacing w:after="0"/>
              <w:rPr>
                <w:sz w:val="22"/>
                <w:szCs w:val="22"/>
                <w:color w:val="auto"/>
              </w:rPr>
            </w:pPr>
          </w:p>
        </w:tc>
        <w:tc>
          <w:tcPr>
            <w:tcW w:w="13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10,133</w:t>
            </w:r>
          </w:p>
        </w:tc>
        <w:tc>
          <w:tcPr>
            <w:tcW w:w="100" w:type="dxa"/>
            <w:vAlign w:val="bottom"/>
            <w:tcBorders>
              <w:bottom w:val="single" w:sz="8" w:color="D5EAEA"/>
            </w:tcBorders>
          </w:tcPr>
          <w:p>
            <w:pPr>
              <w:spacing w:after="0"/>
              <w:rPr>
                <w:sz w:val="22"/>
                <w:szCs w:val="22"/>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(1,083)</w:t>
            </w:r>
          </w:p>
        </w:tc>
      </w:tr>
      <w:tr>
        <w:trPr>
          <w:trHeight w:val="197"/>
        </w:trPr>
        <w:tc>
          <w:tcPr>
            <w:tcW w:w="6980" w:type="dxa"/>
            <w:vAlign w:val="bottom"/>
            <w:gridSpan w:val="2"/>
            <w:shd w:val="clear" w:color="auto" w:fill="D5EAEA"/>
          </w:tcPr>
          <w:p>
            <w:pPr>
              <w:spacing w:after="0" w:line="196" w:lineRule="exact"/>
              <w:rPr>
                <w:sz w:val="20"/>
                <w:szCs w:val="20"/>
                <w:color w:val="auto"/>
              </w:rPr>
            </w:pPr>
            <w:r>
              <w:rPr>
                <w:rFonts w:ascii="Arial" w:cs="Arial" w:eastAsia="Arial" w:hAnsi="Arial"/>
                <w:sz w:val="18"/>
                <w:szCs w:val="18"/>
                <w:color w:val="auto"/>
              </w:rPr>
              <w:t>Payroll expenses</w:t>
            </w:r>
          </w:p>
        </w:tc>
        <w:tc>
          <w:tcPr>
            <w:tcW w:w="1380" w:type="dxa"/>
            <w:vAlign w:val="bottom"/>
            <w:shd w:val="clear" w:color="auto" w:fill="D5EAEA"/>
          </w:tcPr>
          <w:p>
            <w:pPr>
              <w:jc w:val="right"/>
              <w:ind w:right="30"/>
              <w:spacing w:after="0" w:line="196" w:lineRule="exact"/>
              <w:rPr>
                <w:sz w:val="20"/>
                <w:szCs w:val="20"/>
                <w:color w:val="auto"/>
              </w:rPr>
            </w:pPr>
            <w:r>
              <w:rPr>
                <w:rFonts w:ascii="Arial" w:cs="Arial" w:eastAsia="Arial" w:hAnsi="Arial"/>
                <w:sz w:val="18"/>
                <w:szCs w:val="18"/>
                <w:color w:val="auto"/>
              </w:rPr>
              <w:t>3,870</w:t>
            </w:r>
          </w:p>
        </w:tc>
        <w:tc>
          <w:tcPr>
            <w:tcW w:w="100" w:type="dxa"/>
            <w:vAlign w:val="bottom"/>
            <w:shd w:val="clear" w:color="auto" w:fill="D5EAEA"/>
          </w:tcPr>
          <w:p>
            <w:pPr>
              <w:spacing w:after="0"/>
              <w:rPr>
                <w:sz w:val="17"/>
                <w:szCs w:val="17"/>
                <w:color w:val="auto"/>
              </w:rPr>
            </w:pPr>
          </w:p>
        </w:tc>
        <w:tc>
          <w:tcPr>
            <w:tcW w:w="1340" w:type="dxa"/>
            <w:vAlign w:val="bottom"/>
            <w:shd w:val="clear" w:color="auto" w:fill="D5EAEA"/>
          </w:tcPr>
          <w:p>
            <w:pPr>
              <w:jc w:val="right"/>
              <w:ind w:right="30"/>
              <w:spacing w:after="0" w:line="196" w:lineRule="exact"/>
              <w:rPr>
                <w:sz w:val="20"/>
                <w:szCs w:val="20"/>
                <w:color w:val="auto"/>
              </w:rPr>
            </w:pPr>
            <w:r>
              <w:rPr>
                <w:rFonts w:ascii="Arial" w:cs="Arial" w:eastAsia="Arial" w:hAnsi="Arial"/>
                <w:sz w:val="18"/>
                <w:szCs w:val="18"/>
                <w:color w:val="auto"/>
              </w:rPr>
              <w:t>3,558</w:t>
            </w:r>
          </w:p>
        </w:tc>
        <w:tc>
          <w:tcPr>
            <w:tcW w:w="100" w:type="dxa"/>
            <w:vAlign w:val="bottom"/>
            <w:shd w:val="clear" w:color="auto" w:fill="D5EAEA"/>
          </w:tcPr>
          <w:p>
            <w:pPr>
              <w:spacing w:after="0"/>
              <w:rPr>
                <w:sz w:val="17"/>
                <w:szCs w:val="17"/>
                <w:color w:val="auto"/>
              </w:rPr>
            </w:pPr>
          </w:p>
        </w:tc>
        <w:tc>
          <w:tcPr>
            <w:tcW w:w="1340" w:type="dxa"/>
            <w:vAlign w:val="bottom"/>
            <w:shd w:val="clear" w:color="auto" w:fill="D5EAEA"/>
          </w:tcPr>
          <w:p>
            <w:pPr>
              <w:jc w:val="right"/>
              <w:ind w:right="10"/>
              <w:spacing w:after="0" w:line="196" w:lineRule="exact"/>
              <w:rPr>
                <w:sz w:val="20"/>
                <w:szCs w:val="20"/>
                <w:color w:val="auto"/>
              </w:rPr>
            </w:pPr>
            <w:r>
              <w:rPr>
                <w:rFonts w:ascii="Arial" w:cs="Arial" w:eastAsia="Arial" w:hAnsi="Arial"/>
                <w:sz w:val="18"/>
                <w:szCs w:val="18"/>
                <w:color w:val="auto"/>
              </w:rPr>
              <w:t>312</w:t>
            </w:r>
          </w:p>
        </w:tc>
      </w:tr>
      <w:tr>
        <w:trPr>
          <w:trHeight w:val="216"/>
        </w:trPr>
        <w:tc>
          <w:tcPr>
            <w:tcW w:w="6980" w:type="dxa"/>
            <w:vAlign w:val="bottom"/>
            <w:gridSpan w:val="2"/>
          </w:tcPr>
          <w:p>
            <w:pPr>
              <w:spacing w:after="0"/>
              <w:rPr>
                <w:sz w:val="20"/>
                <w:szCs w:val="20"/>
                <w:color w:val="auto"/>
              </w:rPr>
            </w:pPr>
            <w:r>
              <w:rPr>
                <w:rFonts w:ascii="Arial" w:cs="Arial" w:eastAsia="Arial" w:hAnsi="Arial"/>
                <w:sz w:val="18"/>
                <w:szCs w:val="18"/>
                <w:color w:val="auto"/>
              </w:rPr>
              <w:t>Share-based compensation</w:t>
            </w: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503</w:t>
            </w:r>
          </w:p>
        </w:tc>
        <w:tc>
          <w:tcPr>
            <w:tcW w:w="100" w:type="dxa"/>
            <w:vAlign w:val="bottom"/>
          </w:tcPr>
          <w:p>
            <w:pPr>
              <w:spacing w:after="0"/>
              <w:rPr>
                <w:sz w:val="18"/>
                <w:szCs w:val="18"/>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363</w:t>
            </w:r>
          </w:p>
        </w:tc>
        <w:tc>
          <w:tcPr>
            <w:tcW w:w="100" w:type="dxa"/>
            <w:vAlign w:val="bottom"/>
          </w:tcPr>
          <w:p>
            <w:pPr>
              <w:spacing w:after="0"/>
              <w:rPr>
                <w:sz w:val="18"/>
                <w:szCs w:val="18"/>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140</w:t>
            </w:r>
          </w:p>
        </w:tc>
      </w:tr>
      <w:tr>
        <w:trPr>
          <w:trHeight w:val="230"/>
        </w:trPr>
        <w:tc>
          <w:tcPr>
            <w:tcW w:w="6980" w:type="dxa"/>
            <w:vAlign w:val="bottom"/>
            <w:gridSpan w:val="2"/>
            <w:shd w:val="clear" w:color="auto" w:fill="D5EAEA"/>
          </w:tcPr>
          <w:p>
            <w:pPr>
              <w:spacing w:after="0"/>
              <w:rPr>
                <w:sz w:val="20"/>
                <w:szCs w:val="20"/>
                <w:color w:val="auto"/>
              </w:rPr>
            </w:pPr>
            <w:r>
              <w:rPr>
                <w:rFonts w:ascii="Arial" w:cs="Arial" w:eastAsia="Arial" w:hAnsi="Arial"/>
                <w:sz w:val="18"/>
                <w:szCs w:val="18"/>
                <w:color w:val="auto"/>
              </w:rPr>
              <w:t>Other non-allocated</w:t>
            </w:r>
          </w:p>
        </w:tc>
        <w:tc>
          <w:tcPr>
            <w:tcW w:w="1380" w:type="dxa"/>
            <w:vAlign w:val="bottom"/>
            <w:tcBorders>
              <w:bottom w:val="single" w:sz="8" w:color="auto"/>
            </w:tcBorders>
            <w:shd w:val="clear" w:color="auto" w:fill="D5EAEA"/>
          </w:tcPr>
          <w:p>
            <w:pPr>
              <w:jc w:val="right"/>
              <w:ind w:right="30"/>
              <w:spacing w:after="0"/>
              <w:rPr>
                <w:sz w:val="20"/>
                <w:szCs w:val="20"/>
                <w:color w:val="auto"/>
              </w:rPr>
            </w:pPr>
            <w:r>
              <w:rPr>
                <w:rFonts w:ascii="Arial" w:cs="Arial" w:eastAsia="Arial" w:hAnsi="Arial"/>
                <w:sz w:val="18"/>
                <w:szCs w:val="18"/>
                <w:color w:val="auto"/>
              </w:rPr>
              <w:t>1,695</w:t>
            </w:r>
          </w:p>
        </w:tc>
        <w:tc>
          <w:tcPr>
            <w:tcW w:w="100" w:type="dxa"/>
            <w:vAlign w:val="bottom"/>
            <w:shd w:val="clear" w:color="auto" w:fill="D5EAEA"/>
          </w:tcPr>
          <w:p>
            <w:pPr>
              <w:spacing w:after="0"/>
              <w:rPr>
                <w:sz w:val="19"/>
                <w:szCs w:val="19"/>
                <w:color w:val="auto"/>
              </w:rPr>
            </w:pPr>
          </w:p>
        </w:tc>
        <w:tc>
          <w:tcPr>
            <w:tcW w:w="1340" w:type="dxa"/>
            <w:vAlign w:val="bottom"/>
            <w:tcBorders>
              <w:bottom w:val="single" w:sz="8" w:color="auto"/>
            </w:tcBorders>
            <w:shd w:val="clear" w:color="auto" w:fill="D5EAEA"/>
          </w:tcPr>
          <w:p>
            <w:pPr>
              <w:jc w:val="right"/>
              <w:ind w:right="30"/>
              <w:spacing w:after="0"/>
              <w:rPr>
                <w:sz w:val="20"/>
                <w:szCs w:val="20"/>
                <w:color w:val="auto"/>
              </w:rPr>
            </w:pPr>
            <w:r>
              <w:rPr>
                <w:rFonts w:ascii="Arial" w:cs="Arial" w:eastAsia="Arial" w:hAnsi="Arial"/>
                <w:sz w:val="18"/>
                <w:szCs w:val="18"/>
                <w:color w:val="auto"/>
              </w:rPr>
              <w:t>1,464</w:t>
            </w:r>
          </w:p>
        </w:tc>
        <w:tc>
          <w:tcPr>
            <w:tcW w:w="100" w:type="dxa"/>
            <w:vAlign w:val="bottom"/>
            <w:shd w:val="clear" w:color="auto" w:fill="D5EAEA"/>
          </w:tcPr>
          <w:p>
            <w:pPr>
              <w:spacing w:after="0"/>
              <w:rPr>
                <w:sz w:val="19"/>
                <w:szCs w:val="19"/>
                <w:color w:val="auto"/>
              </w:rPr>
            </w:pPr>
          </w:p>
        </w:tc>
        <w:tc>
          <w:tcPr>
            <w:tcW w:w="1340" w:type="dxa"/>
            <w:vAlign w:val="bottom"/>
            <w:tcBorders>
              <w:bottom w:val="single" w:sz="8" w:color="auto"/>
            </w:tcBorders>
            <w:shd w:val="clear" w:color="auto" w:fill="D5EAEA"/>
          </w:tcPr>
          <w:p>
            <w:pPr>
              <w:jc w:val="right"/>
              <w:ind w:right="10"/>
              <w:spacing w:after="0"/>
              <w:rPr>
                <w:sz w:val="20"/>
                <w:szCs w:val="20"/>
                <w:color w:val="auto"/>
              </w:rPr>
            </w:pPr>
            <w:r>
              <w:rPr>
                <w:rFonts w:ascii="Arial" w:cs="Arial" w:eastAsia="Arial" w:hAnsi="Arial"/>
                <w:sz w:val="18"/>
                <w:szCs w:val="18"/>
                <w:color w:val="auto"/>
              </w:rPr>
              <w:t>231</w:t>
            </w:r>
          </w:p>
        </w:tc>
      </w:tr>
      <w:tr>
        <w:trPr>
          <w:trHeight w:val="223"/>
        </w:trPr>
        <w:tc>
          <w:tcPr>
            <w:tcW w:w="6980" w:type="dxa"/>
            <w:vAlign w:val="bottom"/>
            <w:gridSpan w:val="2"/>
          </w:tcPr>
          <w:p>
            <w:pPr>
              <w:spacing w:after="0"/>
              <w:rPr>
                <w:sz w:val="20"/>
                <w:szCs w:val="20"/>
                <w:color w:val="auto"/>
              </w:rPr>
            </w:pPr>
            <w:r>
              <w:rPr>
                <w:rFonts w:ascii="Arial" w:cs="Arial" w:eastAsia="Arial" w:hAnsi="Arial"/>
                <w:sz w:val="18"/>
                <w:szCs w:val="18"/>
                <w:b w:val="1"/>
                <w:bCs w:val="1"/>
                <w:color w:val="auto"/>
              </w:rPr>
              <w:t>Total R&amp;D</w:t>
            </w:r>
          </w:p>
        </w:tc>
        <w:tc>
          <w:tcPr>
            <w:tcW w:w="13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15,118</w:t>
            </w:r>
          </w:p>
        </w:tc>
        <w:tc>
          <w:tcPr>
            <w:tcW w:w="100" w:type="dxa"/>
            <w:vAlign w:val="bottom"/>
          </w:tcPr>
          <w:p>
            <w:pPr>
              <w:spacing w:after="0"/>
              <w:rPr>
                <w:sz w:val="19"/>
                <w:szCs w:val="19"/>
                <w:color w:val="auto"/>
              </w:rPr>
            </w:pPr>
          </w:p>
        </w:tc>
        <w:tc>
          <w:tcPr>
            <w:tcW w:w="13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15,518</w:t>
            </w:r>
          </w:p>
        </w:tc>
        <w:tc>
          <w:tcPr>
            <w:tcW w:w="100" w:type="dxa"/>
            <w:vAlign w:val="bottom"/>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(400)</w:t>
            </w:r>
          </w:p>
        </w:tc>
      </w:tr>
      <w:tr>
        <w:trPr>
          <w:trHeight w:val="20"/>
        </w:trPr>
        <w:tc>
          <w:tcPr>
            <w:tcW w:w="6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920" w:type="dxa"/>
            <w:vAlign w:val="bottom"/>
            <w:gridSpan w:val="4"/>
          </w:tcPr>
          <w:p>
            <w:pPr>
              <w:jc w:val="center"/>
              <w:ind w:right="100"/>
              <w:spacing w:after="0"/>
              <w:rPr>
                <w:sz w:val="20"/>
                <w:szCs w:val="20"/>
                <w:color w:val="auto"/>
              </w:rPr>
            </w:pPr>
            <w:r>
              <w:rPr>
                <w:rFonts w:ascii="Arial" w:cs="Arial" w:eastAsia="Arial" w:hAnsi="Arial"/>
                <w:sz w:val="18"/>
                <w:szCs w:val="18"/>
                <w:b w:val="1"/>
                <w:bCs w:val="1"/>
                <w:color w:val="auto"/>
                <w:w w:val="92"/>
              </w:rPr>
              <w:t>For the Three Months</w:t>
            </w:r>
          </w:p>
        </w:tc>
        <w:tc>
          <w:tcPr>
            <w:tcW w:w="1340" w:type="dxa"/>
            <w:vAlign w:val="bottom"/>
          </w:tcPr>
          <w:p>
            <w:pPr>
              <w:spacing w:after="0"/>
              <w:rPr>
                <w:sz w:val="18"/>
                <w:szCs w:val="18"/>
                <w:color w:val="auto"/>
              </w:rPr>
            </w:pPr>
          </w:p>
        </w:tc>
      </w:tr>
      <w:tr>
        <w:trPr>
          <w:trHeight w:val="234"/>
        </w:trPr>
        <w:tc>
          <w:tcPr>
            <w:tcW w:w="6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920" w:type="dxa"/>
            <w:vAlign w:val="bottom"/>
            <w:gridSpan w:val="4"/>
          </w:tcPr>
          <w:p>
            <w:pPr>
              <w:jc w:val="center"/>
              <w:ind w:right="100"/>
              <w:spacing w:after="0"/>
              <w:rPr>
                <w:sz w:val="20"/>
                <w:szCs w:val="20"/>
                <w:color w:val="auto"/>
              </w:rPr>
            </w:pPr>
            <w:r>
              <w:rPr>
                <w:rFonts w:ascii="Arial" w:cs="Arial" w:eastAsia="Arial" w:hAnsi="Arial"/>
                <w:sz w:val="18"/>
                <w:szCs w:val="18"/>
                <w:b w:val="1"/>
                <w:bCs w:val="1"/>
                <w:color w:val="auto"/>
                <w:w w:val="90"/>
              </w:rPr>
              <w:t>Ended September 30,</w:t>
            </w:r>
          </w:p>
        </w:tc>
        <w:tc>
          <w:tcPr>
            <w:tcW w:w="1340" w:type="dxa"/>
            <w:vAlign w:val="bottom"/>
          </w:tcPr>
          <w:p>
            <w:pPr>
              <w:spacing w:after="0"/>
              <w:rPr>
                <w:sz w:val="20"/>
                <w:szCs w:val="20"/>
                <w:color w:val="auto"/>
              </w:rPr>
            </w:pPr>
          </w:p>
        </w:tc>
      </w:tr>
      <w:tr>
        <w:trPr>
          <w:trHeight w:val="223"/>
        </w:trPr>
        <w:tc>
          <w:tcPr>
            <w:tcW w:w="6980" w:type="dxa"/>
            <w:vAlign w:val="bottom"/>
            <w:gridSpan w:val="2"/>
          </w:tcPr>
          <w:p>
            <w:pPr>
              <w:ind w:left="2300"/>
              <w:spacing w:after="0"/>
              <w:rPr>
                <w:sz w:val="20"/>
                <w:szCs w:val="20"/>
                <w:color w:val="auto"/>
              </w:rPr>
            </w:pPr>
            <w:r>
              <w:rPr>
                <w:rFonts w:ascii="Arial" w:cs="Arial" w:eastAsia="Arial" w:hAnsi="Arial"/>
                <w:sz w:val="18"/>
                <w:szCs w:val="18"/>
                <w:b w:val="1"/>
                <w:bCs w:val="1"/>
                <w:color w:val="auto"/>
              </w:rPr>
              <w:t>in CHF thousands, unaudited</w:t>
            </w:r>
          </w:p>
        </w:tc>
        <w:tc>
          <w:tcPr>
            <w:tcW w:w="1380" w:type="dxa"/>
            <w:vAlign w:val="bottom"/>
            <w:tcBorders>
              <w:top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top w:val="single" w:sz="8" w:color="auto"/>
            </w:tcBorders>
          </w:tcPr>
          <w:p>
            <w:pPr>
              <w:spacing w:after="0"/>
              <w:rPr>
                <w:sz w:val="19"/>
                <w:szCs w:val="19"/>
                <w:color w:val="auto"/>
              </w:rPr>
            </w:pPr>
          </w:p>
        </w:tc>
        <w:tc>
          <w:tcPr>
            <w:tcW w:w="1340" w:type="dxa"/>
            <w:vAlign w:val="bottom"/>
            <w:tcBorders>
              <w:top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9"/>
                <w:szCs w:val="19"/>
                <w:color w:val="auto"/>
              </w:rPr>
            </w:pPr>
          </w:p>
        </w:tc>
        <w:tc>
          <w:tcPr>
            <w:tcW w:w="1340" w:type="dxa"/>
            <w:vAlign w:val="bottom"/>
          </w:tcPr>
          <w:p>
            <w:pPr>
              <w:jc w:val="right"/>
              <w:ind w:right="290"/>
              <w:spacing w:after="0"/>
              <w:rPr>
                <w:sz w:val="20"/>
                <w:szCs w:val="20"/>
                <w:color w:val="auto"/>
              </w:rPr>
            </w:pPr>
            <w:r>
              <w:rPr>
                <w:rFonts w:ascii="Arial" w:cs="Arial" w:eastAsia="Arial" w:hAnsi="Arial"/>
                <w:sz w:val="18"/>
                <w:szCs w:val="18"/>
                <w:b w:val="1"/>
                <w:bCs w:val="1"/>
                <w:color w:val="auto"/>
              </w:rPr>
              <w:t>Change</w:t>
            </w:r>
          </w:p>
        </w:tc>
      </w:tr>
      <w:tr>
        <w:trPr>
          <w:trHeight w:val="250"/>
        </w:trPr>
        <w:tc>
          <w:tcPr>
            <w:tcW w:w="6860" w:type="dxa"/>
            <w:vAlign w:val="bottom"/>
            <w:tcBorders>
              <w:top w:val="single" w:sz="8" w:color="auto"/>
            </w:tcBorders>
            <w:shd w:val="clear" w:color="auto" w:fill="D5EAEA"/>
          </w:tcPr>
          <w:p>
            <w:pPr>
              <w:spacing w:after="0" w:line="250" w:lineRule="exact"/>
              <w:rPr>
                <w:sz w:val="20"/>
                <w:szCs w:val="20"/>
                <w:color w:val="auto"/>
              </w:rPr>
            </w:pPr>
            <w:r>
              <w:rPr>
                <w:rFonts w:ascii="Arial" w:cs="Arial" w:eastAsia="Arial" w:hAnsi="Arial"/>
                <w:sz w:val="17"/>
                <w:szCs w:val="17"/>
                <w:color w:val="auto"/>
              </w:rPr>
              <w:t>Operating expenses</w:t>
            </w:r>
            <w:r>
              <w:rPr>
                <w:rFonts w:ascii="Arial" w:cs="Arial" w:eastAsia="Arial" w:hAnsi="Arial"/>
                <w:sz w:val="28"/>
                <w:szCs w:val="28"/>
                <w:color w:val="auto"/>
                <w:vertAlign w:val="superscript"/>
              </w:rPr>
              <w:t>1</w:t>
            </w:r>
          </w:p>
        </w:tc>
        <w:tc>
          <w:tcPr>
            <w:tcW w:w="120" w:type="dxa"/>
            <w:vAlign w:val="bottom"/>
            <w:tcBorders>
              <w:top w:val="single" w:sz="8" w:color="D5EAEA"/>
            </w:tcBorders>
            <w:shd w:val="clear" w:color="auto" w:fill="D5EAEA"/>
          </w:tcPr>
          <w:p>
            <w:pPr>
              <w:spacing w:after="0"/>
              <w:rPr>
                <w:sz w:val="21"/>
                <w:szCs w:val="21"/>
                <w:color w:val="auto"/>
              </w:rPr>
            </w:pPr>
          </w:p>
        </w:tc>
        <w:tc>
          <w:tcPr>
            <w:tcW w:w="1380" w:type="dxa"/>
            <w:vAlign w:val="bottom"/>
            <w:tcBorders>
              <w:top w:val="single" w:sz="8" w:color="auto"/>
            </w:tcBorders>
            <w:shd w:val="clear" w:color="auto" w:fill="D5EAEA"/>
          </w:tcPr>
          <w:p>
            <w:pPr>
              <w:jc w:val="right"/>
              <w:ind w:right="30"/>
              <w:spacing w:after="0"/>
              <w:rPr>
                <w:sz w:val="20"/>
                <w:szCs w:val="20"/>
                <w:color w:val="auto"/>
              </w:rPr>
            </w:pPr>
            <w:r>
              <w:rPr>
                <w:rFonts w:ascii="Arial" w:cs="Arial" w:eastAsia="Arial" w:hAnsi="Arial"/>
                <w:sz w:val="18"/>
                <w:szCs w:val="18"/>
                <w:color w:val="auto"/>
              </w:rPr>
              <w:t>10,745</w:t>
            </w:r>
          </w:p>
        </w:tc>
        <w:tc>
          <w:tcPr>
            <w:tcW w:w="100" w:type="dxa"/>
            <w:vAlign w:val="bottom"/>
            <w:tcBorders>
              <w:top w:val="single" w:sz="8" w:color="D5EAEA"/>
            </w:tcBorders>
            <w:shd w:val="clear" w:color="auto" w:fill="D5EAEA"/>
          </w:tcPr>
          <w:p>
            <w:pPr>
              <w:spacing w:after="0"/>
              <w:rPr>
                <w:sz w:val="21"/>
                <w:szCs w:val="21"/>
                <w:color w:val="auto"/>
              </w:rPr>
            </w:pPr>
          </w:p>
        </w:tc>
        <w:tc>
          <w:tcPr>
            <w:tcW w:w="1340" w:type="dxa"/>
            <w:vAlign w:val="bottom"/>
            <w:tcBorders>
              <w:top w:val="single" w:sz="8" w:color="auto"/>
            </w:tcBorders>
            <w:shd w:val="clear" w:color="auto" w:fill="D5EAEA"/>
          </w:tcPr>
          <w:p>
            <w:pPr>
              <w:jc w:val="right"/>
              <w:ind w:right="30"/>
              <w:spacing w:after="0"/>
              <w:rPr>
                <w:sz w:val="20"/>
                <w:szCs w:val="20"/>
                <w:color w:val="auto"/>
              </w:rPr>
            </w:pPr>
            <w:r>
              <w:rPr>
                <w:rFonts w:ascii="Arial" w:cs="Arial" w:eastAsia="Arial" w:hAnsi="Arial"/>
                <w:sz w:val="18"/>
                <w:szCs w:val="18"/>
                <w:color w:val="auto"/>
              </w:rPr>
              <w:t>11,597</w:t>
            </w:r>
          </w:p>
        </w:tc>
        <w:tc>
          <w:tcPr>
            <w:tcW w:w="100" w:type="dxa"/>
            <w:vAlign w:val="bottom"/>
            <w:tcBorders>
              <w:top w:val="single" w:sz="8" w:color="D5EAEA"/>
            </w:tcBorders>
            <w:shd w:val="clear" w:color="auto" w:fill="D5EAEA"/>
          </w:tcPr>
          <w:p>
            <w:pPr>
              <w:spacing w:after="0"/>
              <w:rPr>
                <w:sz w:val="21"/>
                <w:szCs w:val="21"/>
                <w:color w:val="auto"/>
              </w:rPr>
            </w:pPr>
          </w:p>
        </w:tc>
        <w:tc>
          <w:tcPr>
            <w:tcW w:w="1340" w:type="dxa"/>
            <w:vAlign w:val="bottom"/>
            <w:tcBorders>
              <w:top w:val="single" w:sz="8" w:color="auto"/>
            </w:tcBorders>
            <w:shd w:val="clear" w:color="auto" w:fill="D5EAEA"/>
          </w:tcPr>
          <w:p>
            <w:pPr>
              <w:jc w:val="right"/>
              <w:spacing w:after="0"/>
              <w:rPr>
                <w:sz w:val="20"/>
                <w:szCs w:val="20"/>
                <w:color w:val="auto"/>
              </w:rPr>
            </w:pPr>
            <w:r>
              <w:rPr>
                <w:rFonts w:ascii="Arial" w:cs="Arial" w:eastAsia="Arial" w:hAnsi="Arial"/>
                <w:sz w:val="18"/>
                <w:szCs w:val="18"/>
                <w:color w:val="auto"/>
              </w:rPr>
              <w:t>(852)</w:t>
            </w:r>
          </w:p>
        </w:tc>
      </w:tr>
      <w:tr>
        <w:trPr>
          <w:trHeight w:val="270"/>
        </w:trPr>
        <w:tc>
          <w:tcPr>
            <w:tcW w:w="6980" w:type="dxa"/>
            <w:vAlign w:val="bottom"/>
            <w:tcBorders>
              <w:bottom w:val="single" w:sz="8" w:color="D5EAEA"/>
            </w:tcBorders>
            <w:gridSpan w:val="2"/>
          </w:tcPr>
          <w:p>
            <w:pPr>
              <w:spacing w:after="0" w:line="270" w:lineRule="exact"/>
              <w:rPr>
                <w:sz w:val="20"/>
                <w:szCs w:val="20"/>
                <w:color w:val="auto"/>
              </w:rPr>
            </w:pPr>
            <w:r>
              <w:rPr>
                <w:rFonts w:ascii="Arial" w:cs="Arial" w:eastAsia="Arial" w:hAnsi="Arial"/>
                <w:sz w:val="18"/>
                <w:szCs w:val="18"/>
                <w:color w:val="auto"/>
              </w:rPr>
              <w:t>Salaries and related costs</w:t>
            </w:r>
            <w:r>
              <w:rPr>
                <w:rFonts w:ascii="Arial" w:cs="Arial" w:eastAsia="Arial" w:hAnsi="Arial"/>
                <w:sz w:val="29"/>
                <w:szCs w:val="29"/>
                <w:color w:val="auto"/>
                <w:vertAlign w:val="superscript"/>
              </w:rPr>
              <w:t>2</w:t>
            </w:r>
          </w:p>
        </w:tc>
        <w:tc>
          <w:tcPr>
            <w:tcW w:w="13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4,373</w:t>
            </w:r>
          </w:p>
        </w:tc>
        <w:tc>
          <w:tcPr>
            <w:tcW w:w="100" w:type="dxa"/>
            <w:vAlign w:val="bottom"/>
            <w:tcBorders>
              <w:bottom w:val="single" w:sz="8" w:color="D5EAEA"/>
            </w:tcBorders>
          </w:tcPr>
          <w:p>
            <w:pPr>
              <w:spacing w:after="0"/>
              <w:rPr>
                <w:sz w:val="23"/>
                <w:szCs w:val="23"/>
                <w:color w:val="auto"/>
              </w:rPr>
            </w:pPr>
          </w:p>
        </w:tc>
        <w:tc>
          <w:tcPr>
            <w:tcW w:w="13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3,921</w:t>
            </w:r>
          </w:p>
        </w:tc>
        <w:tc>
          <w:tcPr>
            <w:tcW w:w="100" w:type="dxa"/>
            <w:vAlign w:val="bottom"/>
            <w:tcBorders>
              <w:bottom w:val="single" w:sz="8" w:color="D5EAEA"/>
            </w:tcBorders>
          </w:tcPr>
          <w:p>
            <w:pPr>
              <w:spacing w:after="0"/>
              <w:rPr>
                <w:sz w:val="23"/>
                <w:szCs w:val="23"/>
                <w:color w:val="auto"/>
              </w:rPr>
            </w:pPr>
          </w:p>
        </w:tc>
        <w:tc>
          <w:tcPr>
            <w:tcW w:w="13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452</w:t>
            </w:r>
          </w:p>
        </w:tc>
      </w:tr>
      <w:tr>
        <w:trPr>
          <w:trHeight w:val="223"/>
        </w:trPr>
        <w:tc>
          <w:tcPr>
            <w:tcW w:w="6980" w:type="dxa"/>
            <w:vAlign w:val="bottom"/>
            <w:tcBorders>
              <w:bottom w:val="single" w:sz="8" w:color="D5EAEA"/>
            </w:tcBorders>
            <w:gridSpan w:val="2"/>
            <w:shd w:val="clear" w:color="auto" w:fill="D5EAEA"/>
          </w:tcPr>
          <w:p>
            <w:pPr>
              <w:spacing w:after="0"/>
              <w:rPr>
                <w:sz w:val="20"/>
                <w:szCs w:val="20"/>
                <w:color w:val="auto"/>
              </w:rPr>
            </w:pPr>
            <w:r>
              <w:rPr>
                <w:rFonts w:ascii="Arial" w:cs="Arial" w:eastAsia="Arial" w:hAnsi="Arial"/>
                <w:sz w:val="18"/>
                <w:szCs w:val="18"/>
                <w:b w:val="1"/>
                <w:bCs w:val="1"/>
                <w:color w:val="auto"/>
              </w:rPr>
              <w:t>Total R&amp;D expenses</w:t>
            </w:r>
          </w:p>
        </w:tc>
        <w:tc>
          <w:tcPr>
            <w:tcW w:w="1380" w:type="dxa"/>
            <w:vAlign w:val="bottom"/>
            <w:tcBorders>
              <w:bottom w:val="single" w:sz="8" w:color="auto"/>
            </w:tcBorders>
            <w:shd w:val="clear" w:color="auto" w:fill="D5EAEA"/>
          </w:tcPr>
          <w:p>
            <w:pPr>
              <w:jc w:val="right"/>
              <w:ind w:right="30"/>
              <w:spacing w:after="0"/>
              <w:rPr>
                <w:sz w:val="20"/>
                <w:szCs w:val="20"/>
                <w:color w:val="auto"/>
              </w:rPr>
            </w:pPr>
            <w:r>
              <w:rPr>
                <w:rFonts w:ascii="Arial" w:cs="Arial" w:eastAsia="Arial" w:hAnsi="Arial"/>
                <w:sz w:val="18"/>
                <w:szCs w:val="18"/>
                <w:color w:val="auto"/>
              </w:rPr>
              <w:t>15,118</w:t>
            </w:r>
          </w:p>
        </w:tc>
        <w:tc>
          <w:tcPr>
            <w:tcW w:w="100" w:type="dxa"/>
            <w:vAlign w:val="bottom"/>
            <w:tcBorders>
              <w:bottom w:val="single" w:sz="8" w:color="D5EAEA"/>
            </w:tcBorders>
            <w:shd w:val="clear" w:color="auto" w:fill="D5EAEA"/>
          </w:tcPr>
          <w:p>
            <w:pPr>
              <w:spacing w:after="0"/>
              <w:rPr>
                <w:sz w:val="19"/>
                <w:szCs w:val="19"/>
                <w:color w:val="auto"/>
              </w:rPr>
            </w:pPr>
          </w:p>
        </w:tc>
        <w:tc>
          <w:tcPr>
            <w:tcW w:w="1340" w:type="dxa"/>
            <w:vAlign w:val="bottom"/>
            <w:tcBorders>
              <w:bottom w:val="single" w:sz="8" w:color="auto"/>
            </w:tcBorders>
            <w:shd w:val="clear" w:color="auto" w:fill="D5EAEA"/>
          </w:tcPr>
          <w:p>
            <w:pPr>
              <w:jc w:val="right"/>
              <w:ind w:right="30"/>
              <w:spacing w:after="0"/>
              <w:rPr>
                <w:sz w:val="20"/>
                <w:szCs w:val="20"/>
                <w:color w:val="auto"/>
              </w:rPr>
            </w:pPr>
            <w:r>
              <w:rPr>
                <w:rFonts w:ascii="Arial" w:cs="Arial" w:eastAsia="Arial" w:hAnsi="Arial"/>
                <w:sz w:val="18"/>
                <w:szCs w:val="18"/>
                <w:color w:val="auto"/>
              </w:rPr>
              <w:t>15,518</w:t>
            </w:r>
          </w:p>
        </w:tc>
        <w:tc>
          <w:tcPr>
            <w:tcW w:w="100" w:type="dxa"/>
            <w:vAlign w:val="bottom"/>
            <w:tcBorders>
              <w:bottom w:val="single" w:sz="8" w:color="D5EAEA"/>
            </w:tcBorders>
            <w:shd w:val="clear" w:color="auto" w:fill="D5EAEA"/>
          </w:tcPr>
          <w:p>
            <w:pPr>
              <w:spacing w:after="0"/>
              <w:rPr>
                <w:sz w:val="19"/>
                <w:szCs w:val="19"/>
                <w:color w:val="auto"/>
              </w:rPr>
            </w:pPr>
          </w:p>
        </w:tc>
        <w:tc>
          <w:tcPr>
            <w:tcW w:w="1340" w:type="dxa"/>
            <w:vAlign w:val="bottom"/>
            <w:tcBorders>
              <w:bottom w:val="single" w:sz="8" w:color="auto"/>
            </w:tcBorders>
            <w:shd w:val="clear" w:color="auto" w:fill="D5EAEA"/>
          </w:tcPr>
          <w:p>
            <w:pPr>
              <w:jc w:val="right"/>
              <w:spacing w:after="0"/>
              <w:rPr>
                <w:sz w:val="20"/>
                <w:szCs w:val="20"/>
                <w:color w:val="auto"/>
              </w:rPr>
            </w:pPr>
            <w:r>
              <w:rPr>
                <w:rFonts w:ascii="Arial" w:cs="Arial" w:eastAsia="Arial" w:hAnsi="Arial"/>
                <w:sz w:val="18"/>
                <w:szCs w:val="18"/>
                <w:color w:val="auto"/>
              </w:rPr>
              <w:t>(400)</w:t>
            </w:r>
          </w:p>
        </w:tc>
      </w:tr>
      <w:tr>
        <w:trPr>
          <w:trHeight w:val="20"/>
        </w:trPr>
        <w:tc>
          <w:tcPr>
            <w:tcW w:w="6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ind w:left="340" w:hanging="211"/>
        <w:spacing w:after="0" w:line="180" w:lineRule="auto"/>
        <w:tabs>
          <w:tab w:leader="none" w:pos="340" w:val="left"/>
        </w:tabs>
        <w:numPr>
          <w:ilvl w:val="0"/>
          <w:numId w:val="17"/>
        </w:numPr>
        <w:rPr>
          <w:rFonts w:ascii="Arial" w:cs="Arial" w:eastAsia="Arial" w:hAnsi="Arial"/>
          <w:sz w:val="25"/>
          <w:szCs w:val="25"/>
          <w:color w:val="auto"/>
          <w:vertAlign w:val="superscript"/>
        </w:rPr>
      </w:pPr>
      <w:r>
        <w:rPr>
          <w:rFonts w:ascii="Arial" w:cs="Arial" w:eastAsia="Arial" w:hAnsi="Arial"/>
          <w:sz w:val="15"/>
          <w:szCs w:val="15"/>
          <w:color w:val="auto"/>
        </w:rPr>
        <w:t>Includes depreciation expense</w:t>
      </w:r>
    </w:p>
    <w:p>
      <w:pPr>
        <w:spacing w:after="0" w:line="2" w:lineRule="exact"/>
        <w:rPr>
          <w:sz w:val="20"/>
          <w:szCs w:val="20"/>
          <w:color w:val="auto"/>
        </w:rPr>
      </w:pPr>
    </w:p>
    <w:p>
      <w:pPr>
        <w:jc w:val="both"/>
        <w:ind w:right="7720" w:firstLine="129"/>
        <w:spacing w:after="0" w:line="442" w:lineRule="auto"/>
        <w:tabs>
          <w:tab w:leader="none" w:pos="337" w:val="left"/>
        </w:tabs>
        <w:numPr>
          <w:ilvl w:val="0"/>
          <w:numId w:val="18"/>
        </w:numPr>
        <w:rPr>
          <w:rFonts w:ascii="Arial" w:cs="Arial" w:eastAsia="Arial" w:hAnsi="Arial"/>
          <w:sz w:val="25"/>
          <w:szCs w:val="25"/>
          <w:color w:val="auto"/>
          <w:vertAlign w:val="superscript"/>
        </w:rPr>
      </w:pPr>
      <w:r>
        <w:rPr>
          <w:rFonts w:ascii="Arial" w:cs="Arial" w:eastAsia="Arial" w:hAnsi="Arial"/>
          <w:sz w:val="15"/>
          <w:szCs w:val="15"/>
          <w:color w:val="auto"/>
        </w:rPr>
        <w:t>Includes share-based compensation expense For the three months ended September 30, 2021:</w:t>
      </w:r>
    </w:p>
    <w:p>
      <w:pPr>
        <w:spacing w:after="0" w:line="1" w:lineRule="exact"/>
        <w:rPr>
          <w:rFonts w:ascii="Arial" w:cs="Arial" w:eastAsia="Arial" w:hAnsi="Arial"/>
          <w:sz w:val="25"/>
          <w:szCs w:val="25"/>
          <w:color w:val="auto"/>
          <w:vertAlign w:val="superscript"/>
        </w:rPr>
      </w:pPr>
    </w:p>
    <w:p>
      <w:pPr>
        <w:ind w:left="340"/>
        <w:spacing w:after="0"/>
        <w:rPr>
          <w:rFonts w:ascii="Arial" w:cs="Arial" w:eastAsia="Arial" w:hAnsi="Arial"/>
          <w:sz w:val="25"/>
          <w:szCs w:val="25"/>
          <w:color w:val="auto"/>
          <w:vertAlign w:val="superscript"/>
        </w:rPr>
      </w:pPr>
      <w:r>
        <w:rPr>
          <w:rFonts w:ascii="Arial" w:cs="Arial" w:eastAsia="Arial" w:hAnsi="Arial"/>
          <w:sz w:val="18"/>
          <w:szCs w:val="18"/>
          <w:color w:val="auto"/>
        </w:rPr>
        <w:t>Discovery and preclinical expenses decreased by CHF 1.7 million, primarily due to:</w:t>
      </w:r>
    </w:p>
    <w:p>
      <w:pPr>
        <w:spacing w:after="0" w:line="225" w:lineRule="exact"/>
        <w:rPr>
          <w:rFonts w:ascii="Arial" w:cs="Arial" w:eastAsia="Arial" w:hAnsi="Arial"/>
          <w:sz w:val="25"/>
          <w:szCs w:val="25"/>
          <w:color w:val="auto"/>
          <w:vertAlign w:val="superscript"/>
        </w:rPr>
      </w:pPr>
    </w:p>
    <w:p>
      <w:pPr>
        <w:ind w:left="660" w:hanging="328"/>
        <w:spacing w:after="0"/>
        <w:tabs>
          <w:tab w:leader="none" w:pos="660" w:val="left"/>
        </w:tabs>
        <w:numPr>
          <w:ilvl w:val="1"/>
          <w:numId w:val="18"/>
        </w:numPr>
        <w:rPr>
          <w:rFonts w:ascii="Arial" w:cs="Arial" w:eastAsia="Arial" w:hAnsi="Arial"/>
          <w:sz w:val="18"/>
          <w:szCs w:val="18"/>
          <w:color w:val="auto"/>
        </w:rPr>
      </w:pPr>
      <w:r>
        <w:rPr>
          <w:rFonts w:ascii="Arial" w:cs="Arial" w:eastAsia="Arial" w:hAnsi="Arial"/>
          <w:sz w:val="18"/>
          <w:szCs w:val="18"/>
          <w:color w:val="auto"/>
        </w:rPr>
        <w:t>a decrease of CHF 1.1 million for the research of alpha-synuclein antibodies and CHF 0.6 million for other discovery programs.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349250</wp:posOffset>
            </wp:positionV>
            <wp:extent cx="713232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22" w:name="page23"/>
    <w:bookmarkEnd w:id="22"/>
    <w:p>
      <w:pPr>
        <w:ind w:left="340"/>
        <w:spacing w:after="0"/>
        <w:rPr>
          <w:sz w:val="20"/>
          <w:szCs w:val="20"/>
          <w:color w:val="auto"/>
        </w:rPr>
      </w:pPr>
      <w:r>
        <w:rPr>
          <w:rFonts w:ascii="Arial" w:cs="Arial" w:eastAsia="Arial" w:hAnsi="Arial"/>
          <w:sz w:val="18"/>
          <w:szCs w:val="18"/>
          <w:color w:val="auto"/>
        </w:rPr>
        <w:t>Clinical expenses increased by CHF 0.6 million, primarily due to:</w:t>
      </w:r>
    </w:p>
    <w:p>
      <w:pPr>
        <w:spacing w:after="0" w:line="225" w:lineRule="exact"/>
        <w:rPr>
          <w:sz w:val="20"/>
          <w:szCs w:val="20"/>
          <w:color w:val="auto"/>
        </w:rPr>
      </w:pPr>
    </w:p>
    <w:p>
      <w:pPr>
        <w:ind w:left="660" w:right="400" w:hanging="328"/>
        <w:spacing w:after="0" w:line="342" w:lineRule="auto"/>
        <w:tabs>
          <w:tab w:leader="none" w:pos="660" w:val="left"/>
        </w:tabs>
        <w:numPr>
          <w:ilvl w:val="0"/>
          <w:numId w:val="19"/>
        </w:numPr>
        <w:rPr>
          <w:rFonts w:ascii="Arial" w:cs="Arial" w:eastAsia="Arial" w:hAnsi="Arial"/>
          <w:sz w:val="16"/>
          <w:szCs w:val="16"/>
          <w:color w:val="auto"/>
        </w:rPr>
      </w:pPr>
      <w:r>
        <w:rPr>
          <w:rFonts w:ascii="Arial" w:cs="Arial" w:eastAsia="Arial" w:hAnsi="Arial"/>
          <w:sz w:val="16"/>
          <w:szCs w:val="16"/>
          <w:color w:val="auto"/>
        </w:rPr>
        <w:t>an increase of CHF 1.9 million for the clinical development of ACI-35.030 driven by R&amp;D cost sharing, increased patient enrollment into the Phase 1b/2a study and increased frequency of interim analyses testing as well as CHF 0.1 million for our diagnostic imaging agents,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This was partially offset by:</w:t>
      </w:r>
    </w:p>
    <w:p>
      <w:pPr>
        <w:spacing w:after="0" w:line="225" w:lineRule="exact"/>
        <w:rPr>
          <w:sz w:val="20"/>
          <w:szCs w:val="20"/>
          <w:color w:val="auto"/>
        </w:rPr>
      </w:pPr>
    </w:p>
    <w:p>
      <w:pPr>
        <w:ind w:left="660" w:right="380" w:hanging="328"/>
        <w:spacing w:after="0" w:line="263"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 decrease of CHF 1.0 million for ACI-24 for AD as the six-month safety period completed, CHF 0.2 million for ACI-24 for DS as a result of prior period scaling up activities for a Phase 2 clinical trial which were not repeated in the current period and CHF 0.2 million for Phase 1 activities for our Morphomer Tau compound which completed in 2020.</w:t>
      </w:r>
    </w:p>
    <w:p>
      <w:pPr>
        <w:spacing w:after="0" w:line="18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variances in Group function expenses relate to regulatory and quality assurance and IP.</w:t>
      </w:r>
    </w:p>
    <w:p>
      <w:pPr>
        <w:spacing w:after="0" w:line="225"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Total salaries and related costs increased by CHF 0.5 million, primarily due to:</w:t>
      </w:r>
    </w:p>
    <w:p>
      <w:pPr>
        <w:spacing w:after="0" w:line="225" w:lineRule="exact"/>
        <w:rPr>
          <w:sz w:val="20"/>
          <w:szCs w:val="20"/>
          <w:color w:val="auto"/>
        </w:rPr>
      </w:pPr>
    </w:p>
    <w:p>
      <w:pPr>
        <w:ind w:left="660" w:right="120" w:hanging="328"/>
        <w:spacing w:after="0" w:line="342" w:lineRule="auto"/>
        <w:tabs>
          <w:tab w:leader="none" w:pos="660" w:val="left"/>
        </w:tabs>
        <w:numPr>
          <w:ilvl w:val="0"/>
          <w:numId w:val="21"/>
        </w:numPr>
        <w:rPr>
          <w:rFonts w:ascii="Arial" w:cs="Arial" w:eastAsia="Arial" w:hAnsi="Arial"/>
          <w:sz w:val="16"/>
          <w:szCs w:val="16"/>
          <w:color w:val="auto"/>
        </w:rPr>
      </w:pPr>
      <w:r>
        <w:rPr>
          <w:rFonts w:ascii="Arial" w:cs="Arial" w:eastAsia="Arial" w:hAnsi="Arial"/>
          <w:sz w:val="16"/>
          <w:szCs w:val="16"/>
          <w:color w:val="auto"/>
        </w:rPr>
        <w:t>an increase in salary- and benefit-related costs of CHF 0.3 million primarily related to the internal reallocation of certain employees’ personnel costs from general and administrative expenses to research and development personnel expenses in 2021 and the annualization of 2020 hires; and</w:t>
      </w:r>
    </w:p>
    <w:p>
      <w:pPr>
        <w:spacing w:after="0" w:line="123" w:lineRule="exact"/>
        <w:rPr>
          <w:rFonts w:ascii="Arial" w:cs="Arial" w:eastAsia="Arial" w:hAnsi="Arial"/>
          <w:sz w:val="16"/>
          <w:szCs w:val="16"/>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an increase in share-based compensation expense of CHF 0.1 million.</w:t>
      </w:r>
    </w:p>
    <w:p>
      <w:pPr>
        <w:spacing w:after="0" w:line="225" w:lineRule="exact"/>
        <w:rPr>
          <w:sz w:val="20"/>
          <w:szCs w:val="20"/>
          <w:color w:val="auto"/>
        </w:rPr>
      </w:pPr>
    </w:p>
    <w:p>
      <w:pPr>
        <w:ind w:right="220" w:firstLine="324"/>
        <w:spacing w:after="0" w:line="277" w:lineRule="auto"/>
        <w:rPr>
          <w:sz w:val="20"/>
          <w:szCs w:val="20"/>
          <w:color w:val="auto"/>
        </w:rPr>
      </w:pPr>
      <w:r>
        <w:rPr>
          <w:rFonts w:ascii="Arial" w:cs="Arial" w:eastAsia="Arial" w:hAnsi="Arial"/>
          <w:sz w:val="18"/>
          <w:szCs w:val="18"/>
          <w:color w:val="auto"/>
        </w:rPr>
        <w:t>The CHF 0.2 million increase in other non-allocated expenses relate to administrative R&amp;D and certain non-allocated functional expenses, primarily due to:</w:t>
      </w:r>
    </w:p>
    <w:p>
      <w:pPr>
        <w:spacing w:after="0" w:line="170" w:lineRule="exact"/>
        <w:rPr>
          <w:sz w:val="20"/>
          <w:szCs w:val="20"/>
          <w:color w:val="auto"/>
        </w:rPr>
      </w:pPr>
    </w:p>
    <w:p>
      <w:pPr>
        <w:ind w:left="1020" w:hanging="324"/>
        <w:spacing w:after="0"/>
        <w:tabs>
          <w:tab w:leader="none" w:pos="10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an increase of CHF 0.1 million associated with depreciation expense and CHF 0.1 million for external consultants.</w:t>
      </w:r>
    </w:p>
    <w:p>
      <w:pPr>
        <w:spacing w:after="0" w:line="225" w:lineRule="exact"/>
        <w:rPr>
          <w:sz w:val="20"/>
          <w:szCs w:val="20"/>
          <w:color w:val="auto"/>
        </w:rPr>
      </w:pPr>
    </w:p>
    <w:p>
      <w:pPr>
        <w:jc w:val="both"/>
        <w:ind w:right="20" w:firstLine="324"/>
        <w:spacing w:after="0" w:line="263" w:lineRule="auto"/>
        <w:rPr>
          <w:sz w:val="20"/>
          <w:szCs w:val="20"/>
          <w:color w:val="auto"/>
        </w:rPr>
      </w:pPr>
      <w:r>
        <w:rPr>
          <w:rFonts w:ascii="Arial" w:cs="Arial" w:eastAsia="Arial" w:hAnsi="Arial"/>
          <w:sz w:val="18"/>
          <w:szCs w:val="18"/>
          <w:color w:val="auto"/>
        </w:rPr>
        <w:t>For the nine months ended September 30, 2021, research and development expenses totaled CHF 42.2 million compared with CHF 43.5 million for the comparable period in 2020. This represents a decrease of CHF 1.3 million. The following table presents the research and development expenses during the nine months ended September 30, 2021 and 2020:</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920" w:type="dxa"/>
            <w:vAlign w:val="bottom"/>
            <w:gridSpan w:val="4"/>
          </w:tcPr>
          <w:p>
            <w:pPr>
              <w:ind w:left="580"/>
              <w:spacing w:after="0"/>
              <w:rPr>
                <w:sz w:val="20"/>
                <w:szCs w:val="20"/>
                <w:color w:val="auto"/>
              </w:rPr>
            </w:pPr>
            <w:r>
              <w:rPr>
                <w:rFonts w:ascii="Arial" w:cs="Arial" w:eastAsia="Arial" w:hAnsi="Arial"/>
                <w:sz w:val="18"/>
                <w:szCs w:val="18"/>
                <w:b w:val="1"/>
                <w:bCs w:val="1"/>
                <w:color w:val="auto"/>
              </w:rPr>
              <w:t>For the Nine Months</w:t>
            </w:r>
          </w:p>
        </w:tc>
        <w:tc>
          <w:tcPr>
            <w:tcW w:w="1340" w:type="dxa"/>
            <w:vAlign w:val="bottom"/>
          </w:tcPr>
          <w:p>
            <w:pPr>
              <w:spacing w:after="0"/>
              <w:rPr>
                <w:sz w:val="18"/>
                <w:szCs w:val="18"/>
                <w:color w:val="auto"/>
              </w:rPr>
            </w:pPr>
          </w:p>
        </w:tc>
      </w:tr>
      <w:tr>
        <w:trPr>
          <w:trHeight w:val="234"/>
        </w:trPr>
        <w:tc>
          <w:tcPr>
            <w:tcW w:w="6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920" w:type="dxa"/>
            <w:vAlign w:val="bottom"/>
            <w:gridSpan w:val="4"/>
          </w:tcPr>
          <w:p>
            <w:pPr>
              <w:ind w:left="580"/>
              <w:spacing w:after="0"/>
              <w:rPr>
                <w:sz w:val="20"/>
                <w:szCs w:val="20"/>
                <w:color w:val="auto"/>
              </w:rPr>
            </w:pPr>
            <w:r>
              <w:rPr>
                <w:rFonts w:ascii="Arial" w:cs="Arial" w:eastAsia="Arial" w:hAnsi="Arial"/>
                <w:sz w:val="18"/>
                <w:szCs w:val="18"/>
                <w:b w:val="1"/>
                <w:bCs w:val="1"/>
                <w:color w:val="auto"/>
              </w:rPr>
              <w:t>Ended September 30,</w:t>
            </w:r>
          </w:p>
        </w:tc>
        <w:tc>
          <w:tcPr>
            <w:tcW w:w="1340" w:type="dxa"/>
            <w:vAlign w:val="bottom"/>
          </w:tcPr>
          <w:p>
            <w:pPr>
              <w:spacing w:after="0"/>
              <w:rPr>
                <w:sz w:val="20"/>
                <w:szCs w:val="20"/>
                <w:color w:val="auto"/>
              </w:rPr>
            </w:pPr>
          </w:p>
        </w:tc>
      </w:tr>
      <w:tr>
        <w:trPr>
          <w:trHeight w:val="223"/>
        </w:trPr>
        <w:tc>
          <w:tcPr>
            <w:tcW w:w="6980" w:type="dxa"/>
            <w:vAlign w:val="bottom"/>
            <w:gridSpan w:val="2"/>
          </w:tcPr>
          <w:p>
            <w:pPr>
              <w:ind w:left="2300"/>
              <w:spacing w:after="0"/>
              <w:rPr>
                <w:sz w:val="20"/>
                <w:szCs w:val="20"/>
                <w:color w:val="auto"/>
              </w:rPr>
            </w:pPr>
            <w:r>
              <w:rPr>
                <w:rFonts w:ascii="Arial" w:cs="Arial" w:eastAsia="Arial" w:hAnsi="Arial"/>
                <w:sz w:val="18"/>
                <w:szCs w:val="18"/>
                <w:b w:val="1"/>
                <w:bCs w:val="1"/>
                <w:color w:val="auto"/>
              </w:rPr>
              <w:t>in CHF thousands, unaudited</w:t>
            </w:r>
          </w:p>
        </w:tc>
        <w:tc>
          <w:tcPr>
            <w:tcW w:w="1380" w:type="dxa"/>
            <w:vAlign w:val="bottom"/>
            <w:tcBorders>
              <w:top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top w:val="single" w:sz="8" w:color="auto"/>
            </w:tcBorders>
          </w:tcPr>
          <w:p>
            <w:pPr>
              <w:spacing w:after="0"/>
              <w:rPr>
                <w:sz w:val="19"/>
                <w:szCs w:val="19"/>
                <w:color w:val="auto"/>
              </w:rPr>
            </w:pPr>
          </w:p>
        </w:tc>
        <w:tc>
          <w:tcPr>
            <w:tcW w:w="1340" w:type="dxa"/>
            <w:vAlign w:val="bottom"/>
            <w:tcBorders>
              <w:top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9"/>
                <w:szCs w:val="19"/>
                <w:color w:val="auto"/>
              </w:rPr>
            </w:pPr>
          </w:p>
        </w:tc>
        <w:tc>
          <w:tcPr>
            <w:tcW w:w="1340" w:type="dxa"/>
            <w:vAlign w:val="bottom"/>
          </w:tcPr>
          <w:p>
            <w:pPr>
              <w:jc w:val="right"/>
              <w:ind w:right="290"/>
              <w:spacing w:after="0"/>
              <w:rPr>
                <w:sz w:val="20"/>
                <w:szCs w:val="20"/>
                <w:color w:val="auto"/>
              </w:rPr>
            </w:pPr>
            <w:r>
              <w:rPr>
                <w:rFonts w:ascii="Arial" w:cs="Arial" w:eastAsia="Arial" w:hAnsi="Arial"/>
                <w:sz w:val="18"/>
                <w:szCs w:val="18"/>
                <w:b w:val="1"/>
                <w:bCs w:val="1"/>
                <w:color w:val="auto"/>
              </w:rPr>
              <w:t>Change</w:t>
            </w:r>
          </w:p>
        </w:tc>
      </w:tr>
      <w:tr>
        <w:trPr>
          <w:trHeight w:val="210"/>
        </w:trPr>
        <w:tc>
          <w:tcPr>
            <w:tcW w:w="6860" w:type="dxa"/>
            <w:vAlign w:val="bottom"/>
            <w:tcBorders>
              <w:top w:val="single" w:sz="8" w:color="auto"/>
            </w:tcBorders>
            <w:shd w:val="clear" w:color="auto" w:fill="D5EAEA"/>
          </w:tcPr>
          <w:p>
            <w:pPr>
              <w:spacing w:after="0"/>
              <w:rPr>
                <w:sz w:val="20"/>
                <w:szCs w:val="20"/>
                <w:color w:val="auto"/>
              </w:rPr>
            </w:pPr>
            <w:r>
              <w:rPr>
                <w:rFonts w:ascii="Arial" w:cs="Arial" w:eastAsia="Arial" w:hAnsi="Arial"/>
                <w:sz w:val="18"/>
                <w:szCs w:val="18"/>
                <w:color w:val="auto"/>
              </w:rPr>
              <w:t>Discovery and preclinical expenses</w:t>
            </w:r>
          </w:p>
        </w:tc>
        <w:tc>
          <w:tcPr>
            <w:tcW w:w="120" w:type="dxa"/>
            <w:vAlign w:val="bottom"/>
            <w:tcBorders>
              <w:top w:val="single" w:sz="8" w:color="D5EAEA"/>
            </w:tcBorders>
            <w:shd w:val="clear" w:color="auto" w:fill="D5EAEA"/>
          </w:tcPr>
          <w:p>
            <w:pPr>
              <w:spacing w:after="0"/>
              <w:rPr>
                <w:sz w:val="18"/>
                <w:szCs w:val="18"/>
                <w:color w:val="auto"/>
              </w:rPr>
            </w:pPr>
          </w:p>
        </w:tc>
        <w:tc>
          <w:tcPr>
            <w:tcW w:w="1380" w:type="dxa"/>
            <w:vAlign w:val="bottom"/>
            <w:tcBorders>
              <w:top w:val="single" w:sz="8" w:color="auto"/>
            </w:tcBorders>
            <w:shd w:val="clear" w:color="auto" w:fill="D5EAEA"/>
          </w:tcPr>
          <w:p>
            <w:pPr>
              <w:jc w:val="right"/>
              <w:ind w:right="30"/>
              <w:spacing w:after="0"/>
              <w:rPr>
                <w:sz w:val="20"/>
                <w:szCs w:val="20"/>
                <w:color w:val="auto"/>
              </w:rPr>
            </w:pPr>
            <w:r>
              <w:rPr>
                <w:rFonts w:ascii="Arial" w:cs="Arial" w:eastAsia="Arial" w:hAnsi="Arial"/>
                <w:sz w:val="18"/>
                <w:szCs w:val="18"/>
                <w:color w:val="auto"/>
              </w:rPr>
              <w:t>14,413</w:t>
            </w:r>
          </w:p>
        </w:tc>
        <w:tc>
          <w:tcPr>
            <w:tcW w:w="100" w:type="dxa"/>
            <w:vAlign w:val="bottom"/>
            <w:tcBorders>
              <w:top w:val="single" w:sz="8" w:color="D5EAEA"/>
            </w:tcBorders>
            <w:shd w:val="clear" w:color="auto" w:fill="D5EAEA"/>
          </w:tcPr>
          <w:p>
            <w:pPr>
              <w:spacing w:after="0"/>
              <w:rPr>
                <w:sz w:val="18"/>
                <w:szCs w:val="18"/>
                <w:color w:val="auto"/>
              </w:rPr>
            </w:pPr>
          </w:p>
        </w:tc>
        <w:tc>
          <w:tcPr>
            <w:tcW w:w="1340" w:type="dxa"/>
            <w:vAlign w:val="bottom"/>
            <w:tcBorders>
              <w:top w:val="single" w:sz="8" w:color="auto"/>
            </w:tcBorders>
            <w:shd w:val="clear" w:color="auto" w:fill="D5EAEA"/>
          </w:tcPr>
          <w:p>
            <w:pPr>
              <w:jc w:val="right"/>
              <w:ind w:right="30"/>
              <w:spacing w:after="0"/>
              <w:rPr>
                <w:sz w:val="20"/>
                <w:szCs w:val="20"/>
                <w:color w:val="auto"/>
              </w:rPr>
            </w:pPr>
            <w:r>
              <w:rPr>
                <w:rFonts w:ascii="Arial" w:cs="Arial" w:eastAsia="Arial" w:hAnsi="Arial"/>
                <w:sz w:val="18"/>
                <w:szCs w:val="18"/>
                <w:color w:val="auto"/>
              </w:rPr>
              <w:t>14,115</w:t>
            </w:r>
          </w:p>
        </w:tc>
        <w:tc>
          <w:tcPr>
            <w:tcW w:w="100" w:type="dxa"/>
            <w:vAlign w:val="bottom"/>
            <w:tcBorders>
              <w:top w:val="single" w:sz="8" w:color="D5EAEA"/>
            </w:tcBorders>
            <w:shd w:val="clear" w:color="auto" w:fill="D5EAEA"/>
          </w:tcPr>
          <w:p>
            <w:pPr>
              <w:spacing w:after="0"/>
              <w:rPr>
                <w:sz w:val="18"/>
                <w:szCs w:val="18"/>
                <w:color w:val="auto"/>
              </w:rPr>
            </w:pPr>
          </w:p>
        </w:tc>
        <w:tc>
          <w:tcPr>
            <w:tcW w:w="1340" w:type="dxa"/>
            <w:vAlign w:val="bottom"/>
            <w:tcBorders>
              <w:top w:val="single" w:sz="8" w:color="auto"/>
            </w:tcBorders>
            <w:shd w:val="clear" w:color="auto" w:fill="D5EAEA"/>
          </w:tcPr>
          <w:p>
            <w:pPr>
              <w:jc w:val="right"/>
              <w:ind w:right="10"/>
              <w:spacing w:after="0"/>
              <w:rPr>
                <w:sz w:val="20"/>
                <w:szCs w:val="20"/>
                <w:color w:val="auto"/>
              </w:rPr>
            </w:pPr>
            <w:r>
              <w:rPr>
                <w:rFonts w:ascii="Arial" w:cs="Arial" w:eastAsia="Arial" w:hAnsi="Arial"/>
                <w:sz w:val="18"/>
                <w:szCs w:val="18"/>
                <w:color w:val="auto"/>
              </w:rPr>
              <w:t>298</w:t>
            </w:r>
          </w:p>
        </w:tc>
      </w:tr>
      <w:tr>
        <w:trPr>
          <w:trHeight w:val="216"/>
        </w:trPr>
        <w:tc>
          <w:tcPr>
            <w:tcW w:w="6980" w:type="dxa"/>
            <w:vAlign w:val="bottom"/>
            <w:gridSpan w:val="2"/>
          </w:tcPr>
          <w:p>
            <w:pPr>
              <w:spacing w:after="0"/>
              <w:rPr>
                <w:sz w:val="20"/>
                <w:szCs w:val="20"/>
                <w:color w:val="auto"/>
              </w:rPr>
            </w:pPr>
            <w:r>
              <w:rPr>
                <w:rFonts w:ascii="Arial" w:cs="Arial" w:eastAsia="Arial" w:hAnsi="Arial"/>
                <w:sz w:val="18"/>
                <w:szCs w:val="18"/>
                <w:color w:val="auto"/>
              </w:rPr>
              <w:t>Clinical expenses</w:t>
            </w: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9,349</w:t>
            </w:r>
          </w:p>
        </w:tc>
        <w:tc>
          <w:tcPr>
            <w:tcW w:w="100" w:type="dxa"/>
            <w:vAlign w:val="bottom"/>
          </w:tcPr>
          <w:p>
            <w:pPr>
              <w:spacing w:after="0"/>
              <w:rPr>
                <w:sz w:val="18"/>
                <w:szCs w:val="18"/>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13,318</w:t>
            </w:r>
          </w:p>
        </w:tc>
        <w:tc>
          <w:tcPr>
            <w:tcW w:w="1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(3,969)</w:t>
            </w:r>
          </w:p>
        </w:tc>
      </w:tr>
      <w:tr>
        <w:trPr>
          <w:trHeight w:val="230"/>
        </w:trPr>
        <w:tc>
          <w:tcPr>
            <w:tcW w:w="6980" w:type="dxa"/>
            <w:vAlign w:val="bottom"/>
            <w:gridSpan w:val="2"/>
            <w:shd w:val="clear" w:color="auto" w:fill="D5EAEA"/>
          </w:tcPr>
          <w:p>
            <w:pPr>
              <w:spacing w:after="0"/>
              <w:rPr>
                <w:sz w:val="20"/>
                <w:szCs w:val="20"/>
                <w:color w:val="auto"/>
              </w:rPr>
            </w:pPr>
            <w:r>
              <w:rPr>
                <w:rFonts w:ascii="Arial" w:cs="Arial" w:eastAsia="Arial" w:hAnsi="Arial"/>
                <w:sz w:val="18"/>
                <w:szCs w:val="18"/>
                <w:color w:val="auto"/>
              </w:rPr>
              <w:t>Group function expenses</w:t>
            </w:r>
          </w:p>
        </w:tc>
        <w:tc>
          <w:tcPr>
            <w:tcW w:w="1380" w:type="dxa"/>
            <w:vAlign w:val="bottom"/>
            <w:tcBorders>
              <w:bottom w:val="single" w:sz="8" w:color="auto"/>
            </w:tcBorders>
            <w:shd w:val="clear" w:color="auto" w:fill="D5EAEA"/>
          </w:tcPr>
          <w:p>
            <w:pPr>
              <w:jc w:val="right"/>
              <w:ind w:right="30"/>
              <w:spacing w:after="0"/>
              <w:rPr>
                <w:sz w:val="20"/>
                <w:szCs w:val="20"/>
                <w:color w:val="auto"/>
              </w:rPr>
            </w:pPr>
            <w:r>
              <w:rPr>
                <w:rFonts w:ascii="Arial" w:cs="Arial" w:eastAsia="Arial" w:hAnsi="Arial"/>
                <w:sz w:val="18"/>
                <w:szCs w:val="18"/>
                <w:color w:val="auto"/>
              </w:rPr>
              <w:t>688</w:t>
            </w:r>
          </w:p>
        </w:tc>
        <w:tc>
          <w:tcPr>
            <w:tcW w:w="100" w:type="dxa"/>
            <w:vAlign w:val="bottom"/>
            <w:shd w:val="clear" w:color="auto" w:fill="D5EAEA"/>
          </w:tcPr>
          <w:p>
            <w:pPr>
              <w:spacing w:after="0"/>
              <w:rPr>
                <w:sz w:val="19"/>
                <w:szCs w:val="19"/>
                <w:color w:val="auto"/>
              </w:rPr>
            </w:pPr>
          </w:p>
        </w:tc>
        <w:tc>
          <w:tcPr>
            <w:tcW w:w="1340" w:type="dxa"/>
            <w:vAlign w:val="bottom"/>
            <w:tcBorders>
              <w:bottom w:val="single" w:sz="8" w:color="auto"/>
            </w:tcBorders>
            <w:shd w:val="clear" w:color="auto" w:fill="D5EAEA"/>
          </w:tcPr>
          <w:p>
            <w:pPr>
              <w:jc w:val="right"/>
              <w:ind w:right="30"/>
              <w:spacing w:after="0"/>
              <w:rPr>
                <w:sz w:val="20"/>
                <w:szCs w:val="20"/>
                <w:color w:val="auto"/>
              </w:rPr>
            </w:pPr>
            <w:r>
              <w:rPr>
                <w:rFonts w:ascii="Arial" w:cs="Arial" w:eastAsia="Arial" w:hAnsi="Arial"/>
                <w:sz w:val="18"/>
                <w:szCs w:val="18"/>
                <w:color w:val="auto"/>
              </w:rPr>
              <w:t>763</w:t>
            </w:r>
          </w:p>
        </w:tc>
        <w:tc>
          <w:tcPr>
            <w:tcW w:w="100" w:type="dxa"/>
            <w:vAlign w:val="bottom"/>
            <w:shd w:val="clear" w:color="auto" w:fill="D5EAEA"/>
          </w:tcPr>
          <w:p>
            <w:pPr>
              <w:spacing w:after="0"/>
              <w:rPr>
                <w:sz w:val="19"/>
                <w:szCs w:val="19"/>
                <w:color w:val="auto"/>
              </w:rPr>
            </w:pPr>
          </w:p>
        </w:tc>
        <w:tc>
          <w:tcPr>
            <w:tcW w:w="1340" w:type="dxa"/>
            <w:vAlign w:val="bottom"/>
            <w:tcBorders>
              <w:bottom w:val="single" w:sz="8" w:color="auto"/>
            </w:tcBorders>
            <w:shd w:val="clear" w:color="auto" w:fill="D5EAEA"/>
          </w:tcPr>
          <w:p>
            <w:pPr>
              <w:jc w:val="right"/>
              <w:spacing w:after="0"/>
              <w:rPr>
                <w:sz w:val="20"/>
                <w:szCs w:val="20"/>
                <w:color w:val="auto"/>
              </w:rPr>
            </w:pPr>
            <w:r>
              <w:rPr>
                <w:rFonts w:ascii="Arial" w:cs="Arial" w:eastAsia="Arial" w:hAnsi="Arial"/>
                <w:sz w:val="18"/>
                <w:szCs w:val="18"/>
                <w:color w:val="auto"/>
              </w:rPr>
              <w:t>(75)</w:t>
            </w:r>
          </w:p>
        </w:tc>
      </w:tr>
      <w:tr>
        <w:trPr>
          <w:trHeight w:val="263"/>
        </w:trPr>
        <w:tc>
          <w:tcPr>
            <w:tcW w:w="6980" w:type="dxa"/>
            <w:vAlign w:val="bottom"/>
            <w:tcBorders>
              <w:bottom w:val="single" w:sz="8" w:color="D5EAEA"/>
            </w:tcBorders>
            <w:gridSpan w:val="2"/>
          </w:tcPr>
          <w:p>
            <w:pPr>
              <w:spacing w:after="0"/>
              <w:rPr>
                <w:sz w:val="20"/>
                <w:szCs w:val="20"/>
                <w:color w:val="auto"/>
              </w:rPr>
            </w:pPr>
            <w:r>
              <w:rPr>
                <w:rFonts w:ascii="Arial" w:cs="Arial" w:eastAsia="Arial" w:hAnsi="Arial"/>
                <w:sz w:val="18"/>
                <w:szCs w:val="18"/>
                <w:b w:val="1"/>
                <w:bCs w:val="1"/>
                <w:color w:val="auto"/>
              </w:rPr>
              <w:t>Total Direct R&amp;D</w:t>
            </w:r>
          </w:p>
        </w:tc>
        <w:tc>
          <w:tcPr>
            <w:tcW w:w="13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24,450</w:t>
            </w:r>
          </w:p>
        </w:tc>
        <w:tc>
          <w:tcPr>
            <w:tcW w:w="100" w:type="dxa"/>
            <w:vAlign w:val="bottom"/>
            <w:tcBorders>
              <w:bottom w:val="single" w:sz="8" w:color="D5EAEA"/>
            </w:tcBorders>
          </w:tcPr>
          <w:p>
            <w:pPr>
              <w:spacing w:after="0"/>
              <w:rPr>
                <w:sz w:val="22"/>
                <w:szCs w:val="22"/>
                <w:color w:val="auto"/>
              </w:rPr>
            </w:pPr>
          </w:p>
        </w:tc>
        <w:tc>
          <w:tcPr>
            <w:tcW w:w="13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28,196</w:t>
            </w:r>
          </w:p>
        </w:tc>
        <w:tc>
          <w:tcPr>
            <w:tcW w:w="100" w:type="dxa"/>
            <w:vAlign w:val="bottom"/>
            <w:tcBorders>
              <w:bottom w:val="single" w:sz="8" w:color="D5EAEA"/>
            </w:tcBorders>
          </w:tcPr>
          <w:p>
            <w:pPr>
              <w:spacing w:after="0"/>
              <w:rPr>
                <w:sz w:val="22"/>
                <w:szCs w:val="22"/>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(3,746)</w:t>
            </w:r>
          </w:p>
        </w:tc>
      </w:tr>
      <w:tr>
        <w:trPr>
          <w:trHeight w:val="197"/>
        </w:trPr>
        <w:tc>
          <w:tcPr>
            <w:tcW w:w="6980" w:type="dxa"/>
            <w:vAlign w:val="bottom"/>
            <w:gridSpan w:val="2"/>
            <w:shd w:val="clear" w:color="auto" w:fill="D5EAEA"/>
          </w:tcPr>
          <w:p>
            <w:pPr>
              <w:spacing w:after="0" w:line="196" w:lineRule="exact"/>
              <w:rPr>
                <w:sz w:val="20"/>
                <w:szCs w:val="20"/>
                <w:color w:val="auto"/>
              </w:rPr>
            </w:pPr>
            <w:r>
              <w:rPr>
                <w:rFonts w:ascii="Arial" w:cs="Arial" w:eastAsia="Arial" w:hAnsi="Arial"/>
                <w:sz w:val="18"/>
                <w:szCs w:val="18"/>
                <w:color w:val="auto"/>
              </w:rPr>
              <w:t>Payroll expenses</w:t>
            </w:r>
          </w:p>
        </w:tc>
        <w:tc>
          <w:tcPr>
            <w:tcW w:w="1380" w:type="dxa"/>
            <w:vAlign w:val="bottom"/>
            <w:shd w:val="clear" w:color="auto" w:fill="D5EAEA"/>
          </w:tcPr>
          <w:p>
            <w:pPr>
              <w:jc w:val="right"/>
              <w:ind w:right="30"/>
              <w:spacing w:after="0" w:line="196" w:lineRule="exact"/>
              <w:rPr>
                <w:sz w:val="20"/>
                <w:szCs w:val="20"/>
                <w:color w:val="auto"/>
              </w:rPr>
            </w:pPr>
            <w:r>
              <w:rPr>
                <w:rFonts w:ascii="Arial" w:cs="Arial" w:eastAsia="Arial" w:hAnsi="Arial"/>
                <w:sz w:val="18"/>
                <w:szCs w:val="18"/>
                <w:color w:val="auto"/>
              </w:rPr>
              <w:t>12,393</w:t>
            </w:r>
          </w:p>
        </w:tc>
        <w:tc>
          <w:tcPr>
            <w:tcW w:w="100" w:type="dxa"/>
            <w:vAlign w:val="bottom"/>
            <w:shd w:val="clear" w:color="auto" w:fill="D5EAEA"/>
          </w:tcPr>
          <w:p>
            <w:pPr>
              <w:spacing w:after="0"/>
              <w:rPr>
                <w:sz w:val="17"/>
                <w:szCs w:val="17"/>
                <w:color w:val="auto"/>
              </w:rPr>
            </w:pPr>
          </w:p>
        </w:tc>
        <w:tc>
          <w:tcPr>
            <w:tcW w:w="1340" w:type="dxa"/>
            <w:vAlign w:val="bottom"/>
            <w:shd w:val="clear" w:color="auto" w:fill="D5EAEA"/>
          </w:tcPr>
          <w:p>
            <w:pPr>
              <w:jc w:val="right"/>
              <w:ind w:right="30"/>
              <w:spacing w:after="0" w:line="196" w:lineRule="exact"/>
              <w:rPr>
                <w:sz w:val="20"/>
                <w:szCs w:val="20"/>
                <w:color w:val="auto"/>
              </w:rPr>
            </w:pPr>
            <w:r>
              <w:rPr>
                <w:rFonts w:ascii="Arial" w:cs="Arial" w:eastAsia="Arial" w:hAnsi="Arial"/>
                <w:sz w:val="18"/>
                <w:szCs w:val="18"/>
                <w:color w:val="auto"/>
              </w:rPr>
              <w:t>10,671</w:t>
            </w:r>
          </w:p>
        </w:tc>
        <w:tc>
          <w:tcPr>
            <w:tcW w:w="100" w:type="dxa"/>
            <w:vAlign w:val="bottom"/>
            <w:shd w:val="clear" w:color="auto" w:fill="D5EAEA"/>
          </w:tcPr>
          <w:p>
            <w:pPr>
              <w:spacing w:after="0"/>
              <w:rPr>
                <w:sz w:val="17"/>
                <w:szCs w:val="17"/>
                <w:color w:val="auto"/>
              </w:rPr>
            </w:pPr>
          </w:p>
        </w:tc>
        <w:tc>
          <w:tcPr>
            <w:tcW w:w="1340" w:type="dxa"/>
            <w:vAlign w:val="bottom"/>
            <w:shd w:val="clear" w:color="auto" w:fill="D5EAEA"/>
          </w:tcPr>
          <w:p>
            <w:pPr>
              <w:jc w:val="right"/>
              <w:ind w:right="10"/>
              <w:spacing w:after="0" w:line="196" w:lineRule="exact"/>
              <w:rPr>
                <w:sz w:val="20"/>
                <w:szCs w:val="20"/>
                <w:color w:val="auto"/>
              </w:rPr>
            </w:pPr>
            <w:r>
              <w:rPr>
                <w:rFonts w:ascii="Arial" w:cs="Arial" w:eastAsia="Arial" w:hAnsi="Arial"/>
                <w:sz w:val="18"/>
                <w:szCs w:val="18"/>
                <w:color w:val="auto"/>
              </w:rPr>
              <w:t>1,722</w:t>
            </w:r>
          </w:p>
        </w:tc>
      </w:tr>
      <w:tr>
        <w:trPr>
          <w:trHeight w:val="216"/>
        </w:trPr>
        <w:tc>
          <w:tcPr>
            <w:tcW w:w="6980" w:type="dxa"/>
            <w:vAlign w:val="bottom"/>
            <w:gridSpan w:val="2"/>
          </w:tcPr>
          <w:p>
            <w:pPr>
              <w:spacing w:after="0"/>
              <w:rPr>
                <w:sz w:val="20"/>
                <w:szCs w:val="20"/>
                <w:color w:val="auto"/>
              </w:rPr>
            </w:pPr>
            <w:r>
              <w:rPr>
                <w:rFonts w:ascii="Arial" w:cs="Arial" w:eastAsia="Arial" w:hAnsi="Arial"/>
                <w:sz w:val="18"/>
                <w:szCs w:val="18"/>
                <w:color w:val="auto"/>
              </w:rPr>
              <w:t>Share-based compensation</w:t>
            </w: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1,146</w:t>
            </w:r>
          </w:p>
        </w:tc>
        <w:tc>
          <w:tcPr>
            <w:tcW w:w="100" w:type="dxa"/>
            <w:vAlign w:val="bottom"/>
          </w:tcPr>
          <w:p>
            <w:pPr>
              <w:spacing w:after="0"/>
              <w:rPr>
                <w:sz w:val="18"/>
                <w:szCs w:val="18"/>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984</w:t>
            </w:r>
          </w:p>
        </w:tc>
        <w:tc>
          <w:tcPr>
            <w:tcW w:w="100" w:type="dxa"/>
            <w:vAlign w:val="bottom"/>
          </w:tcPr>
          <w:p>
            <w:pPr>
              <w:spacing w:after="0"/>
              <w:rPr>
                <w:sz w:val="18"/>
                <w:szCs w:val="18"/>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162</w:t>
            </w:r>
          </w:p>
        </w:tc>
      </w:tr>
      <w:tr>
        <w:trPr>
          <w:trHeight w:val="230"/>
        </w:trPr>
        <w:tc>
          <w:tcPr>
            <w:tcW w:w="6980" w:type="dxa"/>
            <w:vAlign w:val="bottom"/>
            <w:gridSpan w:val="2"/>
            <w:shd w:val="clear" w:color="auto" w:fill="D5EAEA"/>
          </w:tcPr>
          <w:p>
            <w:pPr>
              <w:spacing w:after="0"/>
              <w:rPr>
                <w:sz w:val="20"/>
                <w:szCs w:val="20"/>
                <w:color w:val="auto"/>
              </w:rPr>
            </w:pPr>
            <w:r>
              <w:rPr>
                <w:rFonts w:ascii="Arial" w:cs="Arial" w:eastAsia="Arial" w:hAnsi="Arial"/>
                <w:sz w:val="18"/>
                <w:szCs w:val="18"/>
                <w:color w:val="auto"/>
              </w:rPr>
              <w:t>Other non-allocated</w:t>
            </w:r>
          </w:p>
        </w:tc>
        <w:tc>
          <w:tcPr>
            <w:tcW w:w="1380" w:type="dxa"/>
            <w:vAlign w:val="bottom"/>
            <w:tcBorders>
              <w:bottom w:val="single" w:sz="8" w:color="auto"/>
            </w:tcBorders>
            <w:shd w:val="clear" w:color="auto" w:fill="D5EAEA"/>
          </w:tcPr>
          <w:p>
            <w:pPr>
              <w:jc w:val="right"/>
              <w:ind w:right="30"/>
              <w:spacing w:after="0"/>
              <w:rPr>
                <w:sz w:val="20"/>
                <w:szCs w:val="20"/>
                <w:color w:val="auto"/>
              </w:rPr>
            </w:pPr>
            <w:r>
              <w:rPr>
                <w:rFonts w:ascii="Arial" w:cs="Arial" w:eastAsia="Arial" w:hAnsi="Arial"/>
                <w:sz w:val="18"/>
                <w:szCs w:val="18"/>
                <w:color w:val="auto"/>
              </w:rPr>
              <w:t>4,169</w:t>
            </w:r>
          </w:p>
        </w:tc>
        <w:tc>
          <w:tcPr>
            <w:tcW w:w="100" w:type="dxa"/>
            <w:vAlign w:val="bottom"/>
            <w:shd w:val="clear" w:color="auto" w:fill="D5EAEA"/>
          </w:tcPr>
          <w:p>
            <w:pPr>
              <w:spacing w:after="0"/>
              <w:rPr>
                <w:sz w:val="19"/>
                <w:szCs w:val="19"/>
                <w:color w:val="auto"/>
              </w:rPr>
            </w:pPr>
          </w:p>
        </w:tc>
        <w:tc>
          <w:tcPr>
            <w:tcW w:w="1340" w:type="dxa"/>
            <w:vAlign w:val="bottom"/>
            <w:tcBorders>
              <w:bottom w:val="single" w:sz="8" w:color="auto"/>
            </w:tcBorders>
            <w:shd w:val="clear" w:color="auto" w:fill="D5EAEA"/>
          </w:tcPr>
          <w:p>
            <w:pPr>
              <w:jc w:val="right"/>
              <w:ind w:right="30"/>
              <w:spacing w:after="0"/>
              <w:rPr>
                <w:sz w:val="20"/>
                <w:szCs w:val="20"/>
                <w:color w:val="auto"/>
              </w:rPr>
            </w:pPr>
            <w:r>
              <w:rPr>
                <w:rFonts w:ascii="Arial" w:cs="Arial" w:eastAsia="Arial" w:hAnsi="Arial"/>
                <w:sz w:val="18"/>
                <w:szCs w:val="18"/>
                <w:color w:val="auto"/>
              </w:rPr>
              <w:t>3,685</w:t>
            </w:r>
          </w:p>
        </w:tc>
        <w:tc>
          <w:tcPr>
            <w:tcW w:w="100" w:type="dxa"/>
            <w:vAlign w:val="bottom"/>
            <w:shd w:val="clear" w:color="auto" w:fill="D5EAEA"/>
          </w:tcPr>
          <w:p>
            <w:pPr>
              <w:spacing w:after="0"/>
              <w:rPr>
                <w:sz w:val="19"/>
                <w:szCs w:val="19"/>
                <w:color w:val="auto"/>
              </w:rPr>
            </w:pPr>
          </w:p>
        </w:tc>
        <w:tc>
          <w:tcPr>
            <w:tcW w:w="1340" w:type="dxa"/>
            <w:vAlign w:val="bottom"/>
            <w:tcBorders>
              <w:bottom w:val="single" w:sz="8" w:color="auto"/>
            </w:tcBorders>
            <w:shd w:val="clear" w:color="auto" w:fill="D5EAEA"/>
          </w:tcPr>
          <w:p>
            <w:pPr>
              <w:jc w:val="right"/>
              <w:ind w:right="10"/>
              <w:spacing w:after="0"/>
              <w:rPr>
                <w:sz w:val="20"/>
                <w:szCs w:val="20"/>
                <w:color w:val="auto"/>
              </w:rPr>
            </w:pPr>
            <w:r>
              <w:rPr>
                <w:rFonts w:ascii="Arial" w:cs="Arial" w:eastAsia="Arial" w:hAnsi="Arial"/>
                <w:sz w:val="18"/>
                <w:szCs w:val="18"/>
                <w:color w:val="auto"/>
              </w:rPr>
              <w:t>484</w:t>
            </w:r>
          </w:p>
        </w:tc>
      </w:tr>
      <w:tr>
        <w:trPr>
          <w:trHeight w:val="223"/>
        </w:trPr>
        <w:tc>
          <w:tcPr>
            <w:tcW w:w="6980" w:type="dxa"/>
            <w:vAlign w:val="bottom"/>
            <w:gridSpan w:val="2"/>
          </w:tcPr>
          <w:p>
            <w:pPr>
              <w:spacing w:after="0"/>
              <w:rPr>
                <w:sz w:val="20"/>
                <w:szCs w:val="20"/>
                <w:color w:val="auto"/>
              </w:rPr>
            </w:pPr>
            <w:r>
              <w:rPr>
                <w:rFonts w:ascii="Arial" w:cs="Arial" w:eastAsia="Arial" w:hAnsi="Arial"/>
                <w:sz w:val="18"/>
                <w:szCs w:val="18"/>
                <w:b w:val="1"/>
                <w:bCs w:val="1"/>
                <w:color w:val="auto"/>
              </w:rPr>
              <w:t>Total R&amp;D</w:t>
            </w:r>
          </w:p>
        </w:tc>
        <w:tc>
          <w:tcPr>
            <w:tcW w:w="13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42,158</w:t>
            </w:r>
          </w:p>
        </w:tc>
        <w:tc>
          <w:tcPr>
            <w:tcW w:w="100" w:type="dxa"/>
            <w:vAlign w:val="bottom"/>
          </w:tcPr>
          <w:p>
            <w:pPr>
              <w:spacing w:after="0"/>
              <w:rPr>
                <w:sz w:val="19"/>
                <w:szCs w:val="19"/>
                <w:color w:val="auto"/>
              </w:rPr>
            </w:pPr>
          </w:p>
        </w:tc>
        <w:tc>
          <w:tcPr>
            <w:tcW w:w="13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43,536</w:t>
            </w:r>
          </w:p>
        </w:tc>
        <w:tc>
          <w:tcPr>
            <w:tcW w:w="100" w:type="dxa"/>
            <w:vAlign w:val="bottom"/>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(1,378)</w:t>
            </w:r>
          </w:p>
        </w:tc>
      </w:tr>
      <w:tr>
        <w:trPr>
          <w:trHeight w:val="20"/>
        </w:trPr>
        <w:tc>
          <w:tcPr>
            <w:tcW w:w="6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920" w:type="dxa"/>
            <w:vAlign w:val="bottom"/>
            <w:gridSpan w:val="4"/>
          </w:tcPr>
          <w:p>
            <w:pPr>
              <w:ind w:left="600"/>
              <w:spacing w:after="0"/>
              <w:rPr>
                <w:sz w:val="20"/>
                <w:szCs w:val="20"/>
                <w:color w:val="auto"/>
              </w:rPr>
            </w:pPr>
            <w:r>
              <w:rPr>
                <w:rFonts w:ascii="Arial" w:cs="Arial" w:eastAsia="Arial" w:hAnsi="Arial"/>
                <w:sz w:val="18"/>
                <w:szCs w:val="18"/>
                <w:b w:val="1"/>
                <w:bCs w:val="1"/>
                <w:color w:val="auto"/>
              </w:rPr>
              <w:t>For the Nine Months</w:t>
            </w:r>
          </w:p>
        </w:tc>
        <w:tc>
          <w:tcPr>
            <w:tcW w:w="1340" w:type="dxa"/>
            <w:vAlign w:val="bottom"/>
          </w:tcPr>
          <w:p>
            <w:pPr>
              <w:spacing w:after="0"/>
              <w:rPr>
                <w:sz w:val="18"/>
                <w:szCs w:val="18"/>
                <w:color w:val="auto"/>
              </w:rPr>
            </w:pPr>
          </w:p>
        </w:tc>
      </w:tr>
      <w:tr>
        <w:trPr>
          <w:trHeight w:val="234"/>
        </w:trPr>
        <w:tc>
          <w:tcPr>
            <w:tcW w:w="6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920" w:type="dxa"/>
            <w:vAlign w:val="bottom"/>
            <w:gridSpan w:val="4"/>
          </w:tcPr>
          <w:p>
            <w:pPr>
              <w:ind w:left="580"/>
              <w:spacing w:after="0"/>
              <w:rPr>
                <w:sz w:val="20"/>
                <w:szCs w:val="20"/>
                <w:color w:val="auto"/>
              </w:rPr>
            </w:pPr>
            <w:r>
              <w:rPr>
                <w:rFonts w:ascii="Arial" w:cs="Arial" w:eastAsia="Arial" w:hAnsi="Arial"/>
                <w:sz w:val="18"/>
                <w:szCs w:val="18"/>
                <w:b w:val="1"/>
                <w:bCs w:val="1"/>
                <w:color w:val="auto"/>
              </w:rPr>
              <w:t>Ended September 30,</w:t>
            </w:r>
          </w:p>
        </w:tc>
        <w:tc>
          <w:tcPr>
            <w:tcW w:w="1340" w:type="dxa"/>
            <w:vAlign w:val="bottom"/>
          </w:tcPr>
          <w:p>
            <w:pPr>
              <w:spacing w:after="0"/>
              <w:rPr>
                <w:sz w:val="20"/>
                <w:szCs w:val="20"/>
                <w:color w:val="auto"/>
              </w:rPr>
            </w:pPr>
          </w:p>
        </w:tc>
      </w:tr>
      <w:tr>
        <w:trPr>
          <w:trHeight w:val="223"/>
        </w:trPr>
        <w:tc>
          <w:tcPr>
            <w:tcW w:w="6980" w:type="dxa"/>
            <w:vAlign w:val="bottom"/>
            <w:gridSpan w:val="2"/>
          </w:tcPr>
          <w:p>
            <w:pPr>
              <w:ind w:left="2300"/>
              <w:spacing w:after="0"/>
              <w:rPr>
                <w:sz w:val="20"/>
                <w:szCs w:val="20"/>
                <w:color w:val="auto"/>
              </w:rPr>
            </w:pPr>
            <w:r>
              <w:rPr>
                <w:rFonts w:ascii="Arial" w:cs="Arial" w:eastAsia="Arial" w:hAnsi="Arial"/>
                <w:sz w:val="18"/>
                <w:szCs w:val="18"/>
                <w:b w:val="1"/>
                <w:bCs w:val="1"/>
                <w:color w:val="auto"/>
              </w:rPr>
              <w:t>in CHF thousands, unaudited</w:t>
            </w:r>
          </w:p>
        </w:tc>
        <w:tc>
          <w:tcPr>
            <w:tcW w:w="1380" w:type="dxa"/>
            <w:vAlign w:val="bottom"/>
            <w:tcBorders>
              <w:top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top w:val="single" w:sz="8" w:color="auto"/>
            </w:tcBorders>
          </w:tcPr>
          <w:p>
            <w:pPr>
              <w:spacing w:after="0"/>
              <w:rPr>
                <w:sz w:val="19"/>
                <w:szCs w:val="19"/>
                <w:color w:val="auto"/>
              </w:rPr>
            </w:pPr>
          </w:p>
        </w:tc>
        <w:tc>
          <w:tcPr>
            <w:tcW w:w="1340" w:type="dxa"/>
            <w:vAlign w:val="bottom"/>
            <w:tcBorders>
              <w:top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9"/>
                <w:szCs w:val="19"/>
                <w:color w:val="auto"/>
              </w:rPr>
            </w:pPr>
          </w:p>
        </w:tc>
        <w:tc>
          <w:tcPr>
            <w:tcW w:w="1340" w:type="dxa"/>
            <w:vAlign w:val="bottom"/>
          </w:tcPr>
          <w:p>
            <w:pPr>
              <w:jc w:val="right"/>
              <w:ind w:right="290"/>
              <w:spacing w:after="0"/>
              <w:rPr>
                <w:sz w:val="20"/>
                <w:szCs w:val="20"/>
                <w:color w:val="auto"/>
              </w:rPr>
            </w:pPr>
            <w:r>
              <w:rPr>
                <w:rFonts w:ascii="Arial" w:cs="Arial" w:eastAsia="Arial" w:hAnsi="Arial"/>
                <w:sz w:val="18"/>
                <w:szCs w:val="18"/>
                <w:b w:val="1"/>
                <w:bCs w:val="1"/>
                <w:color w:val="auto"/>
              </w:rPr>
              <w:t>Change</w:t>
            </w:r>
          </w:p>
        </w:tc>
      </w:tr>
      <w:tr>
        <w:trPr>
          <w:trHeight w:val="250"/>
        </w:trPr>
        <w:tc>
          <w:tcPr>
            <w:tcW w:w="6860" w:type="dxa"/>
            <w:vAlign w:val="bottom"/>
            <w:tcBorders>
              <w:top w:val="single" w:sz="8" w:color="auto"/>
            </w:tcBorders>
            <w:shd w:val="clear" w:color="auto" w:fill="D5EAEA"/>
          </w:tcPr>
          <w:p>
            <w:pPr>
              <w:spacing w:after="0" w:line="250" w:lineRule="exact"/>
              <w:rPr>
                <w:sz w:val="20"/>
                <w:szCs w:val="20"/>
                <w:color w:val="auto"/>
              </w:rPr>
            </w:pPr>
            <w:r>
              <w:rPr>
                <w:rFonts w:ascii="Arial" w:cs="Arial" w:eastAsia="Arial" w:hAnsi="Arial"/>
                <w:sz w:val="17"/>
                <w:szCs w:val="17"/>
                <w:color w:val="auto"/>
              </w:rPr>
              <w:t>Operating expenses</w:t>
            </w:r>
            <w:r>
              <w:rPr>
                <w:rFonts w:ascii="Arial" w:cs="Arial" w:eastAsia="Arial" w:hAnsi="Arial"/>
                <w:sz w:val="28"/>
                <w:szCs w:val="28"/>
                <w:color w:val="auto"/>
                <w:vertAlign w:val="superscript"/>
              </w:rPr>
              <w:t>1</w:t>
            </w:r>
          </w:p>
        </w:tc>
        <w:tc>
          <w:tcPr>
            <w:tcW w:w="120" w:type="dxa"/>
            <w:vAlign w:val="bottom"/>
            <w:tcBorders>
              <w:top w:val="single" w:sz="8" w:color="D5EAEA"/>
            </w:tcBorders>
            <w:shd w:val="clear" w:color="auto" w:fill="D5EAEA"/>
          </w:tcPr>
          <w:p>
            <w:pPr>
              <w:spacing w:after="0"/>
              <w:rPr>
                <w:sz w:val="21"/>
                <w:szCs w:val="21"/>
                <w:color w:val="auto"/>
              </w:rPr>
            </w:pPr>
          </w:p>
        </w:tc>
        <w:tc>
          <w:tcPr>
            <w:tcW w:w="1380" w:type="dxa"/>
            <w:vAlign w:val="bottom"/>
            <w:tcBorders>
              <w:top w:val="single" w:sz="8" w:color="auto"/>
            </w:tcBorders>
            <w:shd w:val="clear" w:color="auto" w:fill="D5EAEA"/>
          </w:tcPr>
          <w:p>
            <w:pPr>
              <w:jc w:val="right"/>
              <w:ind w:right="30"/>
              <w:spacing w:after="0"/>
              <w:rPr>
                <w:sz w:val="20"/>
                <w:szCs w:val="20"/>
                <w:color w:val="auto"/>
              </w:rPr>
            </w:pPr>
            <w:r>
              <w:rPr>
                <w:rFonts w:ascii="Arial" w:cs="Arial" w:eastAsia="Arial" w:hAnsi="Arial"/>
                <w:sz w:val="18"/>
                <w:szCs w:val="18"/>
                <w:color w:val="auto"/>
              </w:rPr>
              <w:t>28,619</w:t>
            </w:r>
          </w:p>
        </w:tc>
        <w:tc>
          <w:tcPr>
            <w:tcW w:w="100" w:type="dxa"/>
            <w:vAlign w:val="bottom"/>
            <w:tcBorders>
              <w:top w:val="single" w:sz="8" w:color="D5EAEA"/>
            </w:tcBorders>
            <w:shd w:val="clear" w:color="auto" w:fill="D5EAEA"/>
          </w:tcPr>
          <w:p>
            <w:pPr>
              <w:spacing w:after="0"/>
              <w:rPr>
                <w:sz w:val="21"/>
                <w:szCs w:val="21"/>
                <w:color w:val="auto"/>
              </w:rPr>
            </w:pPr>
          </w:p>
        </w:tc>
        <w:tc>
          <w:tcPr>
            <w:tcW w:w="1340" w:type="dxa"/>
            <w:vAlign w:val="bottom"/>
            <w:tcBorders>
              <w:top w:val="single" w:sz="8" w:color="auto"/>
            </w:tcBorders>
            <w:shd w:val="clear" w:color="auto" w:fill="D5EAEA"/>
          </w:tcPr>
          <w:p>
            <w:pPr>
              <w:jc w:val="right"/>
              <w:ind w:right="30"/>
              <w:spacing w:after="0"/>
              <w:rPr>
                <w:sz w:val="20"/>
                <w:szCs w:val="20"/>
                <w:color w:val="auto"/>
              </w:rPr>
            </w:pPr>
            <w:r>
              <w:rPr>
                <w:rFonts w:ascii="Arial" w:cs="Arial" w:eastAsia="Arial" w:hAnsi="Arial"/>
                <w:sz w:val="18"/>
                <w:szCs w:val="18"/>
                <w:color w:val="auto"/>
              </w:rPr>
              <w:t>31,881</w:t>
            </w:r>
          </w:p>
        </w:tc>
        <w:tc>
          <w:tcPr>
            <w:tcW w:w="100" w:type="dxa"/>
            <w:vAlign w:val="bottom"/>
            <w:tcBorders>
              <w:top w:val="single" w:sz="8" w:color="D5EAEA"/>
            </w:tcBorders>
            <w:shd w:val="clear" w:color="auto" w:fill="D5EAEA"/>
          </w:tcPr>
          <w:p>
            <w:pPr>
              <w:spacing w:after="0"/>
              <w:rPr>
                <w:sz w:val="21"/>
                <w:szCs w:val="21"/>
                <w:color w:val="auto"/>
              </w:rPr>
            </w:pPr>
          </w:p>
        </w:tc>
        <w:tc>
          <w:tcPr>
            <w:tcW w:w="1340" w:type="dxa"/>
            <w:vAlign w:val="bottom"/>
            <w:tcBorders>
              <w:top w:val="single" w:sz="8" w:color="auto"/>
            </w:tcBorders>
            <w:shd w:val="clear" w:color="auto" w:fill="D5EAEA"/>
          </w:tcPr>
          <w:p>
            <w:pPr>
              <w:jc w:val="right"/>
              <w:spacing w:after="0"/>
              <w:rPr>
                <w:sz w:val="20"/>
                <w:szCs w:val="20"/>
                <w:color w:val="auto"/>
              </w:rPr>
            </w:pPr>
            <w:r>
              <w:rPr>
                <w:rFonts w:ascii="Arial" w:cs="Arial" w:eastAsia="Arial" w:hAnsi="Arial"/>
                <w:sz w:val="18"/>
                <w:szCs w:val="18"/>
                <w:color w:val="auto"/>
              </w:rPr>
              <w:t>(3,262)</w:t>
            </w:r>
          </w:p>
        </w:tc>
      </w:tr>
      <w:tr>
        <w:trPr>
          <w:trHeight w:val="270"/>
        </w:trPr>
        <w:tc>
          <w:tcPr>
            <w:tcW w:w="6980" w:type="dxa"/>
            <w:vAlign w:val="bottom"/>
            <w:tcBorders>
              <w:bottom w:val="single" w:sz="8" w:color="D5EAEA"/>
            </w:tcBorders>
            <w:gridSpan w:val="2"/>
          </w:tcPr>
          <w:p>
            <w:pPr>
              <w:spacing w:after="0" w:line="270" w:lineRule="exact"/>
              <w:rPr>
                <w:sz w:val="20"/>
                <w:szCs w:val="20"/>
                <w:color w:val="auto"/>
              </w:rPr>
            </w:pPr>
            <w:r>
              <w:rPr>
                <w:rFonts w:ascii="Arial" w:cs="Arial" w:eastAsia="Arial" w:hAnsi="Arial"/>
                <w:sz w:val="18"/>
                <w:szCs w:val="18"/>
                <w:color w:val="auto"/>
              </w:rPr>
              <w:t>Salaries and related costs</w:t>
            </w:r>
            <w:r>
              <w:rPr>
                <w:rFonts w:ascii="Arial" w:cs="Arial" w:eastAsia="Arial" w:hAnsi="Arial"/>
                <w:sz w:val="29"/>
                <w:szCs w:val="29"/>
                <w:color w:val="auto"/>
                <w:vertAlign w:val="superscript"/>
              </w:rPr>
              <w:t>2</w:t>
            </w:r>
          </w:p>
        </w:tc>
        <w:tc>
          <w:tcPr>
            <w:tcW w:w="13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13,539</w:t>
            </w:r>
          </w:p>
        </w:tc>
        <w:tc>
          <w:tcPr>
            <w:tcW w:w="100" w:type="dxa"/>
            <w:vAlign w:val="bottom"/>
            <w:tcBorders>
              <w:bottom w:val="single" w:sz="8" w:color="D5EAEA"/>
            </w:tcBorders>
          </w:tcPr>
          <w:p>
            <w:pPr>
              <w:spacing w:after="0"/>
              <w:rPr>
                <w:sz w:val="23"/>
                <w:szCs w:val="23"/>
                <w:color w:val="auto"/>
              </w:rPr>
            </w:pPr>
          </w:p>
        </w:tc>
        <w:tc>
          <w:tcPr>
            <w:tcW w:w="13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11,655</w:t>
            </w:r>
          </w:p>
        </w:tc>
        <w:tc>
          <w:tcPr>
            <w:tcW w:w="100" w:type="dxa"/>
            <w:vAlign w:val="bottom"/>
            <w:tcBorders>
              <w:bottom w:val="single" w:sz="8" w:color="D5EAEA"/>
            </w:tcBorders>
          </w:tcPr>
          <w:p>
            <w:pPr>
              <w:spacing w:after="0"/>
              <w:rPr>
                <w:sz w:val="23"/>
                <w:szCs w:val="23"/>
                <w:color w:val="auto"/>
              </w:rPr>
            </w:pPr>
          </w:p>
        </w:tc>
        <w:tc>
          <w:tcPr>
            <w:tcW w:w="13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1,884</w:t>
            </w:r>
          </w:p>
        </w:tc>
      </w:tr>
      <w:tr>
        <w:trPr>
          <w:trHeight w:val="223"/>
        </w:trPr>
        <w:tc>
          <w:tcPr>
            <w:tcW w:w="6980" w:type="dxa"/>
            <w:vAlign w:val="bottom"/>
            <w:tcBorders>
              <w:bottom w:val="single" w:sz="8" w:color="D5EAEA"/>
            </w:tcBorders>
            <w:gridSpan w:val="2"/>
            <w:shd w:val="clear" w:color="auto" w:fill="D5EAEA"/>
          </w:tcPr>
          <w:p>
            <w:pPr>
              <w:spacing w:after="0"/>
              <w:rPr>
                <w:sz w:val="20"/>
                <w:szCs w:val="20"/>
                <w:color w:val="auto"/>
              </w:rPr>
            </w:pPr>
            <w:r>
              <w:rPr>
                <w:rFonts w:ascii="Arial" w:cs="Arial" w:eastAsia="Arial" w:hAnsi="Arial"/>
                <w:sz w:val="18"/>
                <w:szCs w:val="18"/>
                <w:b w:val="1"/>
                <w:bCs w:val="1"/>
                <w:color w:val="auto"/>
              </w:rPr>
              <w:t>Total R&amp;D expenses</w:t>
            </w:r>
          </w:p>
        </w:tc>
        <w:tc>
          <w:tcPr>
            <w:tcW w:w="1380" w:type="dxa"/>
            <w:vAlign w:val="bottom"/>
            <w:tcBorders>
              <w:bottom w:val="single" w:sz="8" w:color="auto"/>
            </w:tcBorders>
            <w:shd w:val="clear" w:color="auto" w:fill="D5EAEA"/>
          </w:tcPr>
          <w:p>
            <w:pPr>
              <w:jc w:val="right"/>
              <w:ind w:right="30"/>
              <w:spacing w:after="0"/>
              <w:rPr>
                <w:sz w:val="20"/>
                <w:szCs w:val="20"/>
                <w:color w:val="auto"/>
              </w:rPr>
            </w:pPr>
            <w:r>
              <w:rPr>
                <w:rFonts w:ascii="Arial" w:cs="Arial" w:eastAsia="Arial" w:hAnsi="Arial"/>
                <w:sz w:val="18"/>
                <w:szCs w:val="18"/>
                <w:color w:val="auto"/>
              </w:rPr>
              <w:t>42,158</w:t>
            </w:r>
          </w:p>
        </w:tc>
        <w:tc>
          <w:tcPr>
            <w:tcW w:w="100" w:type="dxa"/>
            <w:vAlign w:val="bottom"/>
            <w:tcBorders>
              <w:bottom w:val="single" w:sz="8" w:color="D5EAEA"/>
            </w:tcBorders>
            <w:shd w:val="clear" w:color="auto" w:fill="D5EAEA"/>
          </w:tcPr>
          <w:p>
            <w:pPr>
              <w:spacing w:after="0"/>
              <w:rPr>
                <w:sz w:val="19"/>
                <w:szCs w:val="19"/>
                <w:color w:val="auto"/>
              </w:rPr>
            </w:pPr>
          </w:p>
        </w:tc>
        <w:tc>
          <w:tcPr>
            <w:tcW w:w="1340" w:type="dxa"/>
            <w:vAlign w:val="bottom"/>
            <w:tcBorders>
              <w:bottom w:val="single" w:sz="8" w:color="auto"/>
            </w:tcBorders>
            <w:shd w:val="clear" w:color="auto" w:fill="D5EAEA"/>
          </w:tcPr>
          <w:p>
            <w:pPr>
              <w:jc w:val="right"/>
              <w:ind w:right="30"/>
              <w:spacing w:after="0"/>
              <w:rPr>
                <w:sz w:val="20"/>
                <w:szCs w:val="20"/>
                <w:color w:val="auto"/>
              </w:rPr>
            </w:pPr>
            <w:r>
              <w:rPr>
                <w:rFonts w:ascii="Arial" w:cs="Arial" w:eastAsia="Arial" w:hAnsi="Arial"/>
                <w:sz w:val="18"/>
                <w:szCs w:val="18"/>
                <w:color w:val="auto"/>
              </w:rPr>
              <w:t>43,536</w:t>
            </w:r>
          </w:p>
        </w:tc>
        <w:tc>
          <w:tcPr>
            <w:tcW w:w="100" w:type="dxa"/>
            <w:vAlign w:val="bottom"/>
            <w:tcBorders>
              <w:bottom w:val="single" w:sz="8" w:color="D5EAEA"/>
            </w:tcBorders>
            <w:shd w:val="clear" w:color="auto" w:fill="D5EAEA"/>
          </w:tcPr>
          <w:p>
            <w:pPr>
              <w:spacing w:after="0"/>
              <w:rPr>
                <w:sz w:val="19"/>
                <w:szCs w:val="19"/>
                <w:color w:val="auto"/>
              </w:rPr>
            </w:pPr>
          </w:p>
        </w:tc>
        <w:tc>
          <w:tcPr>
            <w:tcW w:w="1340" w:type="dxa"/>
            <w:vAlign w:val="bottom"/>
            <w:tcBorders>
              <w:bottom w:val="single" w:sz="8" w:color="auto"/>
            </w:tcBorders>
            <w:shd w:val="clear" w:color="auto" w:fill="D5EAEA"/>
          </w:tcPr>
          <w:p>
            <w:pPr>
              <w:jc w:val="right"/>
              <w:spacing w:after="0"/>
              <w:rPr>
                <w:sz w:val="20"/>
                <w:szCs w:val="20"/>
                <w:color w:val="auto"/>
              </w:rPr>
            </w:pPr>
            <w:r>
              <w:rPr>
                <w:rFonts w:ascii="Arial" w:cs="Arial" w:eastAsia="Arial" w:hAnsi="Arial"/>
                <w:sz w:val="18"/>
                <w:szCs w:val="18"/>
                <w:color w:val="auto"/>
              </w:rPr>
              <w:t>(1,378)</w:t>
            </w:r>
          </w:p>
        </w:tc>
      </w:tr>
      <w:tr>
        <w:trPr>
          <w:trHeight w:val="20"/>
        </w:trPr>
        <w:tc>
          <w:tcPr>
            <w:tcW w:w="6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ind w:left="340" w:hanging="211"/>
        <w:spacing w:after="0" w:line="180" w:lineRule="auto"/>
        <w:tabs>
          <w:tab w:leader="none" w:pos="340" w:val="left"/>
        </w:tabs>
        <w:numPr>
          <w:ilvl w:val="0"/>
          <w:numId w:val="23"/>
        </w:numPr>
        <w:rPr>
          <w:rFonts w:ascii="Arial" w:cs="Arial" w:eastAsia="Arial" w:hAnsi="Arial"/>
          <w:sz w:val="25"/>
          <w:szCs w:val="25"/>
          <w:color w:val="auto"/>
          <w:vertAlign w:val="superscript"/>
        </w:rPr>
      </w:pPr>
      <w:r>
        <w:rPr>
          <w:rFonts w:ascii="Arial" w:cs="Arial" w:eastAsia="Arial" w:hAnsi="Arial"/>
          <w:sz w:val="15"/>
          <w:szCs w:val="15"/>
          <w:color w:val="auto"/>
        </w:rPr>
        <w:t>Includes depreciation expense</w:t>
      </w:r>
    </w:p>
    <w:p>
      <w:pPr>
        <w:spacing w:after="0" w:line="2" w:lineRule="exact"/>
        <w:rPr>
          <w:sz w:val="20"/>
          <w:szCs w:val="20"/>
          <w:color w:val="auto"/>
        </w:rPr>
      </w:pPr>
    </w:p>
    <w:p>
      <w:pPr>
        <w:jc w:val="both"/>
        <w:ind w:right="7720" w:firstLine="129"/>
        <w:spacing w:after="0" w:line="442" w:lineRule="auto"/>
        <w:tabs>
          <w:tab w:leader="none" w:pos="337" w:val="left"/>
        </w:tabs>
        <w:numPr>
          <w:ilvl w:val="0"/>
          <w:numId w:val="24"/>
        </w:numPr>
        <w:rPr>
          <w:rFonts w:ascii="Arial" w:cs="Arial" w:eastAsia="Arial" w:hAnsi="Arial"/>
          <w:sz w:val="25"/>
          <w:szCs w:val="25"/>
          <w:color w:val="auto"/>
          <w:vertAlign w:val="superscript"/>
        </w:rPr>
      </w:pPr>
      <w:r>
        <w:rPr>
          <w:rFonts w:ascii="Arial" w:cs="Arial" w:eastAsia="Arial" w:hAnsi="Arial"/>
          <w:sz w:val="15"/>
          <w:szCs w:val="15"/>
          <w:color w:val="auto"/>
        </w:rPr>
        <w:t>Includes share-based compensation expense For the nine months ended September 30, 2021:</w:t>
      </w:r>
    </w:p>
    <w:p>
      <w:pPr>
        <w:spacing w:after="0" w:line="1" w:lineRule="exact"/>
        <w:rPr>
          <w:rFonts w:ascii="Arial" w:cs="Arial" w:eastAsia="Arial" w:hAnsi="Arial"/>
          <w:sz w:val="25"/>
          <w:szCs w:val="25"/>
          <w:color w:val="auto"/>
          <w:vertAlign w:val="superscript"/>
        </w:rPr>
      </w:pPr>
    </w:p>
    <w:p>
      <w:pPr>
        <w:ind w:left="340"/>
        <w:spacing w:after="0"/>
        <w:rPr>
          <w:rFonts w:ascii="Arial" w:cs="Arial" w:eastAsia="Arial" w:hAnsi="Arial"/>
          <w:sz w:val="25"/>
          <w:szCs w:val="25"/>
          <w:color w:val="auto"/>
          <w:vertAlign w:val="superscript"/>
        </w:rPr>
      </w:pPr>
      <w:r>
        <w:rPr>
          <w:rFonts w:ascii="Arial" w:cs="Arial" w:eastAsia="Arial" w:hAnsi="Arial"/>
          <w:sz w:val="18"/>
          <w:szCs w:val="18"/>
          <w:color w:val="auto"/>
        </w:rPr>
        <w:t>Discovery and preclinical expenses increased by CHF 0.3 million, primarily due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349250</wp:posOffset>
            </wp:positionV>
            <wp:extent cx="713232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23" w:name="page24"/>
    <w:bookmarkEnd w:id="23"/>
    <w:p>
      <w:pPr>
        <w:ind w:left="660" w:right="380" w:hanging="328"/>
        <w:spacing w:after="0" w:line="279" w:lineRule="auto"/>
        <w:tabs>
          <w:tab w:leader="none" w:pos="660" w:val="left"/>
        </w:tabs>
        <w:numPr>
          <w:ilvl w:val="0"/>
          <w:numId w:val="25"/>
        </w:numPr>
        <w:rPr>
          <w:rFonts w:ascii="Arial" w:cs="Arial" w:eastAsia="Arial" w:hAnsi="Arial"/>
          <w:sz w:val="17"/>
          <w:szCs w:val="17"/>
          <w:color w:val="auto"/>
        </w:rPr>
      </w:pPr>
      <w:r>
        <w:rPr>
          <w:rFonts w:ascii="Arial" w:cs="Arial" w:eastAsia="Arial" w:hAnsi="Arial"/>
          <w:sz w:val="17"/>
          <w:szCs w:val="17"/>
          <w:color w:val="auto"/>
        </w:rPr>
        <w:t>an increase of CHF 0.8 million for the increase in certain alpha-synuclein therapeutic projects, CHF 0.7 million for the expansion of our Morphomer Tau program into NeuroOrphan indications and the further characterization of our preclinical candidates, CHF 0.2 million for the optimization and development of our anti-TDP-43 antibody, CHF 0.2 million in ACI-24 for DS for development costs associated with the toxicological evaluation of the optimized vaccine formulation and CHF 0.4 million for other discovery programs,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This was partially offset by:</w:t>
      </w:r>
    </w:p>
    <w:p>
      <w:pPr>
        <w:spacing w:after="0" w:line="225" w:lineRule="exact"/>
        <w:rPr>
          <w:sz w:val="20"/>
          <w:szCs w:val="20"/>
          <w:color w:val="auto"/>
        </w:rPr>
      </w:pPr>
    </w:p>
    <w:p>
      <w:pPr>
        <w:ind w:left="340" w:right="5040" w:hanging="8"/>
        <w:spacing w:after="0" w:line="530" w:lineRule="auto"/>
        <w:tabs>
          <w:tab w:leader="none" w:pos="664" w:val="left"/>
        </w:tabs>
        <w:numPr>
          <w:ilvl w:val="0"/>
          <w:numId w:val="26"/>
        </w:numPr>
        <w:rPr>
          <w:rFonts w:ascii="Arial" w:cs="Arial" w:eastAsia="Arial" w:hAnsi="Arial"/>
          <w:sz w:val="17"/>
          <w:szCs w:val="17"/>
          <w:color w:val="auto"/>
        </w:rPr>
      </w:pPr>
      <w:r>
        <w:rPr>
          <w:rFonts w:ascii="Arial" w:cs="Arial" w:eastAsia="Arial" w:hAnsi="Arial"/>
          <w:sz w:val="17"/>
          <w:szCs w:val="17"/>
          <w:color w:val="auto"/>
        </w:rPr>
        <w:t>a decrease of CHF 2.0 million for the research of alpha-synuclein antibodies. Clinical expenses decreased by CHF 4.0 million, primarily due to:</w:t>
      </w:r>
    </w:p>
    <w:p>
      <w:pPr>
        <w:jc w:val="both"/>
        <w:ind w:left="660" w:right="20" w:hanging="328"/>
        <w:spacing w:after="0" w:line="263" w:lineRule="auto"/>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 decrease of CHF 2.6 million for Phase 1 activities for our Morphomer Tau compound which completed in 2020, CHF 2.0 million for ACI-24 for DS as a result of prior period scaling up activities for a Phase 2 clinical trial which were not repeated in the current period and CHF 1.8 million for ACI-24 for AD as the six-month safety period completed,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This was partially offset by:</w:t>
      </w:r>
    </w:p>
    <w:p>
      <w:pPr>
        <w:spacing w:after="0" w:line="225" w:lineRule="exact"/>
        <w:rPr>
          <w:sz w:val="20"/>
          <w:szCs w:val="20"/>
          <w:color w:val="auto"/>
        </w:rPr>
      </w:pPr>
    </w:p>
    <w:p>
      <w:pPr>
        <w:ind w:left="660" w:right="20" w:hanging="328"/>
        <w:spacing w:after="0" w:line="308" w:lineRule="auto"/>
        <w:tabs>
          <w:tab w:leader="none" w:pos="660" w:val="left"/>
        </w:tabs>
        <w:numPr>
          <w:ilvl w:val="0"/>
          <w:numId w:val="27"/>
        </w:numPr>
        <w:rPr>
          <w:rFonts w:ascii="Arial" w:cs="Arial" w:eastAsia="Arial" w:hAnsi="Arial"/>
          <w:sz w:val="17"/>
          <w:szCs w:val="17"/>
          <w:color w:val="auto"/>
        </w:rPr>
      </w:pPr>
      <w:r>
        <w:rPr>
          <w:rFonts w:ascii="Arial" w:cs="Arial" w:eastAsia="Arial" w:hAnsi="Arial"/>
          <w:sz w:val="17"/>
          <w:szCs w:val="17"/>
          <w:color w:val="auto"/>
        </w:rPr>
        <w:t>an increase of CHF 2.1 million for ACI-35.030 driven by R&amp;D cost sharing, increased patient enrollment into the Phase 1b/2a study and increased frequency of interim analyses testing as well as a CHF 0.4 million increase for development of our diagnostic imaging agents.</w:t>
      </w:r>
    </w:p>
    <w:p>
      <w:pPr>
        <w:spacing w:after="0" w:line="14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variances in Group function expenses relate to regulatory and quality assurance, and IP.</w:t>
      </w:r>
    </w:p>
    <w:p>
      <w:pPr>
        <w:spacing w:after="0" w:line="225"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Total salaries and related costs increased by CHF 1.9 million, primarily due to:</w:t>
      </w:r>
    </w:p>
    <w:p>
      <w:pPr>
        <w:spacing w:after="0" w:line="225" w:lineRule="exact"/>
        <w:rPr>
          <w:sz w:val="20"/>
          <w:szCs w:val="20"/>
          <w:color w:val="auto"/>
        </w:rPr>
      </w:pPr>
    </w:p>
    <w:p>
      <w:pPr>
        <w:ind w:left="660" w:right="120" w:hanging="328"/>
        <w:spacing w:after="0" w:line="342" w:lineRule="auto"/>
        <w:tabs>
          <w:tab w:leader="none" w:pos="660" w:val="left"/>
        </w:tabs>
        <w:numPr>
          <w:ilvl w:val="0"/>
          <w:numId w:val="28"/>
        </w:numPr>
        <w:rPr>
          <w:rFonts w:ascii="Arial" w:cs="Arial" w:eastAsia="Arial" w:hAnsi="Arial"/>
          <w:sz w:val="16"/>
          <w:szCs w:val="16"/>
          <w:color w:val="auto"/>
        </w:rPr>
      </w:pPr>
      <w:r>
        <w:rPr>
          <w:rFonts w:ascii="Arial" w:cs="Arial" w:eastAsia="Arial" w:hAnsi="Arial"/>
          <w:sz w:val="16"/>
          <w:szCs w:val="16"/>
          <w:color w:val="auto"/>
        </w:rPr>
        <w:t>an increase in salary- and benefit-related costs of CHF 1.7 million primarily related to the internal reallocation of certain employees’ personnel costs from general and administrative expenses to research and development personnel expenses in 2021 and the annualization of 2020 hires; and</w:t>
      </w:r>
    </w:p>
    <w:p>
      <w:pPr>
        <w:spacing w:after="0" w:line="123" w:lineRule="exact"/>
        <w:rPr>
          <w:rFonts w:ascii="Arial" w:cs="Arial" w:eastAsia="Arial" w:hAnsi="Arial"/>
          <w:sz w:val="16"/>
          <w:szCs w:val="16"/>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an increase in share-based compensation expense of CHF 0.2 million.</w:t>
      </w:r>
    </w:p>
    <w:p>
      <w:pPr>
        <w:spacing w:after="0" w:line="225" w:lineRule="exact"/>
        <w:rPr>
          <w:sz w:val="20"/>
          <w:szCs w:val="20"/>
          <w:color w:val="auto"/>
        </w:rPr>
      </w:pPr>
    </w:p>
    <w:p>
      <w:pPr>
        <w:ind w:right="220" w:firstLine="324"/>
        <w:spacing w:after="0" w:line="277" w:lineRule="auto"/>
        <w:rPr>
          <w:sz w:val="20"/>
          <w:szCs w:val="20"/>
          <w:color w:val="auto"/>
        </w:rPr>
      </w:pPr>
      <w:r>
        <w:rPr>
          <w:rFonts w:ascii="Arial" w:cs="Arial" w:eastAsia="Arial" w:hAnsi="Arial"/>
          <w:sz w:val="18"/>
          <w:szCs w:val="18"/>
          <w:color w:val="auto"/>
        </w:rPr>
        <w:t>The CHF 0.5 million increase in other non-allocated expenses relate to administrative R&amp;D and certain non-allocated functional expenses, primarily due to:</w:t>
      </w:r>
    </w:p>
    <w:p>
      <w:pPr>
        <w:spacing w:after="0" w:line="170" w:lineRule="exact"/>
        <w:rPr>
          <w:sz w:val="20"/>
          <w:szCs w:val="20"/>
          <w:color w:val="auto"/>
        </w:rPr>
      </w:pPr>
    </w:p>
    <w:p>
      <w:pPr>
        <w:ind w:left="1020" w:hanging="324"/>
        <w:spacing w:after="0"/>
        <w:tabs>
          <w:tab w:leader="none" w:pos="10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an increase of CHF 0.3 million associated with depreciation expense and CHF 0.3 million for external consultants.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General and administrative expenses</w:t>
      </w:r>
    </w:p>
    <w:p>
      <w:pPr>
        <w:spacing w:after="0" w:line="225"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General and administrative expenses consist primarily of salaries and related costs, including share-based compensation, professional fees such as legal and accounting related services, infrastructure expenses, and other operating expenses.</w:t>
      </w:r>
    </w:p>
    <w:p>
      <w:pPr>
        <w:spacing w:after="0" w:line="170" w:lineRule="exact"/>
        <w:rPr>
          <w:sz w:val="20"/>
          <w:szCs w:val="20"/>
          <w:color w:val="auto"/>
        </w:rPr>
      </w:pPr>
    </w:p>
    <w:p>
      <w:pPr>
        <w:ind w:firstLine="324"/>
        <w:spacing w:after="0" w:line="263" w:lineRule="auto"/>
        <w:rPr>
          <w:sz w:val="20"/>
          <w:szCs w:val="20"/>
          <w:color w:val="auto"/>
        </w:rPr>
      </w:pPr>
      <w:r>
        <w:rPr>
          <w:rFonts w:ascii="Arial" w:cs="Arial" w:eastAsia="Arial" w:hAnsi="Arial"/>
          <w:sz w:val="18"/>
          <w:szCs w:val="18"/>
          <w:color w:val="auto"/>
        </w:rPr>
        <w:t>For the three months ended September 30, 2021, general and administrative expenses totaled CHF 5.4 million compared with CHF 4.9 million for the comparable period in 2020. This represents an increase of CHF 0.5 million. The following table presents the general and administrative expenses during the three months ended September 30, 2021 and 2020:</w:t>
      </w:r>
    </w:p>
    <w:p>
      <w:pPr>
        <w:sectPr>
          <w:pgSz w:w="11900" w:h="16838" w:orient="portrait"/>
          <w:cols w:equalWidth="0" w:num="1">
            <w:col w:w="11240"/>
          </w:cols>
          <w:pgMar w:left="320" w:top="58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left="600"/>
        <w:spacing w:after="0"/>
        <w:rPr>
          <w:sz w:val="20"/>
          <w:szCs w:val="20"/>
          <w:color w:val="auto"/>
        </w:rPr>
      </w:pPr>
      <w:r>
        <w:rPr>
          <w:rFonts w:ascii="Arial" w:cs="Arial" w:eastAsia="Arial" w:hAnsi="Arial"/>
          <w:sz w:val="18"/>
          <w:szCs w:val="18"/>
          <w:b w:val="1"/>
          <w:bCs w:val="1"/>
          <w:color w:val="auto"/>
        </w:rPr>
        <w:t>in CHF thousands,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14" w:lineRule="auto"/>
        <w:rPr>
          <w:sz w:val="20"/>
          <w:szCs w:val="20"/>
          <w:color w:val="auto"/>
        </w:rPr>
      </w:pPr>
      <w:r>
        <w:rPr>
          <w:rFonts w:ascii="Arial" w:cs="Arial" w:eastAsia="Arial" w:hAnsi="Arial"/>
          <w:sz w:val="18"/>
          <w:szCs w:val="18"/>
          <w:color w:val="auto"/>
        </w:rPr>
        <w:t>Operating expenses</w:t>
      </w:r>
      <w:r>
        <w:rPr>
          <w:rFonts w:ascii="Arial" w:cs="Arial" w:eastAsia="Arial" w:hAnsi="Arial"/>
          <w:sz w:val="29"/>
          <w:szCs w:val="29"/>
          <w:color w:val="auto"/>
          <w:vertAlign w:val="superscript"/>
        </w:rPr>
        <w:t>1</w:t>
      </w:r>
    </w:p>
    <w:p>
      <w:pPr>
        <w:spacing w:after="0" w:line="195" w:lineRule="auto"/>
        <w:rPr>
          <w:sz w:val="20"/>
          <w:szCs w:val="20"/>
          <w:color w:val="auto"/>
        </w:rPr>
      </w:pPr>
      <w:r>
        <w:rPr>
          <w:rFonts w:ascii="Arial" w:cs="Arial" w:eastAsia="Arial" w:hAnsi="Arial"/>
          <w:sz w:val="18"/>
          <w:szCs w:val="18"/>
          <w:color w:val="auto"/>
        </w:rPr>
        <w:t>Salaries and related costs</w:t>
      </w:r>
      <w:r>
        <w:rPr>
          <w:rFonts w:ascii="Arial" w:cs="Arial" w:eastAsia="Arial" w:hAnsi="Arial"/>
          <w:sz w:val="29"/>
          <w:szCs w:val="29"/>
          <w:color w:val="auto"/>
          <w:vertAlign w:val="superscript"/>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132320" cy="16319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color w:val="auto"/>
        </w:rPr>
        <w:t>Total general and administrative expenses</w:t>
      </w:r>
    </w:p>
    <w:p>
      <w:pPr>
        <w:ind w:left="340" w:hanging="211"/>
        <w:spacing w:after="0" w:line="202" w:lineRule="auto"/>
        <w:tabs>
          <w:tab w:leader="none" w:pos="340" w:val="left"/>
        </w:tabs>
        <w:numPr>
          <w:ilvl w:val="0"/>
          <w:numId w:val="30"/>
        </w:numPr>
        <w:rPr>
          <w:rFonts w:ascii="Arial" w:cs="Arial" w:eastAsia="Arial" w:hAnsi="Arial"/>
          <w:sz w:val="30"/>
          <w:szCs w:val="30"/>
          <w:color w:val="auto"/>
          <w:vertAlign w:val="superscript"/>
        </w:rPr>
      </w:pPr>
      <w:r>
        <w:rPr>
          <w:rFonts w:ascii="Arial" w:cs="Arial" w:eastAsia="Arial" w:hAnsi="Arial"/>
          <w:sz w:val="18"/>
          <w:szCs w:val="18"/>
          <w:color w:val="auto"/>
        </w:rPr>
        <w:t>Includes depreciation expense</w:t>
      </w:r>
    </w:p>
    <w:p>
      <w:pPr>
        <w:ind w:left="340" w:hanging="211"/>
        <w:spacing w:after="0" w:line="180" w:lineRule="auto"/>
        <w:tabs>
          <w:tab w:leader="none" w:pos="340" w:val="left"/>
        </w:tabs>
        <w:numPr>
          <w:ilvl w:val="0"/>
          <w:numId w:val="31"/>
        </w:numPr>
        <w:rPr>
          <w:rFonts w:ascii="Arial" w:cs="Arial" w:eastAsia="Arial" w:hAnsi="Arial"/>
          <w:sz w:val="25"/>
          <w:szCs w:val="25"/>
          <w:color w:val="auto"/>
          <w:vertAlign w:val="superscript"/>
        </w:rPr>
      </w:pPr>
      <w:r>
        <w:rPr>
          <w:rFonts w:ascii="Arial" w:cs="Arial" w:eastAsia="Arial" w:hAnsi="Arial"/>
          <w:sz w:val="15"/>
          <w:szCs w:val="15"/>
          <w:color w:val="auto"/>
        </w:rPr>
        <w:t>Includes share-based compensation expense</w:t>
      </w:r>
    </w:p>
    <w:p>
      <w:pPr>
        <w:spacing w:after="0" w:line="203" w:lineRule="exact"/>
        <w:rPr>
          <w:sz w:val="20"/>
          <w:szCs w:val="20"/>
          <w:color w:val="auto"/>
        </w:rPr>
      </w:pPr>
    </w:p>
    <w:p>
      <w:pPr>
        <w:spacing w:after="0"/>
        <w:rPr>
          <w:sz w:val="20"/>
          <w:szCs w:val="20"/>
          <w:color w:val="auto"/>
        </w:rPr>
      </w:pPr>
      <w:r>
        <w:rPr>
          <w:rFonts w:ascii="Arial" w:cs="Arial" w:eastAsia="Arial" w:hAnsi="Arial"/>
          <w:sz w:val="16"/>
          <w:szCs w:val="16"/>
          <w:color w:val="auto"/>
        </w:rPr>
        <w:t>For the three months ended September 30, 2021, this increase is primarily due to:</w:t>
      </w:r>
    </w:p>
    <w:p>
      <w:pPr>
        <w:spacing w:after="0" w:line="20" w:lineRule="exact"/>
        <w:rPr>
          <w:sz w:val="20"/>
          <w:szCs w:val="20"/>
          <w:color w:val="auto"/>
        </w:rPr>
      </w:pPr>
      <w:r>
        <w:rPr>
          <w:sz w:val="20"/>
          <w:szCs w:val="20"/>
          <w:color w:val="auto"/>
        </w:rPr>
        <w:br w:type="column"/>
      </w:r>
    </w:p>
    <w:p>
      <w:pPr>
        <w:spacing w:after="0" w:line="16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2920" w:type="dxa"/>
            <w:vAlign w:val="bottom"/>
            <w:gridSpan w:val="4"/>
          </w:tcPr>
          <w:p>
            <w:pPr>
              <w:jc w:val="center"/>
              <w:ind w:right="100"/>
              <w:spacing w:after="0"/>
              <w:rPr>
                <w:sz w:val="20"/>
                <w:szCs w:val="20"/>
                <w:color w:val="auto"/>
              </w:rPr>
            </w:pPr>
            <w:r>
              <w:rPr>
                <w:rFonts w:ascii="Arial" w:cs="Arial" w:eastAsia="Arial" w:hAnsi="Arial"/>
                <w:sz w:val="18"/>
                <w:szCs w:val="18"/>
                <w:b w:val="1"/>
                <w:bCs w:val="1"/>
                <w:color w:val="auto"/>
                <w:w w:val="92"/>
              </w:rPr>
              <w:t>For the Three Months</w:t>
            </w:r>
          </w:p>
        </w:tc>
        <w:tc>
          <w:tcPr>
            <w:tcW w:w="1340" w:type="dxa"/>
            <w:vAlign w:val="bottom"/>
          </w:tcPr>
          <w:p>
            <w:pPr>
              <w:spacing w:after="0"/>
              <w:rPr>
                <w:sz w:val="18"/>
                <w:szCs w:val="18"/>
                <w:color w:val="auto"/>
              </w:rPr>
            </w:pPr>
          </w:p>
        </w:tc>
      </w:tr>
      <w:tr>
        <w:trPr>
          <w:trHeight w:val="234"/>
        </w:trPr>
        <w:tc>
          <w:tcPr>
            <w:tcW w:w="2920" w:type="dxa"/>
            <w:vAlign w:val="bottom"/>
            <w:gridSpan w:val="4"/>
          </w:tcPr>
          <w:p>
            <w:pPr>
              <w:jc w:val="center"/>
              <w:ind w:right="100"/>
              <w:spacing w:after="0"/>
              <w:rPr>
                <w:sz w:val="20"/>
                <w:szCs w:val="20"/>
                <w:color w:val="auto"/>
              </w:rPr>
            </w:pPr>
            <w:r>
              <w:rPr>
                <w:rFonts w:ascii="Arial" w:cs="Arial" w:eastAsia="Arial" w:hAnsi="Arial"/>
                <w:sz w:val="18"/>
                <w:szCs w:val="18"/>
                <w:b w:val="1"/>
                <w:bCs w:val="1"/>
                <w:color w:val="auto"/>
                <w:w w:val="90"/>
              </w:rPr>
              <w:t>Ended September 30,</w:t>
            </w:r>
          </w:p>
        </w:tc>
        <w:tc>
          <w:tcPr>
            <w:tcW w:w="1340" w:type="dxa"/>
            <w:vAlign w:val="bottom"/>
          </w:tcPr>
          <w:p>
            <w:pPr>
              <w:spacing w:after="0"/>
              <w:rPr>
                <w:sz w:val="20"/>
                <w:szCs w:val="20"/>
                <w:color w:val="auto"/>
              </w:rPr>
            </w:pPr>
          </w:p>
        </w:tc>
      </w:tr>
      <w:tr>
        <w:trPr>
          <w:trHeight w:val="223"/>
        </w:trPr>
        <w:tc>
          <w:tcPr>
            <w:tcW w:w="1380" w:type="dxa"/>
            <w:vAlign w:val="bottom"/>
            <w:tcBorders>
              <w:top w:val="single" w:sz="8" w:color="auto"/>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top w:val="single" w:sz="8" w:color="auto"/>
            </w:tcBorders>
          </w:tcPr>
          <w:p>
            <w:pPr>
              <w:spacing w:after="0"/>
              <w:rPr>
                <w:sz w:val="19"/>
                <w:szCs w:val="19"/>
                <w:color w:val="auto"/>
              </w:rPr>
            </w:pPr>
          </w:p>
        </w:tc>
        <w:tc>
          <w:tcPr>
            <w:tcW w:w="134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9"/>
                <w:szCs w:val="19"/>
                <w:color w:val="auto"/>
              </w:rPr>
            </w:pPr>
          </w:p>
        </w:tc>
        <w:tc>
          <w:tcPr>
            <w:tcW w:w="13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Change</w:t>
            </w:r>
          </w:p>
        </w:tc>
      </w:tr>
      <w:tr>
        <w:trPr>
          <w:trHeight w:val="250"/>
        </w:trPr>
        <w:tc>
          <w:tcPr>
            <w:tcW w:w="1380" w:type="dxa"/>
            <w:vAlign w:val="bottom"/>
          </w:tcPr>
          <w:p>
            <w:pPr>
              <w:jc w:val="right"/>
              <w:ind w:right="30"/>
              <w:spacing w:after="0"/>
              <w:rPr>
                <w:sz w:val="20"/>
                <w:szCs w:val="20"/>
                <w:color w:val="auto"/>
              </w:rPr>
            </w:pPr>
            <w:r>
              <w:rPr>
                <w:rFonts w:ascii="Arial" w:cs="Arial" w:eastAsia="Arial" w:hAnsi="Arial"/>
                <w:sz w:val="18"/>
                <w:szCs w:val="18"/>
                <w:color w:val="auto"/>
              </w:rPr>
              <w:t>2,420</w:t>
            </w:r>
          </w:p>
        </w:tc>
        <w:tc>
          <w:tcPr>
            <w:tcW w:w="100" w:type="dxa"/>
            <w:vAlign w:val="bottom"/>
          </w:tcPr>
          <w:p>
            <w:pPr>
              <w:spacing w:after="0"/>
              <w:rPr>
                <w:sz w:val="21"/>
                <w:szCs w:val="21"/>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1,983</w:t>
            </w:r>
          </w:p>
        </w:tc>
        <w:tc>
          <w:tcPr>
            <w:tcW w:w="10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437</w:t>
            </w:r>
          </w:p>
        </w:tc>
      </w:tr>
      <w:tr>
        <w:trPr>
          <w:trHeight w:val="270"/>
        </w:trPr>
        <w:tc>
          <w:tcPr>
            <w:tcW w:w="13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3,000</w:t>
            </w:r>
          </w:p>
        </w:tc>
        <w:tc>
          <w:tcPr>
            <w:tcW w:w="100" w:type="dxa"/>
            <w:vAlign w:val="bottom"/>
          </w:tcPr>
          <w:p>
            <w:pPr>
              <w:spacing w:after="0"/>
              <w:rPr>
                <w:sz w:val="23"/>
                <w:szCs w:val="23"/>
                <w:color w:val="auto"/>
              </w:rPr>
            </w:pPr>
          </w:p>
        </w:tc>
        <w:tc>
          <w:tcPr>
            <w:tcW w:w="13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2,909</w:t>
            </w:r>
          </w:p>
        </w:tc>
        <w:tc>
          <w:tcPr>
            <w:tcW w:w="100" w:type="dxa"/>
            <w:vAlign w:val="bottom"/>
          </w:tcPr>
          <w:p>
            <w:pPr>
              <w:spacing w:after="0"/>
              <w:rPr>
                <w:sz w:val="23"/>
                <w:szCs w:val="23"/>
                <w:color w:val="auto"/>
              </w:rPr>
            </w:pPr>
          </w:p>
        </w:tc>
        <w:tc>
          <w:tcPr>
            <w:tcW w:w="13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91</w:t>
            </w:r>
          </w:p>
        </w:tc>
      </w:tr>
      <w:tr>
        <w:trPr>
          <w:trHeight w:val="223"/>
        </w:trPr>
        <w:tc>
          <w:tcPr>
            <w:tcW w:w="13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5,420</w:t>
            </w:r>
          </w:p>
        </w:tc>
        <w:tc>
          <w:tcPr>
            <w:tcW w:w="100" w:type="dxa"/>
            <w:vAlign w:val="bottom"/>
          </w:tcPr>
          <w:p>
            <w:pPr>
              <w:spacing w:after="0"/>
              <w:rPr>
                <w:sz w:val="19"/>
                <w:szCs w:val="19"/>
                <w:color w:val="auto"/>
              </w:rPr>
            </w:pPr>
          </w:p>
        </w:tc>
        <w:tc>
          <w:tcPr>
            <w:tcW w:w="13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4,892</w:t>
            </w:r>
          </w:p>
        </w:tc>
        <w:tc>
          <w:tcPr>
            <w:tcW w:w="100" w:type="dxa"/>
            <w:vAlign w:val="bottom"/>
          </w:tcPr>
          <w:p>
            <w:pPr>
              <w:spacing w:after="0"/>
              <w:rPr>
                <w:sz w:val="19"/>
                <w:szCs w:val="19"/>
                <w:color w:val="auto"/>
              </w:rPr>
            </w:pPr>
          </w:p>
        </w:tc>
        <w:tc>
          <w:tcPr>
            <w:tcW w:w="13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528</w:t>
            </w:r>
          </w:p>
        </w:tc>
      </w:tr>
      <w:tr>
        <w:trPr>
          <w:trHeight w:val="20"/>
        </w:trPr>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1017" w:lineRule="exact"/>
        <w:rPr>
          <w:sz w:val="20"/>
          <w:szCs w:val="20"/>
          <w:color w:val="auto"/>
        </w:rPr>
      </w:pPr>
    </w:p>
    <w:p>
      <w:pPr>
        <w:sectPr>
          <w:pgSz w:w="11900" w:h="16838" w:orient="portrait"/>
          <w:cols w:equalWidth="0" w:num="2">
            <w:col w:w="6260" w:space="720"/>
            <w:col w:w="4260"/>
          </w:cols>
          <w:pgMar w:left="320" w:top="584" w:right="339" w:bottom="1440" w:gutter="0" w:footer="0" w:header="0"/>
          <w:type w:val="continuous"/>
        </w:sectPr>
      </w:pPr>
    </w:p>
    <w:p>
      <w:pPr>
        <w:spacing w:after="0" w:line="48" w:lineRule="exact"/>
        <w:rPr>
          <w:sz w:val="20"/>
          <w:szCs w:val="20"/>
          <w:color w:val="auto"/>
        </w:rPr>
      </w:pPr>
    </w:p>
    <w:p>
      <w:pPr>
        <w:ind w:left="660" w:right="120" w:hanging="328"/>
        <w:spacing w:after="0" w:line="277" w:lineRule="auto"/>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an increase of CHF 0.3 million for transaction costs associated with our asset acquisition for a portfolio of therapeutics targeting alpha-synuclein; and</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an increase in our directors’ and officers’ insurance of CHF 0.3 million for the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349250</wp:posOffset>
            </wp:positionV>
            <wp:extent cx="713232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type w:val="continuous"/>
        </w:sectPr>
      </w:pPr>
    </w:p>
    <w:bookmarkStart w:id="24" w:name="page25"/>
    <w:bookmarkEnd w:id="24"/>
    <w:p>
      <w:pPr>
        <w:ind w:firstLine="324"/>
        <w:spacing w:after="0" w:line="263" w:lineRule="auto"/>
        <w:rPr>
          <w:sz w:val="20"/>
          <w:szCs w:val="20"/>
          <w:color w:val="auto"/>
        </w:rPr>
      </w:pPr>
      <w:r>
        <w:rPr>
          <w:rFonts w:ascii="Arial" w:cs="Arial" w:eastAsia="Arial" w:hAnsi="Arial"/>
          <w:sz w:val="18"/>
          <w:szCs w:val="18"/>
          <w:color w:val="auto"/>
        </w:rPr>
        <w:t>For the nine months ended September 30, 2021, general and administrative expenses totaled CHF 15.0 million compared with CHF 13.6 million for the comparable period in 2020. This represents an increase of CHF 1.4 million. The following table presents the general and administrative expenses during the nine months ended September 30, 2021 and 2020:</w:t>
      </w:r>
    </w:p>
    <w:p>
      <w:pPr>
        <w:sectPr>
          <w:pgSz w:w="11900" w:h="16838" w:orient="portrait"/>
          <w:cols w:equalWidth="0" w:num="1">
            <w:col w:w="11240"/>
          </w:cols>
          <w:pgMar w:left="320" w:top="58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left="620"/>
        <w:spacing w:after="0"/>
        <w:rPr>
          <w:sz w:val="20"/>
          <w:szCs w:val="20"/>
          <w:color w:val="auto"/>
        </w:rPr>
      </w:pPr>
      <w:r>
        <w:rPr>
          <w:rFonts w:ascii="Arial" w:cs="Arial" w:eastAsia="Arial" w:hAnsi="Arial"/>
          <w:sz w:val="18"/>
          <w:szCs w:val="18"/>
          <w:b w:val="1"/>
          <w:bCs w:val="1"/>
          <w:color w:val="auto"/>
        </w:rPr>
        <w:t>in CHF thousands,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14" w:lineRule="auto"/>
        <w:rPr>
          <w:sz w:val="20"/>
          <w:szCs w:val="20"/>
          <w:color w:val="auto"/>
        </w:rPr>
      </w:pPr>
      <w:r>
        <w:rPr>
          <w:rFonts w:ascii="Arial" w:cs="Arial" w:eastAsia="Arial" w:hAnsi="Arial"/>
          <w:sz w:val="18"/>
          <w:szCs w:val="18"/>
          <w:color w:val="auto"/>
        </w:rPr>
        <w:t>Operating expenses</w:t>
      </w:r>
      <w:r>
        <w:rPr>
          <w:rFonts w:ascii="Arial" w:cs="Arial" w:eastAsia="Arial" w:hAnsi="Arial"/>
          <w:sz w:val="29"/>
          <w:szCs w:val="29"/>
          <w:color w:val="auto"/>
          <w:vertAlign w:val="superscript"/>
        </w:rPr>
        <w:t>1</w:t>
      </w:r>
    </w:p>
    <w:p>
      <w:pPr>
        <w:spacing w:after="0" w:line="195" w:lineRule="auto"/>
        <w:rPr>
          <w:sz w:val="20"/>
          <w:szCs w:val="20"/>
          <w:color w:val="auto"/>
        </w:rPr>
      </w:pPr>
      <w:r>
        <w:rPr>
          <w:rFonts w:ascii="Arial" w:cs="Arial" w:eastAsia="Arial" w:hAnsi="Arial"/>
          <w:sz w:val="18"/>
          <w:szCs w:val="18"/>
          <w:color w:val="auto"/>
        </w:rPr>
        <w:t>Salaries and related costs</w:t>
      </w:r>
      <w:r>
        <w:rPr>
          <w:rFonts w:ascii="Arial" w:cs="Arial" w:eastAsia="Arial" w:hAnsi="Arial"/>
          <w:sz w:val="29"/>
          <w:szCs w:val="29"/>
          <w:color w:val="auto"/>
          <w:vertAlign w:val="superscript"/>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132320" cy="16319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color w:val="auto"/>
        </w:rPr>
        <w:t>Total general and administrative expenses</w:t>
      </w:r>
    </w:p>
    <w:p>
      <w:pPr>
        <w:ind w:left="340" w:hanging="211"/>
        <w:spacing w:after="0" w:line="202" w:lineRule="auto"/>
        <w:tabs>
          <w:tab w:leader="none" w:pos="340" w:val="left"/>
        </w:tabs>
        <w:numPr>
          <w:ilvl w:val="0"/>
          <w:numId w:val="33"/>
        </w:numPr>
        <w:rPr>
          <w:rFonts w:ascii="Arial" w:cs="Arial" w:eastAsia="Arial" w:hAnsi="Arial"/>
          <w:sz w:val="30"/>
          <w:szCs w:val="30"/>
          <w:color w:val="auto"/>
          <w:vertAlign w:val="superscript"/>
        </w:rPr>
      </w:pPr>
      <w:r>
        <w:rPr>
          <w:rFonts w:ascii="Arial" w:cs="Arial" w:eastAsia="Arial" w:hAnsi="Arial"/>
          <w:sz w:val="18"/>
          <w:szCs w:val="18"/>
          <w:color w:val="auto"/>
        </w:rPr>
        <w:t>Includes depreciation expense</w:t>
      </w:r>
    </w:p>
    <w:p>
      <w:pPr>
        <w:ind w:left="340" w:hanging="211"/>
        <w:spacing w:after="0" w:line="180" w:lineRule="auto"/>
        <w:tabs>
          <w:tab w:leader="none" w:pos="340" w:val="left"/>
        </w:tabs>
        <w:numPr>
          <w:ilvl w:val="0"/>
          <w:numId w:val="34"/>
        </w:numPr>
        <w:rPr>
          <w:rFonts w:ascii="Arial" w:cs="Arial" w:eastAsia="Arial" w:hAnsi="Arial"/>
          <w:sz w:val="25"/>
          <w:szCs w:val="25"/>
          <w:color w:val="auto"/>
          <w:vertAlign w:val="superscript"/>
        </w:rPr>
      </w:pPr>
      <w:r>
        <w:rPr>
          <w:rFonts w:ascii="Arial" w:cs="Arial" w:eastAsia="Arial" w:hAnsi="Arial"/>
          <w:sz w:val="15"/>
          <w:szCs w:val="15"/>
          <w:color w:val="auto"/>
        </w:rPr>
        <w:t>Includes share-based compensation expense</w:t>
      </w:r>
    </w:p>
    <w:p>
      <w:pPr>
        <w:spacing w:after="0" w:line="203" w:lineRule="exact"/>
        <w:rPr>
          <w:sz w:val="20"/>
          <w:szCs w:val="20"/>
          <w:color w:val="auto"/>
        </w:rPr>
      </w:pPr>
    </w:p>
    <w:p>
      <w:pPr>
        <w:spacing w:after="0"/>
        <w:rPr>
          <w:sz w:val="20"/>
          <w:szCs w:val="20"/>
          <w:color w:val="auto"/>
        </w:rPr>
      </w:pPr>
      <w:r>
        <w:rPr>
          <w:rFonts w:ascii="Arial" w:cs="Arial" w:eastAsia="Arial" w:hAnsi="Arial"/>
          <w:sz w:val="16"/>
          <w:szCs w:val="16"/>
          <w:color w:val="auto"/>
        </w:rPr>
        <w:t>For the nine months ended September 30, 2021, this increase is primarily due to:</w:t>
      </w:r>
    </w:p>
    <w:p>
      <w:pPr>
        <w:spacing w:after="0" w:line="20" w:lineRule="exact"/>
        <w:rPr>
          <w:sz w:val="20"/>
          <w:szCs w:val="20"/>
          <w:color w:val="auto"/>
        </w:rPr>
      </w:pPr>
      <w:r>
        <w:rPr>
          <w:sz w:val="20"/>
          <w:szCs w:val="20"/>
          <w:color w:val="auto"/>
        </w:rPr>
        <w:br w:type="column"/>
      </w:r>
    </w:p>
    <w:p>
      <w:pPr>
        <w:spacing w:after="0" w:line="16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2920" w:type="dxa"/>
            <w:vAlign w:val="bottom"/>
            <w:gridSpan w:val="4"/>
          </w:tcPr>
          <w:p>
            <w:pPr>
              <w:ind w:left="600"/>
              <w:spacing w:after="0"/>
              <w:rPr>
                <w:sz w:val="20"/>
                <w:szCs w:val="20"/>
                <w:color w:val="auto"/>
              </w:rPr>
            </w:pPr>
            <w:r>
              <w:rPr>
                <w:rFonts w:ascii="Arial" w:cs="Arial" w:eastAsia="Arial" w:hAnsi="Arial"/>
                <w:sz w:val="18"/>
                <w:szCs w:val="18"/>
                <w:b w:val="1"/>
                <w:bCs w:val="1"/>
                <w:color w:val="auto"/>
              </w:rPr>
              <w:t>For the Nine Months</w:t>
            </w:r>
          </w:p>
        </w:tc>
        <w:tc>
          <w:tcPr>
            <w:tcW w:w="1340" w:type="dxa"/>
            <w:vAlign w:val="bottom"/>
          </w:tcPr>
          <w:p>
            <w:pPr>
              <w:spacing w:after="0"/>
              <w:rPr>
                <w:sz w:val="18"/>
                <w:szCs w:val="18"/>
                <w:color w:val="auto"/>
              </w:rPr>
            </w:pPr>
          </w:p>
        </w:tc>
      </w:tr>
      <w:tr>
        <w:trPr>
          <w:trHeight w:val="234"/>
        </w:trPr>
        <w:tc>
          <w:tcPr>
            <w:tcW w:w="2920" w:type="dxa"/>
            <w:vAlign w:val="bottom"/>
            <w:gridSpan w:val="4"/>
          </w:tcPr>
          <w:p>
            <w:pPr>
              <w:ind w:left="580"/>
              <w:spacing w:after="0"/>
              <w:rPr>
                <w:sz w:val="20"/>
                <w:szCs w:val="20"/>
                <w:color w:val="auto"/>
              </w:rPr>
            </w:pPr>
            <w:r>
              <w:rPr>
                <w:rFonts w:ascii="Arial" w:cs="Arial" w:eastAsia="Arial" w:hAnsi="Arial"/>
                <w:sz w:val="18"/>
                <w:szCs w:val="18"/>
                <w:b w:val="1"/>
                <w:bCs w:val="1"/>
                <w:color w:val="auto"/>
              </w:rPr>
              <w:t>Ended September 30,</w:t>
            </w:r>
          </w:p>
        </w:tc>
        <w:tc>
          <w:tcPr>
            <w:tcW w:w="1340" w:type="dxa"/>
            <w:vAlign w:val="bottom"/>
          </w:tcPr>
          <w:p>
            <w:pPr>
              <w:spacing w:after="0"/>
              <w:rPr>
                <w:sz w:val="20"/>
                <w:szCs w:val="20"/>
                <w:color w:val="auto"/>
              </w:rPr>
            </w:pPr>
          </w:p>
        </w:tc>
      </w:tr>
      <w:tr>
        <w:trPr>
          <w:trHeight w:val="223"/>
        </w:trPr>
        <w:tc>
          <w:tcPr>
            <w:tcW w:w="1380" w:type="dxa"/>
            <w:vAlign w:val="bottom"/>
            <w:tcBorders>
              <w:top w:val="single" w:sz="8" w:color="auto"/>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top w:val="single" w:sz="8" w:color="auto"/>
            </w:tcBorders>
          </w:tcPr>
          <w:p>
            <w:pPr>
              <w:spacing w:after="0"/>
              <w:rPr>
                <w:sz w:val="19"/>
                <w:szCs w:val="19"/>
                <w:color w:val="auto"/>
              </w:rPr>
            </w:pPr>
          </w:p>
        </w:tc>
        <w:tc>
          <w:tcPr>
            <w:tcW w:w="134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9"/>
                <w:szCs w:val="19"/>
                <w:color w:val="auto"/>
              </w:rPr>
            </w:pPr>
          </w:p>
        </w:tc>
        <w:tc>
          <w:tcPr>
            <w:tcW w:w="13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Change</w:t>
            </w:r>
          </w:p>
        </w:tc>
      </w:tr>
      <w:tr>
        <w:trPr>
          <w:trHeight w:val="250"/>
        </w:trPr>
        <w:tc>
          <w:tcPr>
            <w:tcW w:w="1380" w:type="dxa"/>
            <w:vAlign w:val="bottom"/>
          </w:tcPr>
          <w:p>
            <w:pPr>
              <w:jc w:val="right"/>
              <w:ind w:right="30"/>
              <w:spacing w:after="0"/>
              <w:rPr>
                <w:sz w:val="20"/>
                <w:szCs w:val="20"/>
                <w:color w:val="auto"/>
              </w:rPr>
            </w:pPr>
            <w:r>
              <w:rPr>
                <w:rFonts w:ascii="Arial" w:cs="Arial" w:eastAsia="Arial" w:hAnsi="Arial"/>
                <w:sz w:val="18"/>
                <w:szCs w:val="18"/>
                <w:color w:val="auto"/>
              </w:rPr>
              <w:t>6,758</w:t>
            </w:r>
          </w:p>
        </w:tc>
        <w:tc>
          <w:tcPr>
            <w:tcW w:w="100" w:type="dxa"/>
            <w:vAlign w:val="bottom"/>
          </w:tcPr>
          <w:p>
            <w:pPr>
              <w:spacing w:after="0"/>
              <w:rPr>
                <w:sz w:val="21"/>
                <w:szCs w:val="21"/>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5,259</w:t>
            </w:r>
          </w:p>
        </w:tc>
        <w:tc>
          <w:tcPr>
            <w:tcW w:w="10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1,499</w:t>
            </w:r>
          </w:p>
        </w:tc>
      </w:tr>
      <w:tr>
        <w:trPr>
          <w:trHeight w:val="270"/>
        </w:trPr>
        <w:tc>
          <w:tcPr>
            <w:tcW w:w="13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8,235</w:t>
            </w:r>
          </w:p>
        </w:tc>
        <w:tc>
          <w:tcPr>
            <w:tcW w:w="100" w:type="dxa"/>
            <w:vAlign w:val="bottom"/>
          </w:tcPr>
          <w:p>
            <w:pPr>
              <w:spacing w:after="0"/>
              <w:rPr>
                <w:sz w:val="23"/>
                <w:szCs w:val="23"/>
                <w:color w:val="auto"/>
              </w:rPr>
            </w:pPr>
          </w:p>
        </w:tc>
        <w:tc>
          <w:tcPr>
            <w:tcW w:w="13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8,294</w:t>
            </w:r>
          </w:p>
        </w:tc>
        <w:tc>
          <w:tcPr>
            <w:tcW w:w="100" w:type="dxa"/>
            <w:vAlign w:val="bottom"/>
          </w:tcPr>
          <w:p>
            <w:pPr>
              <w:spacing w:after="0"/>
              <w:rPr>
                <w:sz w:val="23"/>
                <w:szCs w:val="23"/>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w:t>
            </w:r>
          </w:p>
        </w:tc>
      </w:tr>
      <w:tr>
        <w:trPr>
          <w:trHeight w:val="223"/>
        </w:trPr>
        <w:tc>
          <w:tcPr>
            <w:tcW w:w="13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14,993</w:t>
            </w:r>
          </w:p>
        </w:tc>
        <w:tc>
          <w:tcPr>
            <w:tcW w:w="100" w:type="dxa"/>
            <w:vAlign w:val="bottom"/>
          </w:tcPr>
          <w:p>
            <w:pPr>
              <w:spacing w:after="0"/>
              <w:rPr>
                <w:sz w:val="19"/>
                <w:szCs w:val="19"/>
                <w:color w:val="auto"/>
              </w:rPr>
            </w:pPr>
          </w:p>
        </w:tc>
        <w:tc>
          <w:tcPr>
            <w:tcW w:w="13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13,553</w:t>
            </w:r>
          </w:p>
        </w:tc>
        <w:tc>
          <w:tcPr>
            <w:tcW w:w="100" w:type="dxa"/>
            <w:vAlign w:val="bottom"/>
          </w:tcPr>
          <w:p>
            <w:pPr>
              <w:spacing w:after="0"/>
              <w:rPr>
                <w:sz w:val="19"/>
                <w:szCs w:val="19"/>
                <w:color w:val="auto"/>
              </w:rPr>
            </w:pPr>
          </w:p>
        </w:tc>
        <w:tc>
          <w:tcPr>
            <w:tcW w:w="13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1,440</w:t>
            </w:r>
          </w:p>
        </w:tc>
      </w:tr>
      <w:tr>
        <w:trPr>
          <w:trHeight w:val="20"/>
        </w:trPr>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1017" w:lineRule="exact"/>
        <w:rPr>
          <w:sz w:val="20"/>
          <w:szCs w:val="20"/>
          <w:color w:val="auto"/>
        </w:rPr>
      </w:pPr>
    </w:p>
    <w:p>
      <w:pPr>
        <w:sectPr>
          <w:pgSz w:w="11900" w:h="16838" w:orient="portrait"/>
          <w:cols w:equalWidth="0" w:num="2">
            <w:col w:w="6260" w:space="720"/>
            <w:col w:w="4260"/>
          </w:cols>
          <w:pgMar w:left="320" w:top="584" w:right="339" w:bottom="1440" w:gutter="0" w:footer="0" w:header="0"/>
          <w:type w:val="continuous"/>
        </w:sectPr>
      </w:pPr>
    </w:p>
    <w:p>
      <w:pPr>
        <w:spacing w:after="0" w:line="48" w:lineRule="exact"/>
        <w:rPr>
          <w:sz w:val="20"/>
          <w:szCs w:val="20"/>
          <w:color w:val="auto"/>
        </w:rPr>
      </w:pPr>
    </w:p>
    <w:p>
      <w:pPr>
        <w:ind w:left="660" w:right="120" w:hanging="328"/>
        <w:spacing w:after="0" w:line="277" w:lineRule="auto"/>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an increase of CHF 0.7 million for transaction costs associated with our asset acquisition for a portfolio of therapeutics targeting alpha-synuclein; and</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an increase in our directors’ and officers’ insurance of CHF 0.8 million for the period,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This was partially offset by;</w:t>
      </w:r>
    </w:p>
    <w:p>
      <w:pPr>
        <w:spacing w:after="0" w:line="225" w:lineRule="exact"/>
        <w:rPr>
          <w:sz w:val="20"/>
          <w:szCs w:val="20"/>
          <w:color w:val="auto"/>
        </w:rPr>
      </w:pPr>
    </w:p>
    <w:p>
      <w:pPr>
        <w:ind w:left="660" w:hanging="328"/>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 decrease in share-based compensation expense of CHF 0.2 million.</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Other operating income/(expense)</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7"/>
          <w:szCs w:val="17"/>
          <w:color w:val="auto"/>
        </w:rPr>
        <w:t>Other operating income/(expense) consists primarily of income associated with foundation grants such as those from the MJFF or Target ALS.</w:t>
      </w:r>
    </w:p>
    <w:p>
      <w:pPr>
        <w:spacing w:after="0" w:line="237" w:lineRule="exact"/>
        <w:rPr>
          <w:sz w:val="20"/>
          <w:szCs w:val="20"/>
          <w:color w:val="auto"/>
        </w:rPr>
      </w:pPr>
    </w:p>
    <w:p>
      <w:pPr>
        <w:jc w:val="both"/>
        <w:ind w:right="240" w:firstLine="324"/>
        <w:spacing w:after="0" w:line="263" w:lineRule="auto"/>
        <w:rPr>
          <w:sz w:val="20"/>
          <w:szCs w:val="20"/>
          <w:color w:val="auto"/>
        </w:rPr>
      </w:pPr>
      <w:r>
        <w:rPr>
          <w:rFonts w:ascii="Arial" w:cs="Arial" w:eastAsia="Arial" w:hAnsi="Arial"/>
          <w:sz w:val="18"/>
          <w:szCs w:val="18"/>
          <w:color w:val="auto"/>
        </w:rPr>
        <w:t>For the three months ended September 30, 2021, other operating income/(expense) totaled CHF 0.3 million compared with CHF 0.5 million for the comparable period in 2020. This represents a decrease of CHF 0.2 million. The following table presents the other operating income/(expense) during the three months ended September 30, 2021 and 2020:</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920" w:type="dxa"/>
            <w:vAlign w:val="bottom"/>
            <w:gridSpan w:val="4"/>
          </w:tcPr>
          <w:p>
            <w:pPr>
              <w:jc w:val="center"/>
              <w:ind w:right="100"/>
              <w:spacing w:after="0"/>
              <w:rPr>
                <w:sz w:val="20"/>
                <w:szCs w:val="20"/>
                <w:color w:val="auto"/>
              </w:rPr>
            </w:pPr>
            <w:r>
              <w:rPr>
                <w:rFonts w:ascii="Arial" w:cs="Arial" w:eastAsia="Arial" w:hAnsi="Arial"/>
                <w:sz w:val="18"/>
                <w:szCs w:val="18"/>
                <w:b w:val="1"/>
                <w:bCs w:val="1"/>
                <w:color w:val="auto"/>
                <w:w w:val="92"/>
              </w:rPr>
              <w:t>For the Three Months</w:t>
            </w:r>
          </w:p>
        </w:tc>
        <w:tc>
          <w:tcPr>
            <w:tcW w:w="1340" w:type="dxa"/>
            <w:vAlign w:val="bottom"/>
          </w:tcPr>
          <w:p>
            <w:pPr>
              <w:spacing w:after="0"/>
              <w:rPr>
                <w:sz w:val="18"/>
                <w:szCs w:val="18"/>
                <w:color w:val="auto"/>
              </w:rPr>
            </w:pPr>
          </w:p>
        </w:tc>
      </w:tr>
      <w:tr>
        <w:trPr>
          <w:trHeight w:val="234"/>
        </w:trPr>
        <w:tc>
          <w:tcPr>
            <w:tcW w:w="6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920" w:type="dxa"/>
            <w:vAlign w:val="bottom"/>
            <w:gridSpan w:val="4"/>
          </w:tcPr>
          <w:p>
            <w:pPr>
              <w:jc w:val="center"/>
              <w:ind w:right="100"/>
              <w:spacing w:after="0"/>
              <w:rPr>
                <w:sz w:val="20"/>
                <w:szCs w:val="20"/>
                <w:color w:val="auto"/>
              </w:rPr>
            </w:pPr>
            <w:r>
              <w:rPr>
                <w:rFonts w:ascii="Arial" w:cs="Arial" w:eastAsia="Arial" w:hAnsi="Arial"/>
                <w:sz w:val="18"/>
                <w:szCs w:val="18"/>
                <w:b w:val="1"/>
                <w:bCs w:val="1"/>
                <w:color w:val="auto"/>
                <w:w w:val="90"/>
              </w:rPr>
              <w:t>Ended September 30,</w:t>
            </w:r>
          </w:p>
        </w:tc>
        <w:tc>
          <w:tcPr>
            <w:tcW w:w="1340" w:type="dxa"/>
            <w:vAlign w:val="bottom"/>
          </w:tcPr>
          <w:p>
            <w:pPr>
              <w:spacing w:after="0"/>
              <w:rPr>
                <w:sz w:val="20"/>
                <w:szCs w:val="20"/>
                <w:color w:val="auto"/>
              </w:rPr>
            </w:pPr>
          </w:p>
        </w:tc>
      </w:tr>
      <w:tr>
        <w:trPr>
          <w:trHeight w:val="223"/>
        </w:trPr>
        <w:tc>
          <w:tcPr>
            <w:tcW w:w="6980" w:type="dxa"/>
            <w:vAlign w:val="bottom"/>
            <w:gridSpan w:val="2"/>
          </w:tcPr>
          <w:p>
            <w:pPr>
              <w:ind w:left="2300"/>
              <w:spacing w:after="0"/>
              <w:rPr>
                <w:sz w:val="20"/>
                <w:szCs w:val="20"/>
                <w:color w:val="auto"/>
              </w:rPr>
            </w:pPr>
            <w:r>
              <w:rPr>
                <w:rFonts w:ascii="Arial" w:cs="Arial" w:eastAsia="Arial" w:hAnsi="Arial"/>
                <w:sz w:val="18"/>
                <w:szCs w:val="18"/>
                <w:b w:val="1"/>
                <w:bCs w:val="1"/>
                <w:color w:val="auto"/>
              </w:rPr>
              <w:t>in CHF thousands, unaudited</w:t>
            </w:r>
          </w:p>
        </w:tc>
        <w:tc>
          <w:tcPr>
            <w:tcW w:w="1380" w:type="dxa"/>
            <w:vAlign w:val="bottom"/>
            <w:tcBorders>
              <w:top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top w:val="single" w:sz="8" w:color="auto"/>
            </w:tcBorders>
          </w:tcPr>
          <w:p>
            <w:pPr>
              <w:spacing w:after="0"/>
              <w:rPr>
                <w:sz w:val="19"/>
                <w:szCs w:val="19"/>
                <w:color w:val="auto"/>
              </w:rPr>
            </w:pPr>
          </w:p>
        </w:tc>
        <w:tc>
          <w:tcPr>
            <w:tcW w:w="1340" w:type="dxa"/>
            <w:vAlign w:val="bottom"/>
            <w:tcBorders>
              <w:top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9"/>
                <w:szCs w:val="19"/>
                <w:color w:val="auto"/>
              </w:rPr>
            </w:pPr>
          </w:p>
        </w:tc>
        <w:tc>
          <w:tcPr>
            <w:tcW w:w="1340" w:type="dxa"/>
            <w:vAlign w:val="bottom"/>
          </w:tcPr>
          <w:p>
            <w:pPr>
              <w:jc w:val="right"/>
              <w:ind w:right="290"/>
              <w:spacing w:after="0"/>
              <w:rPr>
                <w:sz w:val="20"/>
                <w:szCs w:val="20"/>
                <w:color w:val="auto"/>
              </w:rPr>
            </w:pPr>
            <w:r>
              <w:rPr>
                <w:rFonts w:ascii="Arial" w:cs="Arial" w:eastAsia="Arial" w:hAnsi="Arial"/>
                <w:sz w:val="18"/>
                <w:szCs w:val="18"/>
                <w:b w:val="1"/>
                <w:bCs w:val="1"/>
                <w:color w:val="auto"/>
              </w:rPr>
              <w:t>Change</w:t>
            </w:r>
          </w:p>
        </w:tc>
      </w:tr>
      <w:tr>
        <w:trPr>
          <w:trHeight w:val="223"/>
        </w:trPr>
        <w:tc>
          <w:tcPr>
            <w:tcW w:w="6860" w:type="dxa"/>
            <w:vAlign w:val="bottom"/>
            <w:tcBorders>
              <w:top w:val="single" w:sz="8" w:color="auto"/>
            </w:tcBorders>
            <w:shd w:val="clear" w:color="auto" w:fill="D5EAEA"/>
          </w:tcPr>
          <w:p>
            <w:pPr>
              <w:spacing w:after="0"/>
              <w:rPr>
                <w:sz w:val="20"/>
                <w:szCs w:val="20"/>
                <w:color w:val="auto"/>
              </w:rPr>
            </w:pPr>
            <w:r>
              <w:rPr>
                <w:rFonts w:ascii="Arial" w:cs="Arial" w:eastAsia="Arial" w:hAnsi="Arial"/>
                <w:sz w:val="18"/>
                <w:szCs w:val="18"/>
                <w:color w:val="auto"/>
              </w:rPr>
              <w:t>Other operating income/(expense)</w:t>
            </w:r>
          </w:p>
        </w:tc>
        <w:tc>
          <w:tcPr>
            <w:tcW w:w="120" w:type="dxa"/>
            <w:vAlign w:val="bottom"/>
            <w:tcBorders>
              <w:top w:val="single" w:sz="8" w:color="D5EAEA"/>
            </w:tcBorders>
            <w:shd w:val="clear" w:color="auto" w:fill="D5EAEA"/>
          </w:tcPr>
          <w:p>
            <w:pPr>
              <w:spacing w:after="0"/>
              <w:rPr>
                <w:sz w:val="19"/>
                <w:szCs w:val="19"/>
                <w:color w:val="auto"/>
              </w:rPr>
            </w:pPr>
          </w:p>
        </w:tc>
        <w:tc>
          <w:tcPr>
            <w:tcW w:w="1380" w:type="dxa"/>
            <w:vAlign w:val="bottom"/>
            <w:tcBorders>
              <w:top w:val="single" w:sz="8" w:color="auto"/>
              <w:bottom w:val="single" w:sz="8" w:color="auto"/>
            </w:tcBorders>
            <w:shd w:val="clear" w:color="auto" w:fill="D5EAEA"/>
          </w:tcPr>
          <w:p>
            <w:pPr>
              <w:jc w:val="right"/>
              <w:ind w:right="30"/>
              <w:spacing w:after="0"/>
              <w:rPr>
                <w:sz w:val="20"/>
                <w:szCs w:val="20"/>
                <w:color w:val="auto"/>
              </w:rPr>
            </w:pPr>
            <w:r>
              <w:rPr>
                <w:rFonts w:ascii="Arial" w:cs="Arial" w:eastAsia="Arial" w:hAnsi="Arial"/>
                <w:sz w:val="18"/>
                <w:szCs w:val="18"/>
                <w:color w:val="auto"/>
              </w:rPr>
              <w:t>255</w:t>
            </w:r>
          </w:p>
        </w:tc>
        <w:tc>
          <w:tcPr>
            <w:tcW w:w="100" w:type="dxa"/>
            <w:vAlign w:val="bottom"/>
            <w:tcBorders>
              <w:top w:val="single" w:sz="8" w:color="D5EAEA"/>
            </w:tcBorders>
            <w:shd w:val="clear" w:color="auto" w:fill="D5EAEA"/>
          </w:tcPr>
          <w:p>
            <w:pPr>
              <w:spacing w:after="0"/>
              <w:rPr>
                <w:sz w:val="19"/>
                <w:szCs w:val="19"/>
                <w:color w:val="auto"/>
              </w:rPr>
            </w:pPr>
          </w:p>
        </w:tc>
        <w:tc>
          <w:tcPr>
            <w:tcW w:w="1340" w:type="dxa"/>
            <w:vAlign w:val="bottom"/>
            <w:tcBorders>
              <w:top w:val="single" w:sz="8" w:color="auto"/>
              <w:bottom w:val="single" w:sz="8" w:color="auto"/>
            </w:tcBorders>
            <w:shd w:val="clear" w:color="auto" w:fill="D5EAEA"/>
          </w:tcPr>
          <w:p>
            <w:pPr>
              <w:jc w:val="right"/>
              <w:ind w:right="30"/>
              <w:spacing w:after="0"/>
              <w:rPr>
                <w:sz w:val="20"/>
                <w:szCs w:val="20"/>
                <w:color w:val="auto"/>
              </w:rPr>
            </w:pPr>
            <w:r>
              <w:rPr>
                <w:rFonts w:ascii="Arial" w:cs="Arial" w:eastAsia="Arial" w:hAnsi="Arial"/>
                <w:sz w:val="18"/>
                <w:szCs w:val="18"/>
                <w:color w:val="auto"/>
              </w:rPr>
              <w:t>482</w:t>
            </w:r>
          </w:p>
        </w:tc>
        <w:tc>
          <w:tcPr>
            <w:tcW w:w="100" w:type="dxa"/>
            <w:vAlign w:val="bottom"/>
            <w:tcBorders>
              <w:top w:val="single" w:sz="8" w:color="D5EAEA"/>
            </w:tcBorders>
            <w:shd w:val="clear" w:color="auto" w:fill="D5EAEA"/>
          </w:tcPr>
          <w:p>
            <w:pPr>
              <w:spacing w:after="0"/>
              <w:rPr>
                <w:sz w:val="19"/>
                <w:szCs w:val="19"/>
                <w:color w:val="auto"/>
              </w:rPr>
            </w:pPr>
          </w:p>
        </w:tc>
        <w:tc>
          <w:tcPr>
            <w:tcW w:w="1340" w:type="dxa"/>
            <w:vAlign w:val="bottom"/>
            <w:tcBorders>
              <w:top w:val="single" w:sz="8" w:color="auto"/>
              <w:bottom w:val="single" w:sz="8" w:color="auto"/>
            </w:tcBorders>
            <w:shd w:val="clear" w:color="auto" w:fill="D5EAEA"/>
          </w:tcPr>
          <w:p>
            <w:pPr>
              <w:jc w:val="right"/>
              <w:spacing w:after="0"/>
              <w:rPr>
                <w:sz w:val="20"/>
                <w:szCs w:val="20"/>
                <w:color w:val="auto"/>
              </w:rPr>
            </w:pPr>
            <w:r>
              <w:rPr>
                <w:rFonts w:ascii="Arial" w:cs="Arial" w:eastAsia="Arial" w:hAnsi="Arial"/>
                <w:sz w:val="18"/>
                <w:szCs w:val="18"/>
                <w:color w:val="auto"/>
              </w:rPr>
              <w:t>(227)</w:t>
            </w:r>
          </w:p>
        </w:tc>
      </w:tr>
      <w:tr>
        <w:trPr>
          <w:trHeight w:val="223"/>
        </w:trPr>
        <w:tc>
          <w:tcPr>
            <w:tcW w:w="6980" w:type="dxa"/>
            <w:vAlign w:val="bottom"/>
            <w:gridSpan w:val="2"/>
          </w:tcPr>
          <w:p>
            <w:pPr>
              <w:spacing w:after="0"/>
              <w:rPr>
                <w:sz w:val="20"/>
                <w:szCs w:val="20"/>
                <w:color w:val="auto"/>
              </w:rPr>
            </w:pPr>
            <w:r>
              <w:rPr>
                <w:rFonts w:ascii="Arial" w:cs="Arial" w:eastAsia="Arial" w:hAnsi="Arial"/>
                <w:sz w:val="18"/>
                <w:szCs w:val="18"/>
                <w:b w:val="1"/>
                <w:bCs w:val="1"/>
                <w:color w:val="auto"/>
              </w:rPr>
              <w:t>Total other operating income/(expense)</w:t>
            </w:r>
          </w:p>
        </w:tc>
        <w:tc>
          <w:tcPr>
            <w:tcW w:w="13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255</w:t>
            </w:r>
          </w:p>
        </w:tc>
        <w:tc>
          <w:tcPr>
            <w:tcW w:w="100" w:type="dxa"/>
            <w:vAlign w:val="bottom"/>
          </w:tcPr>
          <w:p>
            <w:pPr>
              <w:spacing w:after="0"/>
              <w:rPr>
                <w:sz w:val="19"/>
                <w:szCs w:val="19"/>
                <w:color w:val="auto"/>
              </w:rPr>
            </w:pPr>
          </w:p>
        </w:tc>
        <w:tc>
          <w:tcPr>
            <w:tcW w:w="13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482</w:t>
            </w:r>
          </w:p>
        </w:tc>
        <w:tc>
          <w:tcPr>
            <w:tcW w:w="100" w:type="dxa"/>
            <w:vAlign w:val="bottom"/>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(227)</w:t>
            </w:r>
          </w:p>
        </w:tc>
      </w:tr>
      <w:tr>
        <w:trPr>
          <w:trHeight w:val="20"/>
        </w:trPr>
        <w:tc>
          <w:tcPr>
            <w:tcW w:w="6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For the three months ended September 30, 2021, this decrease is primarily due to:</w:t>
      </w:r>
    </w:p>
    <w:p>
      <w:pPr>
        <w:spacing w:after="0" w:line="225" w:lineRule="exact"/>
        <w:rPr>
          <w:sz w:val="20"/>
          <w:szCs w:val="20"/>
          <w:color w:val="auto"/>
        </w:rPr>
      </w:pPr>
    </w:p>
    <w:p>
      <w:pPr>
        <w:ind w:left="660" w:right="100" w:hanging="328"/>
        <w:spacing w:after="0" w:line="277" w:lineRule="auto"/>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 decrease of CHF 0.3 million in grant income related to activities completed prior to the start of the current period related to our MJFF awards in 2021,</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This was partially offset by;</w:t>
      </w:r>
    </w:p>
    <w:p>
      <w:pPr>
        <w:spacing w:after="0" w:line="225" w:lineRule="exact"/>
        <w:rPr>
          <w:sz w:val="20"/>
          <w:szCs w:val="20"/>
          <w:color w:val="auto"/>
        </w:rPr>
      </w:pPr>
    </w:p>
    <w:p>
      <w:pPr>
        <w:ind w:left="660" w:hanging="328"/>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an increase of less than CHF 0.1 million in grant income for activities completed for our Target ALS Foundation award.</w:t>
      </w:r>
    </w:p>
    <w:p>
      <w:pPr>
        <w:spacing w:after="0" w:line="225" w:lineRule="exact"/>
        <w:rPr>
          <w:sz w:val="20"/>
          <w:szCs w:val="20"/>
          <w:color w:val="auto"/>
        </w:rPr>
      </w:pPr>
    </w:p>
    <w:p>
      <w:pPr>
        <w:ind w:right="180" w:firstLine="324"/>
        <w:spacing w:after="0" w:line="263" w:lineRule="auto"/>
        <w:rPr>
          <w:sz w:val="20"/>
          <w:szCs w:val="20"/>
          <w:color w:val="auto"/>
        </w:rPr>
      </w:pPr>
      <w:r>
        <w:rPr>
          <w:rFonts w:ascii="Arial" w:cs="Arial" w:eastAsia="Arial" w:hAnsi="Arial"/>
          <w:sz w:val="18"/>
          <w:szCs w:val="18"/>
          <w:color w:val="auto"/>
        </w:rPr>
        <w:t>For the nine months ended September 30, 2021, other operating income/(expense) totaled CHF 0.9 million compared with CHF 0.8 million for the comparable period in 2020. This represents an increase of CHF 0.1 million. The following table presents the other operating income/(expense) during the nine months ended September 30, 2021 and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322580</wp:posOffset>
            </wp:positionV>
            <wp:extent cx="713232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type w:val="continuous"/>
        </w:sectPr>
      </w:pPr>
    </w:p>
    <w:bookmarkStart w:id="25" w:name="page26"/>
    <w:bookmarkEnd w:id="25"/>
    <w:tbl>
      <w:tblPr>
        <w:tblLayout w:type="fixed"/>
        <w:tblInd w:w="0" w:type="dxa"/>
        <w:tblCellMar>
          <w:top w:w="0" w:type="dxa"/>
          <w:left w:w="0" w:type="dxa"/>
          <w:bottom w:w="0" w:type="dxa"/>
          <w:right w:w="0" w:type="dxa"/>
        </w:tblCellMar>
      </w:tblPr>
      <w:tr>
        <w:trPr>
          <w:trHeight w:val="216"/>
        </w:trPr>
        <w:tc>
          <w:tcPr>
            <w:tcW w:w="6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920" w:type="dxa"/>
            <w:vAlign w:val="bottom"/>
            <w:gridSpan w:val="4"/>
          </w:tcPr>
          <w:p>
            <w:pPr>
              <w:ind w:left="600"/>
              <w:spacing w:after="0"/>
              <w:rPr>
                <w:sz w:val="20"/>
                <w:szCs w:val="20"/>
                <w:color w:val="auto"/>
              </w:rPr>
            </w:pPr>
            <w:r>
              <w:rPr>
                <w:rFonts w:ascii="Arial" w:cs="Arial" w:eastAsia="Arial" w:hAnsi="Arial"/>
                <w:sz w:val="18"/>
                <w:szCs w:val="18"/>
                <w:b w:val="1"/>
                <w:bCs w:val="1"/>
                <w:color w:val="auto"/>
              </w:rPr>
              <w:t>For the Nine Months</w:t>
            </w:r>
          </w:p>
        </w:tc>
        <w:tc>
          <w:tcPr>
            <w:tcW w:w="1340" w:type="dxa"/>
            <w:vAlign w:val="bottom"/>
          </w:tcPr>
          <w:p>
            <w:pPr>
              <w:spacing w:after="0"/>
              <w:rPr>
                <w:sz w:val="18"/>
                <w:szCs w:val="18"/>
                <w:color w:val="auto"/>
              </w:rPr>
            </w:pPr>
          </w:p>
        </w:tc>
      </w:tr>
      <w:tr>
        <w:trPr>
          <w:trHeight w:val="234"/>
        </w:trPr>
        <w:tc>
          <w:tcPr>
            <w:tcW w:w="6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920" w:type="dxa"/>
            <w:vAlign w:val="bottom"/>
            <w:gridSpan w:val="4"/>
          </w:tcPr>
          <w:p>
            <w:pPr>
              <w:ind w:left="580"/>
              <w:spacing w:after="0"/>
              <w:rPr>
                <w:sz w:val="20"/>
                <w:szCs w:val="20"/>
                <w:color w:val="auto"/>
              </w:rPr>
            </w:pPr>
            <w:r>
              <w:rPr>
                <w:rFonts w:ascii="Arial" w:cs="Arial" w:eastAsia="Arial" w:hAnsi="Arial"/>
                <w:sz w:val="18"/>
                <w:szCs w:val="18"/>
                <w:b w:val="1"/>
                <w:bCs w:val="1"/>
                <w:color w:val="auto"/>
              </w:rPr>
              <w:t>Ended September 30,</w:t>
            </w:r>
          </w:p>
        </w:tc>
        <w:tc>
          <w:tcPr>
            <w:tcW w:w="1340" w:type="dxa"/>
            <w:vAlign w:val="bottom"/>
          </w:tcPr>
          <w:p>
            <w:pPr>
              <w:spacing w:after="0"/>
              <w:rPr>
                <w:sz w:val="20"/>
                <w:szCs w:val="20"/>
                <w:color w:val="auto"/>
              </w:rPr>
            </w:pPr>
          </w:p>
        </w:tc>
      </w:tr>
      <w:tr>
        <w:trPr>
          <w:trHeight w:val="223"/>
        </w:trPr>
        <w:tc>
          <w:tcPr>
            <w:tcW w:w="6980" w:type="dxa"/>
            <w:vAlign w:val="bottom"/>
            <w:gridSpan w:val="2"/>
          </w:tcPr>
          <w:p>
            <w:pPr>
              <w:ind w:left="2300"/>
              <w:spacing w:after="0"/>
              <w:rPr>
                <w:sz w:val="20"/>
                <w:szCs w:val="20"/>
                <w:color w:val="auto"/>
              </w:rPr>
            </w:pPr>
            <w:r>
              <w:rPr>
                <w:rFonts w:ascii="Arial" w:cs="Arial" w:eastAsia="Arial" w:hAnsi="Arial"/>
                <w:sz w:val="18"/>
                <w:szCs w:val="18"/>
                <w:b w:val="1"/>
                <w:bCs w:val="1"/>
                <w:color w:val="auto"/>
              </w:rPr>
              <w:t>in CHF thousands, unaudited</w:t>
            </w:r>
          </w:p>
        </w:tc>
        <w:tc>
          <w:tcPr>
            <w:tcW w:w="1380" w:type="dxa"/>
            <w:vAlign w:val="bottom"/>
            <w:tcBorders>
              <w:top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top w:val="single" w:sz="8" w:color="auto"/>
            </w:tcBorders>
          </w:tcPr>
          <w:p>
            <w:pPr>
              <w:spacing w:after="0"/>
              <w:rPr>
                <w:sz w:val="19"/>
                <w:szCs w:val="19"/>
                <w:color w:val="auto"/>
              </w:rPr>
            </w:pPr>
          </w:p>
        </w:tc>
        <w:tc>
          <w:tcPr>
            <w:tcW w:w="1340" w:type="dxa"/>
            <w:vAlign w:val="bottom"/>
            <w:tcBorders>
              <w:top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9"/>
                <w:szCs w:val="19"/>
                <w:color w:val="auto"/>
              </w:rPr>
            </w:pPr>
          </w:p>
        </w:tc>
        <w:tc>
          <w:tcPr>
            <w:tcW w:w="1340" w:type="dxa"/>
            <w:vAlign w:val="bottom"/>
          </w:tcPr>
          <w:p>
            <w:pPr>
              <w:jc w:val="right"/>
              <w:ind w:right="290"/>
              <w:spacing w:after="0"/>
              <w:rPr>
                <w:sz w:val="20"/>
                <w:szCs w:val="20"/>
                <w:color w:val="auto"/>
              </w:rPr>
            </w:pPr>
            <w:r>
              <w:rPr>
                <w:rFonts w:ascii="Arial" w:cs="Arial" w:eastAsia="Arial" w:hAnsi="Arial"/>
                <w:sz w:val="18"/>
                <w:szCs w:val="18"/>
                <w:b w:val="1"/>
                <w:bCs w:val="1"/>
                <w:color w:val="auto"/>
              </w:rPr>
              <w:t>Change</w:t>
            </w:r>
          </w:p>
        </w:tc>
      </w:tr>
      <w:tr>
        <w:trPr>
          <w:trHeight w:val="223"/>
        </w:trPr>
        <w:tc>
          <w:tcPr>
            <w:tcW w:w="6860" w:type="dxa"/>
            <w:vAlign w:val="bottom"/>
            <w:tcBorders>
              <w:top w:val="single" w:sz="8" w:color="auto"/>
            </w:tcBorders>
            <w:shd w:val="clear" w:color="auto" w:fill="D5EAEA"/>
          </w:tcPr>
          <w:p>
            <w:pPr>
              <w:spacing w:after="0"/>
              <w:rPr>
                <w:sz w:val="20"/>
                <w:szCs w:val="20"/>
                <w:color w:val="auto"/>
              </w:rPr>
            </w:pPr>
            <w:r>
              <w:rPr>
                <w:rFonts w:ascii="Arial" w:cs="Arial" w:eastAsia="Arial" w:hAnsi="Arial"/>
                <w:sz w:val="18"/>
                <w:szCs w:val="18"/>
                <w:color w:val="auto"/>
              </w:rPr>
              <w:t>Other operating income/(expense)</w:t>
            </w:r>
          </w:p>
        </w:tc>
        <w:tc>
          <w:tcPr>
            <w:tcW w:w="120" w:type="dxa"/>
            <w:vAlign w:val="bottom"/>
            <w:tcBorders>
              <w:top w:val="single" w:sz="8" w:color="D5EAEA"/>
            </w:tcBorders>
            <w:shd w:val="clear" w:color="auto" w:fill="D5EAEA"/>
          </w:tcPr>
          <w:p>
            <w:pPr>
              <w:spacing w:after="0"/>
              <w:rPr>
                <w:sz w:val="19"/>
                <w:szCs w:val="19"/>
                <w:color w:val="auto"/>
              </w:rPr>
            </w:pPr>
          </w:p>
        </w:tc>
        <w:tc>
          <w:tcPr>
            <w:tcW w:w="1380" w:type="dxa"/>
            <w:vAlign w:val="bottom"/>
            <w:tcBorders>
              <w:top w:val="single" w:sz="8" w:color="auto"/>
              <w:bottom w:val="single" w:sz="8" w:color="auto"/>
            </w:tcBorders>
            <w:shd w:val="clear" w:color="auto" w:fill="D5EAEA"/>
          </w:tcPr>
          <w:p>
            <w:pPr>
              <w:jc w:val="right"/>
              <w:ind w:right="30"/>
              <w:spacing w:after="0"/>
              <w:rPr>
                <w:sz w:val="20"/>
                <w:szCs w:val="20"/>
                <w:color w:val="auto"/>
              </w:rPr>
            </w:pPr>
            <w:r>
              <w:rPr>
                <w:rFonts w:ascii="Arial" w:cs="Arial" w:eastAsia="Arial" w:hAnsi="Arial"/>
                <w:sz w:val="18"/>
                <w:szCs w:val="18"/>
                <w:color w:val="auto"/>
              </w:rPr>
              <w:t>928</w:t>
            </w:r>
          </w:p>
        </w:tc>
        <w:tc>
          <w:tcPr>
            <w:tcW w:w="100" w:type="dxa"/>
            <w:vAlign w:val="bottom"/>
            <w:tcBorders>
              <w:top w:val="single" w:sz="8" w:color="D5EAEA"/>
            </w:tcBorders>
            <w:shd w:val="clear" w:color="auto" w:fill="D5EAEA"/>
          </w:tcPr>
          <w:p>
            <w:pPr>
              <w:spacing w:after="0"/>
              <w:rPr>
                <w:sz w:val="19"/>
                <w:szCs w:val="19"/>
                <w:color w:val="auto"/>
              </w:rPr>
            </w:pPr>
          </w:p>
        </w:tc>
        <w:tc>
          <w:tcPr>
            <w:tcW w:w="1340" w:type="dxa"/>
            <w:vAlign w:val="bottom"/>
            <w:tcBorders>
              <w:top w:val="single" w:sz="8" w:color="auto"/>
              <w:bottom w:val="single" w:sz="8" w:color="auto"/>
            </w:tcBorders>
            <w:shd w:val="clear" w:color="auto" w:fill="D5EAEA"/>
          </w:tcPr>
          <w:p>
            <w:pPr>
              <w:jc w:val="right"/>
              <w:ind w:right="30"/>
              <w:spacing w:after="0"/>
              <w:rPr>
                <w:sz w:val="20"/>
                <w:szCs w:val="20"/>
                <w:color w:val="auto"/>
              </w:rPr>
            </w:pPr>
            <w:r>
              <w:rPr>
                <w:rFonts w:ascii="Arial" w:cs="Arial" w:eastAsia="Arial" w:hAnsi="Arial"/>
                <w:sz w:val="18"/>
                <w:szCs w:val="18"/>
                <w:color w:val="auto"/>
              </w:rPr>
              <w:t>807</w:t>
            </w:r>
          </w:p>
        </w:tc>
        <w:tc>
          <w:tcPr>
            <w:tcW w:w="100" w:type="dxa"/>
            <w:vAlign w:val="bottom"/>
            <w:tcBorders>
              <w:top w:val="single" w:sz="8" w:color="D5EAEA"/>
            </w:tcBorders>
            <w:shd w:val="clear" w:color="auto" w:fill="D5EAEA"/>
          </w:tcPr>
          <w:p>
            <w:pPr>
              <w:spacing w:after="0"/>
              <w:rPr>
                <w:sz w:val="19"/>
                <w:szCs w:val="19"/>
                <w:color w:val="auto"/>
              </w:rPr>
            </w:pPr>
          </w:p>
        </w:tc>
        <w:tc>
          <w:tcPr>
            <w:tcW w:w="1340" w:type="dxa"/>
            <w:vAlign w:val="bottom"/>
            <w:tcBorders>
              <w:top w:val="single" w:sz="8" w:color="auto"/>
              <w:bottom w:val="single" w:sz="8" w:color="auto"/>
            </w:tcBorders>
            <w:shd w:val="clear" w:color="auto" w:fill="D5EAEA"/>
          </w:tcPr>
          <w:p>
            <w:pPr>
              <w:jc w:val="right"/>
              <w:ind w:right="10"/>
              <w:spacing w:after="0"/>
              <w:rPr>
                <w:sz w:val="20"/>
                <w:szCs w:val="20"/>
                <w:color w:val="auto"/>
              </w:rPr>
            </w:pPr>
            <w:r>
              <w:rPr>
                <w:rFonts w:ascii="Arial" w:cs="Arial" w:eastAsia="Arial" w:hAnsi="Arial"/>
                <w:sz w:val="18"/>
                <w:szCs w:val="18"/>
                <w:color w:val="auto"/>
              </w:rPr>
              <w:t>121</w:t>
            </w:r>
          </w:p>
        </w:tc>
      </w:tr>
      <w:tr>
        <w:trPr>
          <w:trHeight w:val="263"/>
        </w:trPr>
        <w:tc>
          <w:tcPr>
            <w:tcW w:w="6980" w:type="dxa"/>
            <w:vAlign w:val="bottom"/>
            <w:tcBorders>
              <w:bottom w:val="single" w:sz="8" w:color="D5EAEA"/>
            </w:tcBorders>
            <w:gridSpan w:val="2"/>
          </w:tcPr>
          <w:p>
            <w:pPr>
              <w:spacing w:after="0"/>
              <w:rPr>
                <w:sz w:val="20"/>
                <w:szCs w:val="20"/>
                <w:color w:val="auto"/>
              </w:rPr>
            </w:pPr>
            <w:r>
              <w:rPr>
                <w:rFonts w:ascii="Arial" w:cs="Arial" w:eastAsia="Arial" w:hAnsi="Arial"/>
                <w:sz w:val="18"/>
                <w:szCs w:val="18"/>
                <w:b w:val="1"/>
                <w:bCs w:val="1"/>
                <w:color w:val="auto"/>
              </w:rPr>
              <w:t>Total other operating income/(expense)</w:t>
            </w:r>
          </w:p>
        </w:tc>
        <w:tc>
          <w:tcPr>
            <w:tcW w:w="13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928</w:t>
            </w:r>
          </w:p>
        </w:tc>
        <w:tc>
          <w:tcPr>
            <w:tcW w:w="100" w:type="dxa"/>
            <w:vAlign w:val="bottom"/>
            <w:tcBorders>
              <w:bottom w:val="single" w:sz="8" w:color="D5EAEA"/>
            </w:tcBorders>
          </w:tcPr>
          <w:p>
            <w:pPr>
              <w:spacing w:after="0"/>
              <w:rPr>
                <w:sz w:val="22"/>
                <w:szCs w:val="22"/>
                <w:color w:val="auto"/>
              </w:rPr>
            </w:pPr>
          </w:p>
        </w:tc>
        <w:tc>
          <w:tcPr>
            <w:tcW w:w="13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807</w:t>
            </w:r>
          </w:p>
        </w:tc>
        <w:tc>
          <w:tcPr>
            <w:tcW w:w="100" w:type="dxa"/>
            <w:vAlign w:val="bottom"/>
            <w:tcBorders>
              <w:bottom w:val="single" w:sz="8" w:color="D5EAEA"/>
            </w:tcBorders>
          </w:tcPr>
          <w:p>
            <w:pPr>
              <w:spacing w:after="0"/>
              <w:rPr>
                <w:sz w:val="22"/>
                <w:szCs w:val="22"/>
                <w:color w:val="auto"/>
              </w:rPr>
            </w:pPr>
          </w:p>
        </w:tc>
        <w:tc>
          <w:tcPr>
            <w:tcW w:w="13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121</w:t>
            </w:r>
          </w:p>
        </w:tc>
      </w:tr>
      <w:tr>
        <w:trPr>
          <w:trHeight w:val="196"/>
        </w:trPr>
        <w:tc>
          <w:tcPr>
            <w:tcW w:w="6860" w:type="dxa"/>
            <w:vAlign w:val="bottom"/>
            <w:shd w:val="clear" w:color="auto" w:fill="D5EAEA"/>
          </w:tcPr>
          <w:p>
            <w:pPr>
              <w:spacing w:after="0"/>
              <w:rPr>
                <w:sz w:val="17"/>
                <w:szCs w:val="17"/>
                <w:color w:val="auto"/>
              </w:rPr>
            </w:pPr>
          </w:p>
        </w:tc>
        <w:tc>
          <w:tcPr>
            <w:tcW w:w="120" w:type="dxa"/>
            <w:vAlign w:val="bottom"/>
            <w:shd w:val="clear" w:color="auto" w:fill="D5EAEA"/>
          </w:tcPr>
          <w:p>
            <w:pPr>
              <w:spacing w:after="0"/>
              <w:rPr>
                <w:sz w:val="17"/>
                <w:szCs w:val="17"/>
                <w:color w:val="auto"/>
              </w:rPr>
            </w:pPr>
          </w:p>
        </w:tc>
        <w:tc>
          <w:tcPr>
            <w:tcW w:w="1380" w:type="dxa"/>
            <w:vAlign w:val="bottom"/>
            <w:shd w:val="clear" w:color="auto" w:fill="D5EAEA"/>
          </w:tcPr>
          <w:p>
            <w:pPr>
              <w:spacing w:after="0"/>
              <w:rPr>
                <w:sz w:val="17"/>
                <w:szCs w:val="17"/>
                <w:color w:val="auto"/>
              </w:rPr>
            </w:pPr>
          </w:p>
        </w:tc>
        <w:tc>
          <w:tcPr>
            <w:tcW w:w="100" w:type="dxa"/>
            <w:vAlign w:val="bottom"/>
            <w:shd w:val="clear" w:color="auto" w:fill="D5EAEA"/>
          </w:tcPr>
          <w:p>
            <w:pPr>
              <w:spacing w:after="0"/>
              <w:rPr>
                <w:sz w:val="17"/>
                <w:szCs w:val="17"/>
                <w:color w:val="auto"/>
              </w:rPr>
            </w:pPr>
          </w:p>
        </w:tc>
        <w:tc>
          <w:tcPr>
            <w:tcW w:w="1340" w:type="dxa"/>
            <w:vAlign w:val="bottom"/>
            <w:shd w:val="clear" w:color="auto" w:fill="D5EAEA"/>
          </w:tcPr>
          <w:p>
            <w:pPr>
              <w:spacing w:after="0"/>
              <w:rPr>
                <w:sz w:val="17"/>
                <w:szCs w:val="17"/>
                <w:color w:val="auto"/>
              </w:rPr>
            </w:pPr>
          </w:p>
        </w:tc>
        <w:tc>
          <w:tcPr>
            <w:tcW w:w="100" w:type="dxa"/>
            <w:vAlign w:val="bottom"/>
            <w:shd w:val="clear" w:color="auto" w:fill="D5EAEA"/>
          </w:tcPr>
          <w:p>
            <w:pPr>
              <w:spacing w:after="0"/>
              <w:rPr>
                <w:sz w:val="17"/>
                <w:szCs w:val="17"/>
                <w:color w:val="auto"/>
              </w:rPr>
            </w:pPr>
          </w:p>
        </w:tc>
        <w:tc>
          <w:tcPr>
            <w:tcW w:w="1340" w:type="dxa"/>
            <w:vAlign w:val="bottom"/>
            <w:shd w:val="clear" w:color="auto" w:fill="D5EAEA"/>
          </w:tcPr>
          <w:p>
            <w:pPr>
              <w:spacing w:after="0"/>
              <w:rPr>
                <w:sz w:val="17"/>
                <w:szCs w:val="17"/>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For the nine months ended September 30, 2021, this increase is primarily due to:</w:t>
      </w:r>
    </w:p>
    <w:p>
      <w:pPr>
        <w:spacing w:after="0" w:line="225" w:lineRule="exact"/>
        <w:rPr>
          <w:sz w:val="20"/>
          <w:szCs w:val="20"/>
          <w:color w:val="auto"/>
        </w:rPr>
      </w:pPr>
    </w:p>
    <w:p>
      <w:pPr>
        <w:ind w:left="660" w:hanging="328"/>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an increase of CHF 0.1 million in grant income for activities completed for our Target ALS Foundation award.</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Finance result, net</w:t>
      </w:r>
    </w:p>
    <w:p>
      <w:pPr>
        <w:spacing w:after="0" w:line="225" w:lineRule="exact"/>
        <w:rPr>
          <w:sz w:val="20"/>
          <w:szCs w:val="20"/>
          <w:color w:val="auto"/>
        </w:rPr>
      </w:pPr>
    </w:p>
    <w:p>
      <w:pPr>
        <w:ind w:right="140" w:firstLine="324"/>
        <w:spacing w:after="0" w:line="263" w:lineRule="auto"/>
        <w:rPr>
          <w:sz w:val="20"/>
          <w:szCs w:val="20"/>
          <w:color w:val="auto"/>
        </w:rPr>
      </w:pPr>
      <w:r>
        <w:rPr>
          <w:rFonts w:ascii="Arial" w:cs="Arial" w:eastAsia="Arial" w:hAnsi="Arial"/>
          <w:sz w:val="18"/>
          <w:szCs w:val="18"/>
          <w:color w:val="auto"/>
        </w:rPr>
        <w:t>For the three months ended September 30, 2021, finance result was a CHF 4.4 million gain compared with a CHF 0.2 million loss for the comparable period in 2020. This represents an increase of CHF 4.6 million. The following table presents the finance result during the three months ended September 30, 2021 and 2020:</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920" w:type="dxa"/>
            <w:vAlign w:val="bottom"/>
            <w:gridSpan w:val="4"/>
          </w:tcPr>
          <w:p>
            <w:pPr>
              <w:jc w:val="center"/>
              <w:ind w:right="100"/>
              <w:spacing w:after="0"/>
              <w:rPr>
                <w:sz w:val="20"/>
                <w:szCs w:val="20"/>
                <w:color w:val="auto"/>
              </w:rPr>
            </w:pPr>
            <w:r>
              <w:rPr>
                <w:rFonts w:ascii="Arial" w:cs="Arial" w:eastAsia="Arial" w:hAnsi="Arial"/>
                <w:sz w:val="18"/>
                <w:szCs w:val="18"/>
                <w:b w:val="1"/>
                <w:bCs w:val="1"/>
                <w:color w:val="auto"/>
                <w:w w:val="92"/>
              </w:rPr>
              <w:t>For the Three Months</w:t>
            </w:r>
          </w:p>
        </w:tc>
        <w:tc>
          <w:tcPr>
            <w:tcW w:w="1340" w:type="dxa"/>
            <w:vAlign w:val="bottom"/>
          </w:tcPr>
          <w:p>
            <w:pPr>
              <w:spacing w:after="0"/>
              <w:rPr>
                <w:sz w:val="18"/>
                <w:szCs w:val="18"/>
                <w:color w:val="auto"/>
              </w:rPr>
            </w:pPr>
          </w:p>
        </w:tc>
      </w:tr>
      <w:tr>
        <w:trPr>
          <w:trHeight w:val="234"/>
        </w:trPr>
        <w:tc>
          <w:tcPr>
            <w:tcW w:w="6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920" w:type="dxa"/>
            <w:vAlign w:val="bottom"/>
            <w:gridSpan w:val="4"/>
          </w:tcPr>
          <w:p>
            <w:pPr>
              <w:jc w:val="center"/>
              <w:ind w:right="100"/>
              <w:spacing w:after="0"/>
              <w:rPr>
                <w:sz w:val="20"/>
                <w:szCs w:val="20"/>
                <w:color w:val="auto"/>
              </w:rPr>
            </w:pPr>
            <w:r>
              <w:rPr>
                <w:rFonts w:ascii="Arial" w:cs="Arial" w:eastAsia="Arial" w:hAnsi="Arial"/>
                <w:sz w:val="18"/>
                <w:szCs w:val="18"/>
                <w:b w:val="1"/>
                <w:bCs w:val="1"/>
                <w:color w:val="auto"/>
                <w:w w:val="90"/>
              </w:rPr>
              <w:t>Ended September 30,</w:t>
            </w:r>
          </w:p>
        </w:tc>
        <w:tc>
          <w:tcPr>
            <w:tcW w:w="1340" w:type="dxa"/>
            <w:vAlign w:val="bottom"/>
          </w:tcPr>
          <w:p>
            <w:pPr>
              <w:spacing w:after="0"/>
              <w:rPr>
                <w:sz w:val="20"/>
                <w:szCs w:val="20"/>
                <w:color w:val="auto"/>
              </w:rPr>
            </w:pPr>
          </w:p>
        </w:tc>
      </w:tr>
      <w:tr>
        <w:trPr>
          <w:trHeight w:val="223"/>
        </w:trPr>
        <w:tc>
          <w:tcPr>
            <w:tcW w:w="6980" w:type="dxa"/>
            <w:vAlign w:val="bottom"/>
            <w:gridSpan w:val="2"/>
          </w:tcPr>
          <w:p>
            <w:pPr>
              <w:ind w:left="2300"/>
              <w:spacing w:after="0"/>
              <w:rPr>
                <w:sz w:val="20"/>
                <w:szCs w:val="20"/>
                <w:color w:val="auto"/>
              </w:rPr>
            </w:pPr>
            <w:r>
              <w:rPr>
                <w:rFonts w:ascii="Arial" w:cs="Arial" w:eastAsia="Arial" w:hAnsi="Arial"/>
                <w:sz w:val="18"/>
                <w:szCs w:val="18"/>
                <w:b w:val="1"/>
                <w:bCs w:val="1"/>
                <w:color w:val="auto"/>
              </w:rPr>
              <w:t>in CHF thousands, unaudited</w:t>
            </w:r>
          </w:p>
        </w:tc>
        <w:tc>
          <w:tcPr>
            <w:tcW w:w="1380" w:type="dxa"/>
            <w:vAlign w:val="bottom"/>
            <w:tcBorders>
              <w:top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top w:val="single" w:sz="8" w:color="auto"/>
            </w:tcBorders>
          </w:tcPr>
          <w:p>
            <w:pPr>
              <w:spacing w:after="0"/>
              <w:rPr>
                <w:sz w:val="19"/>
                <w:szCs w:val="19"/>
                <w:color w:val="auto"/>
              </w:rPr>
            </w:pPr>
          </w:p>
        </w:tc>
        <w:tc>
          <w:tcPr>
            <w:tcW w:w="1340" w:type="dxa"/>
            <w:vAlign w:val="bottom"/>
            <w:tcBorders>
              <w:top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9"/>
                <w:szCs w:val="19"/>
                <w:color w:val="auto"/>
              </w:rPr>
            </w:pPr>
          </w:p>
        </w:tc>
        <w:tc>
          <w:tcPr>
            <w:tcW w:w="1340" w:type="dxa"/>
            <w:vAlign w:val="bottom"/>
          </w:tcPr>
          <w:p>
            <w:pPr>
              <w:jc w:val="right"/>
              <w:ind w:right="290"/>
              <w:spacing w:after="0"/>
              <w:rPr>
                <w:sz w:val="20"/>
                <w:szCs w:val="20"/>
                <w:color w:val="auto"/>
              </w:rPr>
            </w:pPr>
            <w:r>
              <w:rPr>
                <w:rFonts w:ascii="Arial" w:cs="Arial" w:eastAsia="Arial" w:hAnsi="Arial"/>
                <w:sz w:val="18"/>
                <w:szCs w:val="18"/>
                <w:b w:val="1"/>
                <w:bCs w:val="1"/>
                <w:color w:val="auto"/>
              </w:rPr>
              <w:t>Change</w:t>
            </w:r>
          </w:p>
        </w:tc>
      </w:tr>
      <w:tr>
        <w:trPr>
          <w:trHeight w:val="210"/>
        </w:trPr>
        <w:tc>
          <w:tcPr>
            <w:tcW w:w="6860" w:type="dxa"/>
            <w:vAlign w:val="bottom"/>
            <w:tcBorders>
              <w:top w:val="single" w:sz="8" w:color="auto"/>
            </w:tcBorders>
            <w:shd w:val="clear" w:color="auto" w:fill="D5EAEA"/>
          </w:tcPr>
          <w:p>
            <w:pPr>
              <w:spacing w:after="0"/>
              <w:rPr>
                <w:sz w:val="20"/>
                <w:szCs w:val="20"/>
                <w:color w:val="auto"/>
              </w:rPr>
            </w:pPr>
            <w:r>
              <w:rPr>
                <w:rFonts w:ascii="Arial" w:cs="Arial" w:eastAsia="Arial" w:hAnsi="Arial"/>
                <w:sz w:val="18"/>
                <w:szCs w:val="18"/>
                <w:color w:val="auto"/>
              </w:rPr>
              <w:t>Financial income</w:t>
            </w:r>
          </w:p>
        </w:tc>
        <w:tc>
          <w:tcPr>
            <w:tcW w:w="120" w:type="dxa"/>
            <w:vAlign w:val="bottom"/>
            <w:tcBorders>
              <w:top w:val="single" w:sz="8" w:color="D5EAEA"/>
            </w:tcBorders>
            <w:shd w:val="clear" w:color="auto" w:fill="D5EAEA"/>
          </w:tcPr>
          <w:p>
            <w:pPr>
              <w:spacing w:after="0"/>
              <w:rPr>
                <w:sz w:val="18"/>
                <w:szCs w:val="18"/>
                <w:color w:val="auto"/>
              </w:rPr>
            </w:pPr>
          </w:p>
        </w:tc>
        <w:tc>
          <w:tcPr>
            <w:tcW w:w="1380" w:type="dxa"/>
            <w:vAlign w:val="bottom"/>
            <w:tcBorders>
              <w:top w:val="single" w:sz="8" w:color="auto"/>
            </w:tcBorders>
            <w:shd w:val="clear" w:color="auto" w:fill="D5EAEA"/>
          </w:tcPr>
          <w:p>
            <w:pPr>
              <w:jc w:val="right"/>
              <w:ind w:right="30"/>
              <w:spacing w:after="0"/>
              <w:rPr>
                <w:sz w:val="20"/>
                <w:szCs w:val="20"/>
                <w:color w:val="auto"/>
              </w:rPr>
            </w:pPr>
            <w:r>
              <w:rPr>
                <w:rFonts w:ascii="Arial" w:cs="Arial" w:eastAsia="Arial" w:hAnsi="Arial"/>
                <w:sz w:val="18"/>
                <w:szCs w:val="18"/>
                <w:color w:val="auto"/>
              </w:rPr>
              <w:t>4,424</w:t>
            </w:r>
          </w:p>
        </w:tc>
        <w:tc>
          <w:tcPr>
            <w:tcW w:w="100" w:type="dxa"/>
            <w:vAlign w:val="bottom"/>
            <w:tcBorders>
              <w:top w:val="single" w:sz="8" w:color="D5EAEA"/>
            </w:tcBorders>
            <w:shd w:val="clear" w:color="auto" w:fill="D5EAEA"/>
          </w:tcPr>
          <w:p>
            <w:pPr>
              <w:spacing w:after="0"/>
              <w:rPr>
                <w:sz w:val="18"/>
                <w:szCs w:val="18"/>
                <w:color w:val="auto"/>
              </w:rPr>
            </w:pPr>
          </w:p>
        </w:tc>
        <w:tc>
          <w:tcPr>
            <w:tcW w:w="1340" w:type="dxa"/>
            <w:vAlign w:val="bottom"/>
            <w:tcBorders>
              <w:top w:val="single" w:sz="8" w:color="auto"/>
            </w:tcBorders>
            <w:shd w:val="clear" w:color="auto" w:fill="D5EAEA"/>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D5EAEA"/>
            </w:tcBorders>
            <w:shd w:val="clear" w:color="auto" w:fill="D5EAEA"/>
          </w:tcPr>
          <w:p>
            <w:pPr>
              <w:spacing w:after="0"/>
              <w:rPr>
                <w:sz w:val="18"/>
                <w:szCs w:val="18"/>
                <w:color w:val="auto"/>
              </w:rPr>
            </w:pPr>
          </w:p>
        </w:tc>
        <w:tc>
          <w:tcPr>
            <w:tcW w:w="1340" w:type="dxa"/>
            <w:vAlign w:val="bottom"/>
            <w:tcBorders>
              <w:top w:val="single" w:sz="8" w:color="auto"/>
            </w:tcBorders>
            <w:shd w:val="clear" w:color="auto" w:fill="D5EAEA"/>
          </w:tcPr>
          <w:p>
            <w:pPr>
              <w:jc w:val="right"/>
              <w:ind w:right="10"/>
              <w:spacing w:after="0"/>
              <w:rPr>
                <w:sz w:val="20"/>
                <w:szCs w:val="20"/>
                <w:color w:val="auto"/>
              </w:rPr>
            </w:pPr>
            <w:r>
              <w:rPr>
                <w:rFonts w:ascii="Arial" w:cs="Arial" w:eastAsia="Arial" w:hAnsi="Arial"/>
                <w:sz w:val="18"/>
                <w:szCs w:val="18"/>
                <w:color w:val="auto"/>
              </w:rPr>
              <w:t>4,424</w:t>
            </w:r>
          </w:p>
        </w:tc>
      </w:tr>
      <w:tr>
        <w:trPr>
          <w:trHeight w:val="216"/>
        </w:trPr>
        <w:tc>
          <w:tcPr>
            <w:tcW w:w="6980" w:type="dxa"/>
            <w:vAlign w:val="bottom"/>
            <w:gridSpan w:val="2"/>
          </w:tcPr>
          <w:p>
            <w:pPr>
              <w:spacing w:after="0"/>
              <w:rPr>
                <w:sz w:val="20"/>
                <w:szCs w:val="20"/>
                <w:color w:val="auto"/>
              </w:rPr>
            </w:pPr>
            <w:r>
              <w:rPr>
                <w:rFonts w:ascii="Arial" w:cs="Arial" w:eastAsia="Arial" w:hAnsi="Arial"/>
                <w:sz w:val="18"/>
                <w:szCs w:val="18"/>
                <w:color w:val="auto"/>
              </w:rPr>
              <w:t>Financial expense</w:t>
            </w:r>
          </w:p>
        </w:tc>
        <w:tc>
          <w:tcPr>
            <w:tcW w:w="1380" w:type="dxa"/>
            <w:vAlign w:val="bottom"/>
          </w:tcPr>
          <w:p>
            <w:pPr>
              <w:jc w:val="right"/>
              <w:spacing w:after="0"/>
              <w:rPr>
                <w:sz w:val="20"/>
                <w:szCs w:val="20"/>
                <w:color w:val="auto"/>
              </w:rPr>
            </w:pPr>
            <w:r>
              <w:rPr>
                <w:rFonts w:ascii="Arial" w:cs="Arial" w:eastAsia="Arial" w:hAnsi="Arial"/>
                <w:sz w:val="18"/>
                <w:szCs w:val="18"/>
                <w:color w:val="auto"/>
              </w:rPr>
              <w:t>(181)</w:t>
            </w:r>
          </w:p>
        </w:tc>
        <w:tc>
          <w:tcPr>
            <w:tcW w:w="1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(46)</w:t>
            </w:r>
          </w:p>
        </w:tc>
        <w:tc>
          <w:tcPr>
            <w:tcW w:w="1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(135)</w:t>
            </w:r>
          </w:p>
        </w:tc>
      </w:tr>
      <w:tr>
        <w:trPr>
          <w:trHeight w:val="229"/>
        </w:trPr>
        <w:tc>
          <w:tcPr>
            <w:tcW w:w="6980" w:type="dxa"/>
            <w:vAlign w:val="bottom"/>
            <w:gridSpan w:val="2"/>
            <w:shd w:val="clear" w:color="auto" w:fill="D5EAEA"/>
          </w:tcPr>
          <w:p>
            <w:pPr>
              <w:spacing w:after="0"/>
              <w:rPr>
                <w:sz w:val="20"/>
                <w:szCs w:val="20"/>
                <w:color w:val="auto"/>
              </w:rPr>
            </w:pPr>
            <w:r>
              <w:rPr>
                <w:rFonts w:ascii="Arial" w:cs="Arial" w:eastAsia="Arial" w:hAnsi="Arial"/>
                <w:sz w:val="18"/>
                <w:szCs w:val="18"/>
                <w:color w:val="auto"/>
              </w:rPr>
              <w:t>Exchange differences</w:t>
            </w:r>
          </w:p>
        </w:tc>
        <w:tc>
          <w:tcPr>
            <w:tcW w:w="1380" w:type="dxa"/>
            <w:vAlign w:val="bottom"/>
            <w:tcBorders>
              <w:bottom w:val="single" w:sz="8" w:color="auto"/>
            </w:tcBorders>
            <w:shd w:val="clear" w:color="auto" w:fill="D5EAEA"/>
          </w:tcPr>
          <w:p>
            <w:pPr>
              <w:jc w:val="right"/>
              <w:ind w:right="30"/>
              <w:spacing w:after="0"/>
              <w:rPr>
                <w:sz w:val="20"/>
                <w:szCs w:val="20"/>
                <w:color w:val="auto"/>
              </w:rPr>
            </w:pPr>
            <w:r>
              <w:rPr>
                <w:rFonts w:ascii="Arial" w:cs="Arial" w:eastAsia="Arial" w:hAnsi="Arial"/>
                <w:sz w:val="18"/>
                <w:szCs w:val="18"/>
                <w:color w:val="auto"/>
              </w:rPr>
              <w:t>122</w:t>
            </w:r>
          </w:p>
        </w:tc>
        <w:tc>
          <w:tcPr>
            <w:tcW w:w="100" w:type="dxa"/>
            <w:vAlign w:val="bottom"/>
            <w:shd w:val="clear" w:color="auto" w:fill="D5EAEA"/>
          </w:tcPr>
          <w:p>
            <w:pPr>
              <w:spacing w:after="0"/>
              <w:rPr>
                <w:sz w:val="19"/>
                <w:szCs w:val="19"/>
                <w:color w:val="auto"/>
              </w:rPr>
            </w:pPr>
          </w:p>
        </w:tc>
        <w:tc>
          <w:tcPr>
            <w:tcW w:w="1340" w:type="dxa"/>
            <w:vAlign w:val="bottom"/>
            <w:tcBorders>
              <w:bottom w:val="single" w:sz="8" w:color="auto"/>
            </w:tcBorders>
            <w:shd w:val="clear" w:color="auto" w:fill="D5EAEA"/>
          </w:tcPr>
          <w:p>
            <w:pPr>
              <w:jc w:val="right"/>
              <w:spacing w:after="0"/>
              <w:rPr>
                <w:sz w:val="20"/>
                <w:szCs w:val="20"/>
                <w:color w:val="auto"/>
              </w:rPr>
            </w:pPr>
            <w:r>
              <w:rPr>
                <w:rFonts w:ascii="Arial" w:cs="Arial" w:eastAsia="Arial" w:hAnsi="Arial"/>
                <w:sz w:val="18"/>
                <w:szCs w:val="18"/>
                <w:color w:val="auto"/>
              </w:rPr>
              <w:t>(143)</w:t>
            </w:r>
          </w:p>
        </w:tc>
        <w:tc>
          <w:tcPr>
            <w:tcW w:w="100" w:type="dxa"/>
            <w:vAlign w:val="bottom"/>
            <w:shd w:val="clear" w:color="auto" w:fill="D5EAEA"/>
          </w:tcPr>
          <w:p>
            <w:pPr>
              <w:spacing w:after="0"/>
              <w:rPr>
                <w:sz w:val="19"/>
                <w:szCs w:val="19"/>
                <w:color w:val="auto"/>
              </w:rPr>
            </w:pPr>
          </w:p>
        </w:tc>
        <w:tc>
          <w:tcPr>
            <w:tcW w:w="1340" w:type="dxa"/>
            <w:vAlign w:val="bottom"/>
            <w:tcBorders>
              <w:bottom w:val="single" w:sz="8" w:color="auto"/>
            </w:tcBorders>
            <w:shd w:val="clear" w:color="auto" w:fill="D5EAEA"/>
          </w:tcPr>
          <w:p>
            <w:pPr>
              <w:jc w:val="right"/>
              <w:ind w:right="10"/>
              <w:spacing w:after="0"/>
              <w:rPr>
                <w:sz w:val="20"/>
                <w:szCs w:val="20"/>
                <w:color w:val="auto"/>
              </w:rPr>
            </w:pPr>
            <w:r>
              <w:rPr>
                <w:rFonts w:ascii="Arial" w:cs="Arial" w:eastAsia="Arial" w:hAnsi="Arial"/>
                <w:sz w:val="18"/>
                <w:szCs w:val="18"/>
                <w:color w:val="auto"/>
              </w:rPr>
              <w:t>265</w:t>
            </w:r>
          </w:p>
        </w:tc>
      </w:tr>
      <w:tr>
        <w:trPr>
          <w:trHeight w:val="223"/>
        </w:trPr>
        <w:tc>
          <w:tcPr>
            <w:tcW w:w="6980" w:type="dxa"/>
            <w:vAlign w:val="bottom"/>
            <w:gridSpan w:val="2"/>
          </w:tcPr>
          <w:p>
            <w:pPr>
              <w:spacing w:after="0"/>
              <w:rPr>
                <w:sz w:val="20"/>
                <w:szCs w:val="20"/>
                <w:color w:val="auto"/>
              </w:rPr>
            </w:pPr>
            <w:r>
              <w:rPr>
                <w:rFonts w:ascii="Arial" w:cs="Arial" w:eastAsia="Arial" w:hAnsi="Arial"/>
                <w:sz w:val="18"/>
                <w:szCs w:val="18"/>
                <w:b w:val="1"/>
                <w:bCs w:val="1"/>
                <w:color w:val="auto"/>
              </w:rPr>
              <w:t>Finance result, net</w:t>
            </w:r>
          </w:p>
        </w:tc>
        <w:tc>
          <w:tcPr>
            <w:tcW w:w="13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4,365</w:t>
            </w:r>
          </w:p>
        </w:tc>
        <w:tc>
          <w:tcPr>
            <w:tcW w:w="100" w:type="dxa"/>
            <w:vAlign w:val="bottom"/>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(189)</w:t>
            </w:r>
          </w:p>
        </w:tc>
        <w:tc>
          <w:tcPr>
            <w:tcW w:w="100" w:type="dxa"/>
            <w:vAlign w:val="bottom"/>
          </w:tcPr>
          <w:p>
            <w:pPr>
              <w:spacing w:after="0"/>
              <w:rPr>
                <w:sz w:val="19"/>
                <w:szCs w:val="19"/>
                <w:color w:val="auto"/>
              </w:rPr>
            </w:pPr>
          </w:p>
        </w:tc>
        <w:tc>
          <w:tcPr>
            <w:tcW w:w="13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4,554</w:t>
            </w:r>
          </w:p>
        </w:tc>
      </w:tr>
      <w:tr>
        <w:trPr>
          <w:trHeight w:val="20"/>
        </w:trPr>
        <w:tc>
          <w:tcPr>
            <w:tcW w:w="6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For the three months ended September 30, 2021, net finance result was a gain, primarily related to:</w:t>
      </w:r>
    </w:p>
    <w:p>
      <w:pPr>
        <w:spacing w:after="0" w:line="225" w:lineRule="exact"/>
        <w:rPr>
          <w:sz w:val="20"/>
          <w:szCs w:val="20"/>
          <w:color w:val="auto"/>
        </w:rPr>
      </w:pPr>
    </w:p>
    <w:p>
      <w:pPr>
        <w:ind w:left="660" w:hanging="328"/>
        <w:spacing w:after="0"/>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 CHF 4.4 million increase in the fair value of derivative financial assets related to the convertible notes; and</w:t>
      </w:r>
    </w:p>
    <w:p>
      <w:pPr>
        <w:spacing w:after="0" w:line="225"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 CHF 0.3 million increase in foreign currency exchange differences related to movement in the CHF versus foreign currencies, predominantly the US Dollar and Euro.</w:t>
      </w:r>
    </w:p>
    <w:p>
      <w:pPr>
        <w:spacing w:after="0" w:line="170" w:lineRule="exact"/>
        <w:rPr>
          <w:sz w:val="20"/>
          <w:szCs w:val="20"/>
          <w:color w:val="auto"/>
        </w:rPr>
      </w:pPr>
    </w:p>
    <w:p>
      <w:pPr>
        <w:ind w:right="20" w:firstLine="324"/>
        <w:spacing w:after="0" w:line="263" w:lineRule="auto"/>
        <w:rPr>
          <w:sz w:val="20"/>
          <w:szCs w:val="20"/>
          <w:color w:val="auto"/>
        </w:rPr>
      </w:pPr>
      <w:r>
        <w:rPr>
          <w:rFonts w:ascii="Arial" w:cs="Arial" w:eastAsia="Arial" w:hAnsi="Arial"/>
          <w:sz w:val="18"/>
          <w:szCs w:val="18"/>
          <w:color w:val="auto"/>
        </w:rPr>
        <w:t>For the nine months ended September 30, 2021, finance result was a CHF 4.5 million gain compared with a CHF 0.6 million loss for the comparable period in 2020. This represents an increase of CHF 5.1 million. The following table presents the finance result during the nine months ended September 30, 2021 and 2020:</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920" w:type="dxa"/>
            <w:vAlign w:val="bottom"/>
            <w:gridSpan w:val="4"/>
          </w:tcPr>
          <w:p>
            <w:pPr>
              <w:ind w:left="600"/>
              <w:spacing w:after="0"/>
              <w:rPr>
                <w:sz w:val="20"/>
                <w:szCs w:val="20"/>
                <w:color w:val="auto"/>
              </w:rPr>
            </w:pPr>
            <w:r>
              <w:rPr>
                <w:rFonts w:ascii="Arial" w:cs="Arial" w:eastAsia="Arial" w:hAnsi="Arial"/>
                <w:sz w:val="18"/>
                <w:szCs w:val="18"/>
                <w:b w:val="1"/>
                <w:bCs w:val="1"/>
                <w:color w:val="auto"/>
              </w:rPr>
              <w:t>For the Nine Months</w:t>
            </w:r>
          </w:p>
        </w:tc>
        <w:tc>
          <w:tcPr>
            <w:tcW w:w="1340" w:type="dxa"/>
            <w:vAlign w:val="bottom"/>
          </w:tcPr>
          <w:p>
            <w:pPr>
              <w:spacing w:after="0"/>
              <w:rPr>
                <w:sz w:val="18"/>
                <w:szCs w:val="18"/>
                <w:color w:val="auto"/>
              </w:rPr>
            </w:pPr>
          </w:p>
        </w:tc>
      </w:tr>
      <w:tr>
        <w:trPr>
          <w:trHeight w:val="234"/>
        </w:trPr>
        <w:tc>
          <w:tcPr>
            <w:tcW w:w="6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920" w:type="dxa"/>
            <w:vAlign w:val="bottom"/>
            <w:gridSpan w:val="4"/>
          </w:tcPr>
          <w:p>
            <w:pPr>
              <w:ind w:left="580"/>
              <w:spacing w:after="0"/>
              <w:rPr>
                <w:sz w:val="20"/>
                <w:szCs w:val="20"/>
                <w:color w:val="auto"/>
              </w:rPr>
            </w:pPr>
            <w:r>
              <w:rPr>
                <w:rFonts w:ascii="Arial" w:cs="Arial" w:eastAsia="Arial" w:hAnsi="Arial"/>
                <w:sz w:val="18"/>
                <w:szCs w:val="18"/>
                <w:b w:val="1"/>
                <w:bCs w:val="1"/>
                <w:color w:val="auto"/>
              </w:rPr>
              <w:t>Ended September 30,</w:t>
            </w:r>
          </w:p>
        </w:tc>
        <w:tc>
          <w:tcPr>
            <w:tcW w:w="1340" w:type="dxa"/>
            <w:vAlign w:val="bottom"/>
          </w:tcPr>
          <w:p>
            <w:pPr>
              <w:spacing w:after="0"/>
              <w:rPr>
                <w:sz w:val="20"/>
                <w:szCs w:val="20"/>
                <w:color w:val="auto"/>
              </w:rPr>
            </w:pPr>
          </w:p>
        </w:tc>
      </w:tr>
      <w:tr>
        <w:trPr>
          <w:trHeight w:val="223"/>
        </w:trPr>
        <w:tc>
          <w:tcPr>
            <w:tcW w:w="6980" w:type="dxa"/>
            <w:vAlign w:val="bottom"/>
            <w:gridSpan w:val="2"/>
          </w:tcPr>
          <w:p>
            <w:pPr>
              <w:ind w:left="2300"/>
              <w:spacing w:after="0"/>
              <w:rPr>
                <w:sz w:val="20"/>
                <w:szCs w:val="20"/>
                <w:color w:val="auto"/>
              </w:rPr>
            </w:pPr>
            <w:r>
              <w:rPr>
                <w:rFonts w:ascii="Arial" w:cs="Arial" w:eastAsia="Arial" w:hAnsi="Arial"/>
                <w:sz w:val="18"/>
                <w:szCs w:val="18"/>
                <w:b w:val="1"/>
                <w:bCs w:val="1"/>
                <w:color w:val="auto"/>
              </w:rPr>
              <w:t>in CHF thousands, unaudited</w:t>
            </w:r>
          </w:p>
        </w:tc>
        <w:tc>
          <w:tcPr>
            <w:tcW w:w="1380" w:type="dxa"/>
            <w:vAlign w:val="bottom"/>
            <w:tcBorders>
              <w:top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top w:val="single" w:sz="8" w:color="auto"/>
            </w:tcBorders>
          </w:tcPr>
          <w:p>
            <w:pPr>
              <w:spacing w:after="0"/>
              <w:rPr>
                <w:sz w:val="19"/>
                <w:szCs w:val="19"/>
                <w:color w:val="auto"/>
              </w:rPr>
            </w:pPr>
          </w:p>
        </w:tc>
        <w:tc>
          <w:tcPr>
            <w:tcW w:w="1340" w:type="dxa"/>
            <w:vAlign w:val="bottom"/>
            <w:tcBorders>
              <w:top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9"/>
                <w:szCs w:val="19"/>
                <w:color w:val="auto"/>
              </w:rPr>
            </w:pPr>
          </w:p>
        </w:tc>
        <w:tc>
          <w:tcPr>
            <w:tcW w:w="1340" w:type="dxa"/>
            <w:vAlign w:val="bottom"/>
          </w:tcPr>
          <w:p>
            <w:pPr>
              <w:jc w:val="right"/>
              <w:ind w:right="290"/>
              <w:spacing w:after="0"/>
              <w:rPr>
                <w:sz w:val="20"/>
                <w:szCs w:val="20"/>
                <w:color w:val="auto"/>
              </w:rPr>
            </w:pPr>
            <w:r>
              <w:rPr>
                <w:rFonts w:ascii="Arial" w:cs="Arial" w:eastAsia="Arial" w:hAnsi="Arial"/>
                <w:sz w:val="18"/>
                <w:szCs w:val="18"/>
                <w:b w:val="1"/>
                <w:bCs w:val="1"/>
                <w:color w:val="auto"/>
              </w:rPr>
              <w:t>Change</w:t>
            </w:r>
          </w:p>
        </w:tc>
      </w:tr>
      <w:tr>
        <w:trPr>
          <w:trHeight w:val="210"/>
        </w:trPr>
        <w:tc>
          <w:tcPr>
            <w:tcW w:w="6860" w:type="dxa"/>
            <w:vAlign w:val="bottom"/>
            <w:tcBorders>
              <w:top w:val="single" w:sz="8" w:color="auto"/>
            </w:tcBorders>
            <w:shd w:val="clear" w:color="auto" w:fill="D5EAEA"/>
          </w:tcPr>
          <w:p>
            <w:pPr>
              <w:spacing w:after="0"/>
              <w:rPr>
                <w:sz w:val="20"/>
                <w:szCs w:val="20"/>
                <w:color w:val="auto"/>
              </w:rPr>
            </w:pPr>
            <w:r>
              <w:rPr>
                <w:rFonts w:ascii="Arial" w:cs="Arial" w:eastAsia="Arial" w:hAnsi="Arial"/>
                <w:sz w:val="18"/>
                <w:szCs w:val="18"/>
                <w:color w:val="auto"/>
              </w:rPr>
              <w:t>Financial income</w:t>
            </w:r>
          </w:p>
        </w:tc>
        <w:tc>
          <w:tcPr>
            <w:tcW w:w="120" w:type="dxa"/>
            <w:vAlign w:val="bottom"/>
            <w:tcBorders>
              <w:top w:val="single" w:sz="8" w:color="D5EAEA"/>
            </w:tcBorders>
            <w:shd w:val="clear" w:color="auto" w:fill="D5EAEA"/>
          </w:tcPr>
          <w:p>
            <w:pPr>
              <w:spacing w:after="0"/>
              <w:rPr>
                <w:sz w:val="18"/>
                <w:szCs w:val="18"/>
                <w:color w:val="auto"/>
              </w:rPr>
            </w:pPr>
          </w:p>
        </w:tc>
        <w:tc>
          <w:tcPr>
            <w:tcW w:w="1380" w:type="dxa"/>
            <w:vAlign w:val="bottom"/>
            <w:tcBorders>
              <w:top w:val="single" w:sz="8" w:color="auto"/>
            </w:tcBorders>
            <w:shd w:val="clear" w:color="auto" w:fill="D5EAEA"/>
          </w:tcPr>
          <w:p>
            <w:pPr>
              <w:jc w:val="right"/>
              <w:ind w:right="30"/>
              <w:spacing w:after="0"/>
              <w:rPr>
                <w:sz w:val="20"/>
                <w:szCs w:val="20"/>
                <w:color w:val="auto"/>
              </w:rPr>
            </w:pPr>
            <w:r>
              <w:rPr>
                <w:rFonts w:ascii="Arial" w:cs="Arial" w:eastAsia="Arial" w:hAnsi="Arial"/>
                <w:sz w:val="18"/>
                <w:szCs w:val="18"/>
                <w:color w:val="auto"/>
              </w:rPr>
              <w:t>4,424</w:t>
            </w:r>
          </w:p>
        </w:tc>
        <w:tc>
          <w:tcPr>
            <w:tcW w:w="100" w:type="dxa"/>
            <w:vAlign w:val="bottom"/>
            <w:tcBorders>
              <w:top w:val="single" w:sz="8" w:color="D5EAEA"/>
            </w:tcBorders>
            <w:shd w:val="clear" w:color="auto" w:fill="D5EAEA"/>
          </w:tcPr>
          <w:p>
            <w:pPr>
              <w:spacing w:after="0"/>
              <w:rPr>
                <w:sz w:val="18"/>
                <w:szCs w:val="18"/>
                <w:color w:val="auto"/>
              </w:rPr>
            </w:pPr>
          </w:p>
        </w:tc>
        <w:tc>
          <w:tcPr>
            <w:tcW w:w="1340" w:type="dxa"/>
            <w:vAlign w:val="bottom"/>
            <w:tcBorders>
              <w:top w:val="single" w:sz="8" w:color="auto"/>
            </w:tcBorders>
            <w:shd w:val="clear" w:color="auto" w:fill="D5EAEA"/>
          </w:tcPr>
          <w:p>
            <w:pPr>
              <w:jc w:val="right"/>
              <w:ind w:right="30"/>
              <w:spacing w:after="0"/>
              <w:rPr>
                <w:sz w:val="20"/>
                <w:szCs w:val="20"/>
                <w:color w:val="auto"/>
              </w:rPr>
            </w:pPr>
            <w:r>
              <w:rPr>
                <w:rFonts w:ascii="Arial" w:cs="Arial" w:eastAsia="Arial" w:hAnsi="Arial"/>
                <w:sz w:val="18"/>
                <w:szCs w:val="18"/>
                <w:color w:val="auto"/>
              </w:rPr>
              <w:t>78</w:t>
            </w:r>
          </w:p>
        </w:tc>
        <w:tc>
          <w:tcPr>
            <w:tcW w:w="100" w:type="dxa"/>
            <w:vAlign w:val="bottom"/>
            <w:tcBorders>
              <w:top w:val="single" w:sz="8" w:color="D5EAEA"/>
            </w:tcBorders>
            <w:shd w:val="clear" w:color="auto" w:fill="D5EAEA"/>
          </w:tcPr>
          <w:p>
            <w:pPr>
              <w:spacing w:after="0"/>
              <w:rPr>
                <w:sz w:val="18"/>
                <w:szCs w:val="18"/>
                <w:color w:val="auto"/>
              </w:rPr>
            </w:pPr>
          </w:p>
        </w:tc>
        <w:tc>
          <w:tcPr>
            <w:tcW w:w="1340" w:type="dxa"/>
            <w:vAlign w:val="bottom"/>
            <w:tcBorders>
              <w:top w:val="single" w:sz="8" w:color="auto"/>
            </w:tcBorders>
            <w:shd w:val="clear" w:color="auto" w:fill="D5EAEA"/>
          </w:tcPr>
          <w:p>
            <w:pPr>
              <w:jc w:val="right"/>
              <w:ind w:right="10"/>
              <w:spacing w:after="0"/>
              <w:rPr>
                <w:sz w:val="20"/>
                <w:szCs w:val="20"/>
                <w:color w:val="auto"/>
              </w:rPr>
            </w:pPr>
            <w:r>
              <w:rPr>
                <w:rFonts w:ascii="Arial" w:cs="Arial" w:eastAsia="Arial" w:hAnsi="Arial"/>
                <w:sz w:val="18"/>
                <w:szCs w:val="18"/>
                <w:color w:val="auto"/>
              </w:rPr>
              <w:t>4,346</w:t>
            </w:r>
          </w:p>
        </w:tc>
      </w:tr>
      <w:tr>
        <w:trPr>
          <w:trHeight w:val="216"/>
        </w:trPr>
        <w:tc>
          <w:tcPr>
            <w:tcW w:w="6980" w:type="dxa"/>
            <w:vAlign w:val="bottom"/>
            <w:gridSpan w:val="2"/>
          </w:tcPr>
          <w:p>
            <w:pPr>
              <w:spacing w:after="0"/>
              <w:rPr>
                <w:sz w:val="20"/>
                <w:szCs w:val="20"/>
                <w:color w:val="auto"/>
              </w:rPr>
            </w:pPr>
            <w:r>
              <w:rPr>
                <w:rFonts w:ascii="Arial" w:cs="Arial" w:eastAsia="Arial" w:hAnsi="Arial"/>
                <w:sz w:val="18"/>
                <w:szCs w:val="18"/>
                <w:color w:val="auto"/>
              </w:rPr>
              <w:t>Financial expense</w:t>
            </w:r>
          </w:p>
        </w:tc>
        <w:tc>
          <w:tcPr>
            <w:tcW w:w="1380" w:type="dxa"/>
            <w:vAlign w:val="bottom"/>
          </w:tcPr>
          <w:p>
            <w:pPr>
              <w:jc w:val="right"/>
              <w:spacing w:after="0"/>
              <w:rPr>
                <w:sz w:val="20"/>
                <w:szCs w:val="20"/>
                <w:color w:val="auto"/>
              </w:rPr>
            </w:pPr>
            <w:r>
              <w:rPr>
                <w:rFonts w:ascii="Arial" w:cs="Arial" w:eastAsia="Arial" w:hAnsi="Arial"/>
                <w:sz w:val="18"/>
                <w:szCs w:val="18"/>
                <w:color w:val="auto"/>
              </w:rPr>
              <w:t>(408)</w:t>
            </w:r>
          </w:p>
        </w:tc>
        <w:tc>
          <w:tcPr>
            <w:tcW w:w="1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(159)</w:t>
            </w:r>
          </w:p>
        </w:tc>
        <w:tc>
          <w:tcPr>
            <w:tcW w:w="1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(249)</w:t>
            </w:r>
          </w:p>
        </w:tc>
      </w:tr>
      <w:tr>
        <w:trPr>
          <w:trHeight w:val="230"/>
        </w:trPr>
        <w:tc>
          <w:tcPr>
            <w:tcW w:w="6980" w:type="dxa"/>
            <w:vAlign w:val="bottom"/>
            <w:gridSpan w:val="2"/>
            <w:shd w:val="clear" w:color="auto" w:fill="D5EAEA"/>
          </w:tcPr>
          <w:p>
            <w:pPr>
              <w:spacing w:after="0"/>
              <w:rPr>
                <w:sz w:val="20"/>
                <w:szCs w:val="20"/>
                <w:color w:val="auto"/>
              </w:rPr>
            </w:pPr>
            <w:r>
              <w:rPr>
                <w:rFonts w:ascii="Arial" w:cs="Arial" w:eastAsia="Arial" w:hAnsi="Arial"/>
                <w:sz w:val="18"/>
                <w:szCs w:val="18"/>
                <w:color w:val="auto"/>
              </w:rPr>
              <w:t>Exchange differences</w:t>
            </w:r>
          </w:p>
        </w:tc>
        <w:tc>
          <w:tcPr>
            <w:tcW w:w="1380" w:type="dxa"/>
            <w:vAlign w:val="bottom"/>
            <w:tcBorders>
              <w:bottom w:val="single" w:sz="8" w:color="auto"/>
            </w:tcBorders>
            <w:shd w:val="clear" w:color="auto" w:fill="D5EAEA"/>
          </w:tcPr>
          <w:p>
            <w:pPr>
              <w:jc w:val="right"/>
              <w:ind w:right="30"/>
              <w:spacing w:after="0"/>
              <w:rPr>
                <w:sz w:val="20"/>
                <w:szCs w:val="20"/>
                <w:color w:val="auto"/>
              </w:rPr>
            </w:pPr>
            <w:r>
              <w:rPr>
                <w:rFonts w:ascii="Arial" w:cs="Arial" w:eastAsia="Arial" w:hAnsi="Arial"/>
                <w:sz w:val="18"/>
                <w:szCs w:val="18"/>
                <w:color w:val="auto"/>
              </w:rPr>
              <w:t>487</w:t>
            </w:r>
          </w:p>
        </w:tc>
        <w:tc>
          <w:tcPr>
            <w:tcW w:w="100" w:type="dxa"/>
            <w:vAlign w:val="bottom"/>
            <w:shd w:val="clear" w:color="auto" w:fill="D5EAEA"/>
          </w:tcPr>
          <w:p>
            <w:pPr>
              <w:spacing w:after="0"/>
              <w:rPr>
                <w:sz w:val="19"/>
                <w:szCs w:val="19"/>
                <w:color w:val="auto"/>
              </w:rPr>
            </w:pPr>
          </w:p>
        </w:tc>
        <w:tc>
          <w:tcPr>
            <w:tcW w:w="1340" w:type="dxa"/>
            <w:vAlign w:val="bottom"/>
            <w:tcBorders>
              <w:bottom w:val="single" w:sz="8" w:color="auto"/>
            </w:tcBorders>
            <w:shd w:val="clear" w:color="auto" w:fill="D5EAEA"/>
          </w:tcPr>
          <w:p>
            <w:pPr>
              <w:jc w:val="right"/>
              <w:spacing w:after="0"/>
              <w:rPr>
                <w:sz w:val="20"/>
                <w:szCs w:val="20"/>
                <w:color w:val="auto"/>
              </w:rPr>
            </w:pPr>
            <w:r>
              <w:rPr>
                <w:rFonts w:ascii="Arial" w:cs="Arial" w:eastAsia="Arial" w:hAnsi="Arial"/>
                <w:sz w:val="18"/>
                <w:szCs w:val="18"/>
                <w:color w:val="auto"/>
              </w:rPr>
              <w:t>(545)</w:t>
            </w:r>
          </w:p>
        </w:tc>
        <w:tc>
          <w:tcPr>
            <w:tcW w:w="100" w:type="dxa"/>
            <w:vAlign w:val="bottom"/>
            <w:shd w:val="clear" w:color="auto" w:fill="D5EAEA"/>
          </w:tcPr>
          <w:p>
            <w:pPr>
              <w:spacing w:after="0"/>
              <w:rPr>
                <w:sz w:val="19"/>
                <w:szCs w:val="19"/>
                <w:color w:val="auto"/>
              </w:rPr>
            </w:pPr>
          </w:p>
        </w:tc>
        <w:tc>
          <w:tcPr>
            <w:tcW w:w="1340" w:type="dxa"/>
            <w:vAlign w:val="bottom"/>
            <w:tcBorders>
              <w:bottom w:val="single" w:sz="8" w:color="auto"/>
            </w:tcBorders>
            <w:shd w:val="clear" w:color="auto" w:fill="D5EAEA"/>
          </w:tcPr>
          <w:p>
            <w:pPr>
              <w:jc w:val="right"/>
              <w:ind w:right="10"/>
              <w:spacing w:after="0"/>
              <w:rPr>
                <w:sz w:val="20"/>
                <w:szCs w:val="20"/>
                <w:color w:val="auto"/>
              </w:rPr>
            </w:pPr>
            <w:r>
              <w:rPr>
                <w:rFonts w:ascii="Arial" w:cs="Arial" w:eastAsia="Arial" w:hAnsi="Arial"/>
                <w:sz w:val="18"/>
                <w:szCs w:val="18"/>
                <w:color w:val="auto"/>
              </w:rPr>
              <w:t>1,032</w:t>
            </w:r>
          </w:p>
        </w:tc>
      </w:tr>
      <w:tr>
        <w:trPr>
          <w:trHeight w:val="223"/>
        </w:trPr>
        <w:tc>
          <w:tcPr>
            <w:tcW w:w="6980" w:type="dxa"/>
            <w:vAlign w:val="bottom"/>
            <w:gridSpan w:val="2"/>
          </w:tcPr>
          <w:p>
            <w:pPr>
              <w:spacing w:after="0"/>
              <w:rPr>
                <w:sz w:val="20"/>
                <w:szCs w:val="20"/>
                <w:color w:val="auto"/>
              </w:rPr>
            </w:pPr>
            <w:r>
              <w:rPr>
                <w:rFonts w:ascii="Arial" w:cs="Arial" w:eastAsia="Arial" w:hAnsi="Arial"/>
                <w:sz w:val="18"/>
                <w:szCs w:val="18"/>
                <w:b w:val="1"/>
                <w:bCs w:val="1"/>
                <w:color w:val="auto"/>
              </w:rPr>
              <w:t>Finance result, net</w:t>
            </w:r>
          </w:p>
        </w:tc>
        <w:tc>
          <w:tcPr>
            <w:tcW w:w="13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4,503</w:t>
            </w:r>
          </w:p>
        </w:tc>
        <w:tc>
          <w:tcPr>
            <w:tcW w:w="100" w:type="dxa"/>
            <w:vAlign w:val="bottom"/>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(626)</w:t>
            </w:r>
          </w:p>
        </w:tc>
        <w:tc>
          <w:tcPr>
            <w:tcW w:w="100" w:type="dxa"/>
            <w:vAlign w:val="bottom"/>
          </w:tcPr>
          <w:p>
            <w:pPr>
              <w:spacing w:after="0"/>
              <w:rPr>
                <w:sz w:val="19"/>
                <w:szCs w:val="19"/>
                <w:color w:val="auto"/>
              </w:rPr>
            </w:pPr>
          </w:p>
        </w:tc>
        <w:tc>
          <w:tcPr>
            <w:tcW w:w="13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5,129</w:t>
            </w:r>
          </w:p>
        </w:tc>
      </w:tr>
      <w:tr>
        <w:trPr>
          <w:trHeight w:val="20"/>
        </w:trPr>
        <w:tc>
          <w:tcPr>
            <w:tcW w:w="6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For the nine months ended September 30, 2021, net finance result was a gain, primarily related to:</w:t>
      </w:r>
    </w:p>
    <w:p>
      <w:pPr>
        <w:spacing w:after="0" w:line="225" w:lineRule="exact"/>
        <w:rPr>
          <w:sz w:val="20"/>
          <w:szCs w:val="20"/>
          <w:color w:val="auto"/>
        </w:rPr>
      </w:pPr>
    </w:p>
    <w:p>
      <w:pPr>
        <w:ind w:left="660" w:hanging="328"/>
        <w:spacing w:after="0"/>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 CHF 4.4 million increase in the fair value of derivative financial assets related to the convertible notes; and</w:t>
      </w:r>
    </w:p>
    <w:p>
      <w:pPr>
        <w:spacing w:after="0" w:line="225"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 CHF 1.0 million increase in foreign currency exchange differences related to movement in the CHF versus foreign currencies, predominantly the US Dollar and Euro,</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This was partially offset by;</w:t>
      </w:r>
    </w:p>
    <w:p>
      <w:pPr>
        <w:spacing w:after="0" w:line="225" w:lineRule="exact"/>
        <w:rPr>
          <w:sz w:val="20"/>
          <w:szCs w:val="20"/>
          <w:color w:val="auto"/>
        </w:rPr>
      </w:pPr>
    </w:p>
    <w:p>
      <w:pPr>
        <w:ind w:left="660" w:hanging="328"/>
        <w:spacing w:after="0"/>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CHF 0.2 million increase in finance costs related to interest expense on short-term deposits.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349250</wp:posOffset>
            </wp:positionV>
            <wp:extent cx="713232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26" w:name="page27"/>
    <w:bookmarkEnd w:id="26"/>
    <w:p>
      <w:pPr>
        <w:ind w:left="340"/>
        <w:spacing w:after="0"/>
        <w:rPr>
          <w:sz w:val="20"/>
          <w:szCs w:val="20"/>
          <w:color w:val="auto"/>
        </w:rPr>
      </w:pPr>
      <w:r>
        <w:rPr>
          <w:rFonts w:ascii="Arial" w:cs="Arial" w:eastAsia="Arial" w:hAnsi="Arial"/>
          <w:sz w:val="18"/>
          <w:szCs w:val="18"/>
          <w:b w:val="1"/>
          <w:bCs w:val="1"/>
          <w:i w:val="1"/>
          <w:iCs w:val="1"/>
          <w:color w:val="auto"/>
        </w:rPr>
        <w:t>Liquidity and Capital Resources</w:t>
      </w:r>
    </w:p>
    <w:p>
      <w:pPr>
        <w:spacing w:after="0" w:line="225" w:lineRule="exact"/>
        <w:rPr>
          <w:sz w:val="20"/>
          <w:szCs w:val="20"/>
          <w:color w:val="auto"/>
        </w:rPr>
      </w:pPr>
    </w:p>
    <w:p>
      <w:pPr>
        <w:ind w:right="40" w:firstLine="324"/>
        <w:spacing w:after="0" w:line="272" w:lineRule="auto"/>
        <w:rPr>
          <w:sz w:val="20"/>
          <w:szCs w:val="20"/>
          <w:color w:val="auto"/>
        </w:rPr>
      </w:pPr>
      <w:r>
        <w:rPr>
          <w:rFonts w:ascii="Arial" w:cs="Arial" w:eastAsia="Arial" w:hAnsi="Arial"/>
          <w:sz w:val="17"/>
          <w:szCs w:val="17"/>
          <w:color w:val="auto"/>
        </w:rPr>
        <w:t>To date, AC Immune has financed its cash requirements primarily from its public offerings, share issuances, contract revenues from licensing and collaboration agreements and grants. The Company is a clinical-stage company and is exposed to all the risks inherent to establishing a business. Inherent to the Company’s business are various risks and uncertainties, including the substantial uncertainty as to whether current projects will succeed. The Company’s success may depend in part upon its ability to (i) establish and maintain a strong patent position and protection; (ii) enter into collaborations with partners in the pharmaceutical and biopharmaceutical industries;(iii) successfully move its product candidates through clinical development; (iv) attract and retain key personnel; and (v) acquire capital to support its operations. As of September 30, 2021, we had cash and cash equivalents of CHF 93.6 million and short-term financial assets of CHF 95.0 million for a total liquidity balance of CHF 188.6 million.</w:t>
      </w:r>
    </w:p>
    <w:p>
      <w:pPr>
        <w:spacing w:after="0" w:line="177" w:lineRule="exact"/>
        <w:rPr>
          <w:sz w:val="20"/>
          <w:szCs w:val="20"/>
          <w:color w:val="auto"/>
        </w:rPr>
      </w:pPr>
    </w:p>
    <w:p>
      <w:pPr>
        <w:ind w:right="80" w:firstLine="324"/>
        <w:spacing w:after="0" w:line="269" w:lineRule="auto"/>
        <w:rPr>
          <w:sz w:val="20"/>
          <w:szCs w:val="20"/>
          <w:color w:val="auto"/>
        </w:rPr>
      </w:pPr>
      <w:r>
        <w:rPr>
          <w:rFonts w:ascii="Arial" w:cs="Arial" w:eastAsia="Arial" w:hAnsi="Arial"/>
          <w:sz w:val="17"/>
          <w:szCs w:val="17"/>
          <w:color w:val="auto"/>
        </w:rPr>
        <w:t>Our primary uses of capital are, and we expect will continue to be, R&amp;D expenses, compensation and related expenses, and other operating expenses including rent. Cash and cash equivalents used to fund operating expenses are impacted by the timing of when we pay expenses, as reflected in the change in our outstanding accounts payable and accrued expenses. We expect to incur substantial expenses in connection with a number of our product candidates in various stages of clinical development. We and Janssen are co-developing second-generation therapeutic vaccines, ACI-35.030 and JACI-35.054, through Phase 1b/2a completion. AC Immune and Janssen will jointly share research and development costs until the completion of the first Phase 2b (AC Immune’s contribution to the first Phase 2b trial is capped). From Phase 2b and onwards, Janssen will assume responsibility for the clinical development, manufacturing and commercialization of the vaccines. We expect to incur additional R&amp;D expenditures associated with the expansion of our Morphomer Tau program into AD and NeuroOrphan indications. We intend to increase our R&amp;D costs associated with the advancement of ACI-7104 in Parkinson’s disease and our ACI-24 vaccine program (i.e. ACI-24 AD and ACI-24 DS) through mid-stage clinical development. We also intend to further characterize our preclinical candidates.</w:t>
      </w:r>
    </w:p>
    <w:p>
      <w:pPr>
        <w:spacing w:after="0" w:line="185" w:lineRule="exact"/>
        <w:rPr>
          <w:sz w:val="20"/>
          <w:szCs w:val="20"/>
          <w:color w:val="auto"/>
        </w:rPr>
      </w:pPr>
    </w:p>
    <w:p>
      <w:pPr>
        <w:ind w:firstLine="324"/>
        <w:spacing w:after="0" w:line="288" w:lineRule="auto"/>
        <w:rPr>
          <w:sz w:val="20"/>
          <w:szCs w:val="20"/>
          <w:color w:val="auto"/>
        </w:rPr>
      </w:pPr>
      <w:r>
        <w:rPr>
          <w:rFonts w:ascii="Arial" w:cs="Arial" w:eastAsia="Arial" w:hAnsi="Arial"/>
          <w:sz w:val="16"/>
          <w:szCs w:val="16"/>
          <w:color w:val="auto"/>
        </w:rPr>
        <w:t>We plan to continue to fund our operating and capital funding needs through proceeds received from licensing and collaboration agreements (LCAs) and through equity or other forms of financing. For example, in Q3 2020 we entered into the Sales Agreement with Jefferies LLC (“Jefferies”), which provides that, upon the terms and subject to the conditions and limitations set forth in the Sales Agreement, we may elect to issue and sell, from time to time, shares of our common shares having an aggregate offering price of up to USD 80.0 (CHF 74.5) million through Jefferies acting as our sales agent. We replaced this Sales Agreement in Q2 2021 to continue the ATM program. Under the New Sales Agreement, Jefferies may sell the shares of common shares by any method permitted by law deemed to be an “at the market offering” as defined under the Securities Act of 1933, as amended, in privately negotiated transactions with our consent or in block transactions. Jefferies will use commercially reasonable efforts to sell the shares of common shares subject to the New Sales Agreement from time to time, consistent with its normal sales and trading practices, on mutually agreed terms. We will pay Jefferies a commission of up to 3.0% of the gross sales proceeds of any common shares sold through Jefferies under the New Sales Agreement. We are not obligated to make any sales of common shares under the New Sales Agreement, and we have not yet sold any common shares pursuant to the New Sales Agreement.</w:t>
      </w:r>
    </w:p>
    <w:p>
      <w:pPr>
        <w:spacing w:after="0" w:line="16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may also consider entering into additional LCAs and selectively partnering for clinical development and commercialization.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349250</wp:posOffset>
            </wp:positionV>
            <wp:extent cx="713232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584" w:right="35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color w:val="auto"/>
        </w:rPr>
        <w:t>Cash Flows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following table summarizes AC Immune’s cash flows for the periods indicated:</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ind w:left="520"/>
        <w:spacing w:after="0"/>
        <w:rPr>
          <w:sz w:val="20"/>
          <w:szCs w:val="20"/>
          <w:color w:val="auto"/>
        </w:rPr>
      </w:pPr>
      <w:r>
        <w:rPr>
          <w:rFonts w:ascii="Arial" w:cs="Arial" w:eastAsia="Arial" w:hAnsi="Arial"/>
          <w:sz w:val="18"/>
          <w:szCs w:val="18"/>
          <w:b w:val="1"/>
          <w:bCs w:val="1"/>
          <w:color w:val="auto"/>
        </w:rPr>
        <w:t>in CHF thousands,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4605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Net cash provided by/(used in):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Investing activities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Financing activities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decrease in cash and cash equivalents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16319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272"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Operating activities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2920" w:type="dxa"/>
            <w:vAlign w:val="bottom"/>
            <w:gridSpan w:val="4"/>
          </w:tcPr>
          <w:p>
            <w:pPr>
              <w:ind w:left="580"/>
              <w:spacing w:after="0"/>
              <w:rPr>
                <w:sz w:val="20"/>
                <w:szCs w:val="20"/>
                <w:color w:val="auto"/>
              </w:rPr>
            </w:pPr>
            <w:r>
              <w:rPr>
                <w:rFonts w:ascii="Arial" w:cs="Arial" w:eastAsia="Arial" w:hAnsi="Arial"/>
                <w:sz w:val="18"/>
                <w:szCs w:val="18"/>
                <w:b w:val="1"/>
                <w:bCs w:val="1"/>
                <w:color w:val="auto"/>
              </w:rPr>
              <w:t>For the Nine Months</w:t>
            </w:r>
          </w:p>
        </w:tc>
        <w:tc>
          <w:tcPr>
            <w:tcW w:w="1340" w:type="dxa"/>
            <w:vAlign w:val="bottom"/>
          </w:tcPr>
          <w:p>
            <w:pPr>
              <w:spacing w:after="0"/>
              <w:rPr>
                <w:sz w:val="18"/>
                <w:szCs w:val="18"/>
                <w:color w:val="auto"/>
              </w:rPr>
            </w:pPr>
          </w:p>
        </w:tc>
      </w:tr>
      <w:tr>
        <w:trPr>
          <w:trHeight w:val="234"/>
        </w:trPr>
        <w:tc>
          <w:tcPr>
            <w:tcW w:w="2920" w:type="dxa"/>
            <w:vAlign w:val="bottom"/>
            <w:gridSpan w:val="4"/>
          </w:tcPr>
          <w:p>
            <w:pPr>
              <w:ind w:left="580"/>
              <w:spacing w:after="0"/>
              <w:rPr>
                <w:sz w:val="20"/>
                <w:szCs w:val="20"/>
                <w:color w:val="auto"/>
              </w:rPr>
            </w:pPr>
            <w:r>
              <w:rPr>
                <w:rFonts w:ascii="Arial" w:cs="Arial" w:eastAsia="Arial" w:hAnsi="Arial"/>
                <w:sz w:val="18"/>
                <w:szCs w:val="18"/>
                <w:b w:val="1"/>
                <w:bCs w:val="1"/>
                <w:color w:val="auto"/>
              </w:rPr>
              <w:t>Ended September 30,</w:t>
            </w:r>
          </w:p>
        </w:tc>
        <w:tc>
          <w:tcPr>
            <w:tcW w:w="1340" w:type="dxa"/>
            <w:vAlign w:val="bottom"/>
          </w:tcPr>
          <w:p>
            <w:pPr>
              <w:spacing w:after="0"/>
              <w:rPr>
                <w:sz w:val="20"/>
                <w:szCs w:val="20"/>
                <w:color w:val="auto"/>
              </w:rPr>
            </w:pPr>
          </w:p>
        </w:tc>
      </w:tr>
      <w:tr>
        <w:trPr>
          <w:trHeight w:val="223"/>
        </w:trPr>
        <w:tc>
          <w:tcPr>
            <w:tcW w:w="1380" w:type="dxa"/>
            <w:vAlign w:val="bottom"/>
            <w:tcBorders>
              <w:top w:val="single" w:sz="8" w:color="auto"/>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top w:val="single" w:sz="8" w:color="auto"/>
            </w:tcBorders>
          </w:tcPr>
          <w:p>
            <w:pPr>
              <w:spacing w:after="0"/>
              <w:rPr>
                <w:sz w:val="19"/>
                <w:szCs w:val="19"/>
                <w:color w:val="auto"/>
              </w:rPr>
            </w:pPr>
          </w:p>
        </w:tc>
        <w:tc>
          <w:tcPr>
            <w:tcW w:w="134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9"/>
                <w:szCs w:val="19"/>
                <w:color w:val="auto"/>
              </w:rPr>
            </w:pPr>
          </w:p>
        </w:tc>
        <w:tc>
          <w:tcPr>
            <w:tcW w:w="13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Change</w:t>
            </w:r>
          </w:p>
        </w:tc>
      </w:tr>
      <w:tr>
        <w:trPr>
          <w:trHeight w:val="411"/>
        </w:trPr>
        <w:tc>
          <w:tcPr>
            <w:tcW w:w="1380" w:type="dxa"/>
            <w:vAlign w:val="bottom"/>
          </w:tcPr>
          <w:p>
            <w:pPr>
              <w:jc w:val="right"/>
              <w:spacing w:after="0"/>
              <w:rPr>
                <w:sz w:val="20"/>
                <w:szCs w:val="20"/>
                <w:color w:val="auto"/>
              </w:rPr>
            </w:pPr>
            <w:r>
              <w:rPr>
                <w:rFonts w:ascii="Arial" w:cs="Arial" w:eastAsia="Arial" w:hAnsi="Arial"/>
                <w:sz w:val="18"/>
                <w:szCs w:val="18"/>
                <w:color w:val="auto"/>
              </w:rPr>
              <w:t>(47,861)</w:t>
            </w:r>
          </w:p>
        </w:tc>
        <w:tc>
          <w:tcPr>
            <w:tcW w:w="100" w:type="dxa"/>
            <w:vAlign w:val="bottom"/>
          </w:tcPr>
          <w:p>
            <w:pPr>
              <w:spacing w:after="0"/>
              <w:rPr>
                <w:sz w:val="24"/>
                <w:szCs w:val="24"/>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(40,154)</w:t>
            </w:r>
          </w:p>
        </w:tc>
        <w:tc>
          <w:tcPr>
            <w:tcW w:w="100" w:type="dxa"/>
            <w:vAlign w:val="bottom"/>
          </w:tcPr>
          <w:p>
            <w:pPr>
              <w:spacing w:after="0"/>
              <w:rPr>
                <w:sz w:val="24"/>
                <w:szCs w:val="24"/>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(7,707)</w:t>
            </w:r>
          </w:p>
        </w:tc>
      </w:tr>
      <w:tr>
        <w:trPr>
          <w:trHeight w:val="229"/>
        </w:trPr>
        <w:tc>
          <w:tcPr>
            <w:tcW w:w="1380" w:type="dxa"/>
            <w:vAlign w:val="bottom"/>
          </w:tcPr>
          <w:p>
            <w:pPr>
              <w:jc w:val="right"/>
              <w:spacing w:after="0"/>
              <w:rPr>
                <w:sz w:val="20"/>
                <w:szCs w:val="20"/>
                <w:color w:val="auto"/>
              </w:rPr>
            </w:pPr>
            <w:r>
              <w:rPr>
                <w:rFonts w:ascii="Arial" w:cs="Arial" w:eastAsia="Arial" w:hAnsi="Arial"/>
                <w:sz w:val="18"/>
                <w:szCs w:val="18"/>
                <w:color w:val="auto"/>
              </w:rPr>
              <w:t>(31,942)</w:t>
            </w:r>
          </w:p>
        </w:tc>
        <w:tc>
          <w:tcPr>
            <w:tcW w:w="100" w:type="dxa"/>
            <w:vAlign w:val="bottom"/>
          </w:tcPr>
          <w:p>
            <w:pPr>
              <w:spacing w:after="0"/>
              <w:rPr>
                <w:sz w:val="19"/>
                <w:szCs w:val="19"/>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24,163</w:t>
            </w:r>
          </w:p>
        </w:tc>
        <w:tc>
          <w:tcPr>
            <w:tcW w:w="1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(56,105)</w:t>
            </w:r>
          </w:p>
        </w:tc>
      </w:tr>
      <w:tr>
        <w:trPr>
          <w:trHeight w:val="230"/>
        </w:trPr>
        <w:tc>
          <w:tcPr>
            <w:tcW w:w="13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12,013</w:t>
            </w:r>
          </w:p>
        </w:tc>
        <w:tc>
          <w:tcPr>
            <w:tcW w:w="100" w:type="dxa"/>
            <w:vAlign w:val="bottom"/>
          </w:tcPr>
          <w:p>
            <w:pPr>
              <w:spacing w:after="0"/>
              <w:rPr>
                <w:sz w:val="20"/>
                <w:szCs w:val="20"/>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(343)</w:t>
            </w:r>
          </w:p>
        </w:tc>
        <w:tc>
          <w:tcPr>
            <w:tcW w:w="100" w:type="dxa"/>
            <w:vAlign w:val="bottom"/>
          </w:tcPr>
          <w:p>
            <w:pPr>
              <w:spacing w:after="0"/>
              <w:rPr>
                <w:sz w:val="20"/>
                <w:szCs w:val="20"/>
                <w:color w:val="auto"/>
              </w:rPr>
            </w:pPr>
          </w:p>
        </w:tc>
        <w:tc>
          <w:tcPr>
            <w:tcW w:w="13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12,356</w:t>
            </w:r>
          </w:p>
        </w:tc>
      </w:tr>
      <w:tr>
        <w:trPr>
          <w:trHeight w:val="223"/>
        </w:trPr>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(67,790)</w:t>
            </w:r>
          </w:p>
        </w:tc>
        <w:tc>
          <w:tcPr>
            <w:tcW w:w="100" w:type="dxa"/>
            <w:vAlign w:val="bottom"/>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(16,334)</w:t>
            </w:r>
          </w:p>
        </w:tc>
        <w:tc>
          <w:tcPr>
            <w:tcW w:w="100" w:type="dxa"/>
            <w:vAlign w:val="bottom"/>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(51,456)</w:t>
            </w:r>
          </w:p>
        </w:tc>
      </w:tr>
      <w:tr>
        <w:trPr>
          <w:trHeight w:val="20"/>
        </w:trPr>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608" w:lineRule="exact"/>
        <w:rPr>
          <w:sz w:val="20"/>
          <w:szCs w:val="20"/>
          <w:color w:val="auto"/>
        </w:rPr>
      </w:pPr>
    </w:p>
    <w:p>
      <w:pPr>
        <w:sectPr>
          <w:pgSz w:w="11900" w:h="16838" w:orient="portrait"/>
          <w:cols w:equalWidth="0" w:num="2">
            <w:col w:w="6360" w:space="620"/>
            <w:col w:w="4260"/>
          </w:cols>
          <w:pgMar w:left="320" w:top="580" w:right="339" w:bottom="1440" w:gutter="0" w:footer="0" w:header="0"/>
        </w:sectPr>
      </w:pPr>
    </w:p>
    <w:p>
      <w:pPr>
        <w:spacing w:after="0" w:line="25" w:lineRule="exact"/>
        <w:rPr>
          <w:sz w:val="20"/>
          <w:szCs w:val="20"/>
          <w:color w:val="auto"/>
        </w:rPr>
      </w:pPr>
    </w:p>
    <w:p>
      <w:pPr>
        <w:ind w:firstLine="324"/>
        <w:spacing w:after="0" w:line="272" w:lineRule="auto"/>
        <w:rPr>
          <w:sz w:val="20"/>
          <w:szCs w:val="20"/>
          <w:color w:val="auto"/>
        </w:rPr>
      </w:pPr>
      <w:r>
        <w:rPr>
          <w:rFonts w:ascii="Arial" w:cs="Arial" w:eastAsia="Arial" w:hAnsi="Arial"/>
          <w:sz w:val="17"/>
          <w:szCs w:val="17"/>
          <w:color w:val="auto"/>
        </w:rPr>
        <w:t>Net cash used in operating activities was CHF 47.9 million for the nine months ended September 30, 2021, compared with net cash used in operating activities of CHF 40.2 million for the nine months ended September 30, 2020. The change in cash used in operating activities for the nine months ended September 30, 2021 was due to the Company’s reporting a net loss of CHF 51.7 million for the nine months ended September 30, 2021, compared with a net loss of CHF 42.4 million for the same period in 2020, driven by (i) a decrease of CHF 14.5 million in contract revenues, principally due to the recognition of a CHF 10 million milestone payment and CHF 4.1 million for R&amp;D activities associated with our agreement with Lilly in the prior period, which did not repeat in the current period, partially offset by (ii) a CHF 1.4 million decrease in R&amp;D expenditures for the nine months ended September 30, 2021 and (iii) a CHF 4.4 million gain on the change in fair value of derivative financial assets.</w:t>
      </w:r>
    </w:p>
    <w:p>
      <w:pPr>
        <w:spacing w:after="0" w:line="177"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Investing activities</w:t>
      </w:r>
    </w:p>
    <w:p>
      <w:pPr>
        <w:spacing w:after="0" w:line="225" w:lineRule="exact"/>
        <w:rPr>
          <w:sz w:val="20"/>
          <w:szCs w:val="20"/>
          <w:color w:val="auto"/>
        </w:rPr>
      </w:pPr>
    </w:p>
    <w:p>
      <w:pPr>
        <w:ind w:right="80" w:firstLine="324"/>
        <w:spacing w:after="0" w:line="259" w:lineRule="auto"/>
        <w:rPr>
          <w:sz w:val="20"/>
          <w:szCs w:val="20"/>
          <w:color w:val="auto"/>
        </w:rPr>
      </w:pPr>
      <w:r>
        <w:rPr>
          <w:rFonts w:ascii="Arial" w:cs="Arial" w:eastAsia="Arial" w:hAnsi="Arial"/>
          <w:sz w:val="18"/>
          <w:szCs w:val="18"/>
          <w:color w:val="auto"/>
        </w:rPr>
        <w:t>Net cash used in investing activities was CHF 31.9 million for the nine months ended September 30, 2021, compared with net cash provided by investing activities of CHF 24.2 million for the nine months ended September 30, 2020. The Company increased investments in short-term financial assets by CHF 30.0 million for the current period compared to the maturing of a net CHF 25.0 million in the prior period. The Company additionally acquired CHF 1.9 million in fixed assets in the current period compared to CHF 0.8 million in the prior period.</w:t>
      </w:r>
    </w:p>
    <w:p>
      <w:pPr>
        <w:spacing w:after="0" w:line="187" w:lineRule="exact"/>
        <w:rPr>
          <w:sz w:val="20"/>
          <w:szCs w:val="20"/>
          <w:color w:val="auto"/>
        </w:rPr>
      </w:pPr>
    </w:p>
    <w:p>
      <w:pPr>
        <w:ind w:left="380"/>
        <w:spacing w:after="0"/>
        <w:rPr>
          <w:sz w:val="20"/>
          <w:szCs w:val="20"/>
          <w:color w:val="auto"/>
        </w:rPr>
      </w:pPr>
      <w:r>
        <w:rPr>
          <w:rFonts w:ascii="Arial" w:cs="Arial" w:eastAsia="Arial" w:hAnsi="Arial"/>
          <w:sz w:val="18"/>
          <w:szCs w:val="18"/>
          <w:i w:val="1"/>
          <w:iCs w:val="1"/>
          <w:color w:val="auto"/>
        </w:rPr>
        <w:t>Financing activities</w:t>
      </w:r>
    </w:p>
    <w:p>
      <w:pPr>
        <w:spacing w:after="0" w:line="225" w:lineRule="exact"/>
        <w:rPr>
          <w:sz w:val="20"/>
          <w:szCs w:val="20"/>
          <w:color w:val="auto"/>
        </w:rPr>
      </w:pPr>
    </w:p>
    <w:p>
      <w:pPr>
        <w:ind w:right="120" w:firstLine="324"/>
        <w:spacing w:after="0" w:line="286" w:lineRule="auto"/>
        <w:rPr>
          <w:sz w:val="20"/>
          <w:szCs w:val="20"/>
          <w:color w:val="auto"/>
        </w:rPr>
      </w:pPr>
      <w:r>
        <w:rPr>
          <w:rFonts w:ascii="Arial" w:cs="Arial" w:eastAsia="Arial" w:hAnsi="Arial"/>
          <w:sz w:val="17"/>
          <w:szCs w:val="17"/>
          <w:color w:val="auto"/>
        </w:rPr>
        <w:t>Net cash provided by financing activities was CHF 12.0 million for the nine months ended September 30, 2021, compared with net cash used in financing activities of CHF 0.3 million for the nine months ended September 30, 2020. The increase of CHF 12.4 million is predominantly related to CHF 12.1 million received from proceeds from the sale of treasury shares in public offerings, net of underwriting fees and transaction costs.</w:t>
      </w:r>
    </w:p>
    <w:p>
      <w:pPr>
        <w:spacing w:after="0" w:line="165"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Operating Capital Requirements and Plan of Operations</w:t>
      </w:r>
    </w:p>
    <w:p>
      <w:pPr>
        <w:spacing w:after="0" w:line="225" w:lineRule="exact"/>
        <w:rPr>
          <w:sz w:val="20"/>
          <w:szCs w:val="20"/>
          <w:color w:val="auto"/>
        </w:rPr>
      </w:pPr>
    </w:p>
    <w:p>
      <w:pPr>
        <w:ind w:right="200" w:firstLine="324"/>
        <w:spacing w:after="0" w:line="289" w:lineRule="auto"/>
        <w:rPr>
          <w:sz w:val="20"/>
          <w:szCs w:val="20"/>
          <w:color w:val="auto"/>
        </w:rPr>
      </w:pPr>
      <w:r>
        <w:rPr>
          <w:rFonts w:ascii="Arial" w:cs="Arial" w:eastAsia="Arial" w:hAnsi="Arial"/>
          <w:sz w:val="16"/>
          <w:szCs w:val="16"/>
          <w:color w:val="auto"/>
        </w:rPr>
        <w:t>We do not expect to generate revenues from royalties based on product sales unless and until our partners obtain regulatory approval of, and successfully commercialize, our current or any future product candidates. As of September 30, 2021, we had cash and cash equivalents of CHF 93.6 million and short-term financial assets of CHF 95.0 million, resulting in CHF 188.6 million of liquidity. The decrease relative to December 31, 2020 was predominantly related to R&amp;D spending on our major discovery and R&amp;D programs, and the strengthening of the Company’s infrastructure, systems and organization. This was offset by the receipt of CHF 12.1 million, net of underwriting fees and transaction costs, for the sale of 1,171,543 of our common shares that were previously held as treasury shares in accordance with our ATM program. There can be no certainty as to the exact timing of future milestone payments, or in fact, whether any of these will ever be made, given that they are contingent on clear milestones being reached. Accordingly, assuming that we do not receive potential milestone payments and based upon our currently contemplated R&amp;D strategy, we believe that our existing capital resources will be sufficient to meet our projected operating requirements through Q1 2024.</w:t>
      </w:r>
    </w:p>
    <w:p>
      <w:pPr>
        <w:spacing w:after="0" w:line="166" w:lineRule="exact"/>
        <w:rPr>
          <w:sz w:val="20"/>
          <w:szCs w:val="20"/>
          <w:color w:val="auto"/>
        </w:rPr>
      </w:pPr>
    </w:p>
    <w:p>
      <w:pPr>
        <w:ind w:right="440" w:firstLine="324"/>
        <w:spacing w:after="0" w:line="277" w:lineRule="auto"/>
        <w:rPr>
          <w:sz w:val="20"/>
          <w:szCs w:val="20"/>
          <w:color w:val="auto"/>
        </w:rPr>
      </w:pPr>
      <w:r>
        <w:rPr>
          <w:rFonts w:ascii="Arial" w:cs="Arial" w:eastAsia="Arial" w:hAnsi="Arial"/>
          <w:sz w:val="18"/>
          <w:szCs w:val="18"/>
          <w:color w:val="auto"/>
        </w:rPr>
        <w:t>We expect to generate losses for the foreseeable future, and these losses could increase as we continue product development until we successfully achieve regulatory approvals for our product candidates and begin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314325</wp:posOffset>
            </wp:positionV>
            <wp:extent cx="713232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type w:val="continuous"/>
        </w:sectPr>
      </w:pPr>
    </w:p>
    <w:bookmarkStart w:id="28" w:name="page29"/>
    <w:bookmarkEnd w:id="28"/>
    <w:p>
      <w:pPr>
        <w:ind w:right="60"/>
        <w:spacing w:after="0" w:line="257" w:lineRule="auto"/>
        <w:rPr>
          <w:sz w:val="20"/>
          <w:szCs w:val="20"/>
          <w:color w:val="auto"/>
        </w:rPr>
      </w:pPr>
      <w:r>
        <w:rPr>
          <w:rFonts w:ascii="Arial" w:cs="Arial" w:eastAsia="Arial" w:hAnsi="Arial"/>
          <w:sz w:val="18"/>
          <w:szCs w:val="18"/>
          <w:color w:val="auto"/>
        </w:rPr>
        <w:t>commercialize any approved products. We are subject to all the risks pertinent to the development of new products, and we may encounter unforeseen expenses, difficulties, complications, delays and other unknown factors that may harm our business. We expect to incur additional costs associated with operating a public company and we anticipate that we will need substantial additional funding in connection with our continuing operations. If we need to raise additional capital to fund our operations and complete our ongoing and planned clinical studies, funding may not be available to us on acceptable terms, or at all.</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future funding requirements will depend on many factors, including but not limited to the following:</w:t>
      </w:r>
    </w:p>
    <w:p>
      <w:pPr>
        <w:spacing w:after="0" w:line="225" w:lineRule="exact"/>
        <w:rPr>
          <w:sz w:val="20"/>
          <w:szCs w:val="20"/>
          <w:color w:val="auto"/>
        </w:rPr>
      </w:pPr>
    </w:p>
    <w:p>
      <w:pPr>
        <w:ind w:left="660" w:right="20" w:hanging="328"/>
        <w:spacing w:after="0" w:line="277" w:lineRule="auto"/>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scope, rate of progress, results and cost of our preclinical and clinical studies and other related activities, according to our long-term strategic plan;</w:t>
      </w:r>
    </w:p>
    <w:p>
      <w:pPr>
        <w:spacing w:after="0" w:line="170" w:lineRule="exact"/>
        <w:rPr>
          <w:rFonts w:ascii="Arial" w:cs="Arial" w:eastAsia="Arial" w:hAnsi="Arial"/>
          <w:sz w:val="18"/>
          <w:szCs w:val="18"/>
          <w:color w:val="auto"/>
        </w:rPr>
      </w:pPr>
    </w:p>
    <w:p>
      <w:pPr>
        <w:ind w:left="660" w:right="480" w:hanging="328"/>
        <w:spacing w:after="0" w:line="277" w:lineRule="auto"/>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cost of manufacturing clinical supplies and establishing commercial supplies of our product candidates and any other products we may develop;</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cost, timing and outcomes of regulatory approvals;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costs and timing of establishing sales, marketing and distribution capabilities;</w:t>
      </w:r>
    </w:p>
    <w:p>
      <w:pPr>
        <w:spacing w:after="0" w:line="225" w:lineRule="exact"/>
        <w:rPr>
          <w:rFonts w:ascii="Arial" w:cs="Arial" w:eastAsia="Arial" w:hAnsi="Arial"/>
          <w:sz w:val="18"/>
          <w:szCs w:val="18"/>
          <w:color w:val="auto"/>
        </w:rPr>
      </w:pPr>
    </w:p>
    <w:p>
      <w:pPr>
        <w:ind w:left="660" w:right="80" w:hanging="328"/>
        <w:spacing w:after="0" w:line="277" w:lineRule="auto"/>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terms and timing of any collaborative, licensing and other arrangements that we may establish, including any required milestone and royalty payments thereunder;</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emergence of competing technologies or other adverse market developments;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potential cost and timing of managing and protecting our portfolio of IP.</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Quantitative and Qualitative Disclosures about Market Risk</w:t>
      </w:r>
    </w:p>
    <w:p>
      <w:pPr>
        <w:spacing w:after="0" w:line="225" w:lineRule="exact"/>
        <w:rPr>
          <w:sz w:val="20"/>
          <w:szCs w:val="20"/>
          <w:color w:val="auto"/>
        </w:rPr>
      </w:pPr>
    </w:p>
    <w:p>
      <w:pPr>
        <w:ind w:right="180" w:firstLine="324"/>
        <w:spacing w:after="0" w:line="263" w:lineRule="auto"/>
        <w:rPr>
          <w:sz w:val="20"/>
          <w:szCs w:val="20"/>
          <w:color w:val="auto"/>
        </w:rPr>
      </w:pPr>
      <w:r>
        <w:rPr>
          <w:rFonts w:ascii="Arial" w:cs="Arial" w:eastAsia="Arial" w:hAnsi="Arial"/>
          <w:sz w:val="18"/>
          <w:szCs w:val="18"/>
          <w:color w:val="auto"/>
        </w:rPr>
        <w:t>During the three and nine months ended September 30, 2021, there were no significant changes to our quantitative and qualitative disclosures about market risk described under the heading “Management’s Discussion and Analysis of Financial Condition and Results of Operations – Quantitative and Qualitative Disclosures About Market Risk” in the Annual Report on Form 20-F.</w:t>
      </w:r>
    </w:p>
    <w:p>
      <w:pPr>
        <w:spacing w:after="0" w:line="184"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Critical Judgments and Accounting Estimates</w:t>
      </w:r>
    </w:p>
    <w:p>
      <w:pPr>
        <w:spacing w:after="0" w:line="225" w:lineRule="exact"/>
        <w:rPr>
          <w:sz w:val="20"/>
          <w:szCs w:val="20"/>
          <w:color w:val="auto"/>
        </w:rPr>
      </w:pPr>
    </w:p>
    <w:p>
      <w:pPr>
        <w:jc w:val="both"/>
        <w:ind w:right="40" w:firstLine="324"/>
        <w:spacing w:after="0" w:line="263" w:lineRule="auto"/>
        <w:rPr>
          <w:sz w:val="20"/>
          <w:szCs w:val="20"/>
          <w:color w:val="auto"/>
        </w:rPr>
      </w:pPr>
      <w:r>
        <w:rPr>
          <w:rFonts w:ascii="Arial" w:cs="Arial" w:eastAsia="Arial" w:hAnsi="Arial"/>
          <w:sz w:val="18"/>
          <w:szCs w:val="18"/>
          <w:color w:val="auto"/>
        </w:rPr>
        <w:t>There have been no material changes to the significant accounting policies and estimates described under the heading “Management’s Discussion and Analysis of Financial Condition and Results of Operations – Critical Judgments and Accounting Estimates” in the Annual Report on Form 20-F, except as it relates to the Company’s derivative financial instruments.</w:t>
      </w:r>
    </w:p>
    <w:p>
      <w:pPr>
        <w:spacing w:after="0" w:line="184"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Jumpstart our Business Startups Act Exemption</w:t>
      </w:r>
    </w:p>
    <w:p>
      <w:pPr>
        <w:spacing w:after="0" w:line="225" w:lineRule="exact"/>
        <w:rPr>
          <w:sz w:val="20"/>
          <w:szCs w:val="20"/>
          <w:color w:val="auto"/>
        </w:rPr>
      </w:pPr>
    </w:p>
    <w:p>
      <w:pPr>
        <w:ind w:firstLine="324"/>
        <w:spacing w:after="0" w:line="271" w:lineRule="auto"/>
        <w:rPr>
          <w:sz w:val="20"/>
          <w:szCs w:val="20"/>
          <w:color w:val="auto"/>
        </w:rPr>
      </w:pPr>
      <w:r>
        <w:rPr>
          <w:rFonts w:ascii="Arial" w:cs="Arial" w:eastAsia="Arial" w:hAnsi="Arial"/>
          <w:sz w:val="17"/>
          <w:szCs w:val="17"/>
          <w:color w:val="auto"/>
        </w:rPr>
        <w:t>On April 5, 2012, the Jumpstart our Business Startups Act of 2012, (“the JOBS Act”), was signed into law. The JOBS Act contains provisions that, among other things, reduce certain reporting requirements for an “emerging growth company.” As an emerging growth company, we are not required to provide an auditor attestation report on our system of internal controls over financial reporting. This exemption will apply for a period of five years following the completion of our initial public offering (through 2021) or until we no longer meet the requirements of being an emerging growth company, whichever is earlier. We would also cease to be an emerging growth company if (i) we have more than USD 1.07 billion in annual revenue; (ii) we are deemed to be a “large accelerated filer” under the rules of the Securities Exchange Commission, which means that the market value of our common shares that are held by non-affiliates exceeds USD 700 million as of the most recently completed second fiscal quarter; or (iii) we have issued more than USD 1.0 billion in non-convertible debt during the prior three-year period.</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Non-IFRS Financial Measures</w:t>
      </w:r>
    </w:p>
    <w:p>
      <w:pPr>
        <w:spacing w:after="0" w:line="229" w:lineRule="exact"/>
        <w:rPr>
          <w:sz w:val="20"/>
          <w:szCs w:val="20"/>
          <w:color w:val="auto"/>
        </w:rPr>
      </w:pPr>
    </w:p>
    <w:p>
      <w:pPr>
        <w:ind w:right="80" w:firstLine="324"/>
        <w:spacing w:after="0" w:line="311" w:lineRule="auto"/>
        <w:rPr>
          <w:sz w:val="20"/>
          <w:szCs w:val="20"/>
          <w:color w:val="auto"/>
        </w:rPr>
      </w:pPr>
      <w:r>
        <w:rPr>
          <w:rFonts w:ascii="Arial" w:cs="Arial" w:eastAsia="Arial" w:hAnsi="Arial"/>
          <w:sz w:val="16"/>
          <w:szCs w:val="16"/>
          <w:color w:val="auto"/>
        </w:rPr>
        <w:t>In addition to AC Immune’s operating results, as calculated in accordance with International Financial Reporting Standards (IFRS), as issued by the International Accounting Standards Board, we use adjusted loss and adjusted loss per share when monitoring and evaluating our operational performance. Adjusted loss is defined as loss for the relevant period, as adjusted for certain items that we believe are not indicative of our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300990</wp:posOffset>
            </wp:positionV>
            <wp:extent cx="713232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60"/>
          </w:cols>
          <w:pgMar w:left="320" w:top="584" w:right="419" w:bottom="1440" w:gutter="0" w:footer="0" w:header="0"/>
        </w:sectPr>
      </w:pPr>
    </w:p>
    <w:bookmarkStart w:id="29" w:name="page30"/>
    <w:bookmarkEnd w:id="29"/>
    <w:p>
      <w:pPr>
        <w:ind w:right="460"/>
        <w:spacing w:after="0" w:line="277" w:lineRule="auto"/>
        <w:rPr>
          <w:sz w:val="20"/>
          <w:szCs w:val="20"/>
          <w:color w:val="auto"/>
        </w:rPr>
      </w:pPr>
      <w:r>
        <w:rPr>
          <w:rFonts w:ascii="Arial" w:cs="Arial" w:eastAsia="Arial" w:hAnsi="Arial"/>
          <w:sz w:val="18"/>
          <w:szCs w:val="18"/>
          <w:color w:val="auto"/>
        </w:rPr>
        <w:t>ongoing operating performance. Adjusted loss per share is defined as adjusted loss for the relevant period divided by the weighted-average number of shares for such period.</w:t>
      </w:r>
    </w:p>
    <w:p>
      <w:pPr>
        <w:spacing w:after="0" w:line="170" w:lineRule="exact"/>
        <w:rPr>
          <w:sz w:val="20"/>
          <w:szCs w:val="20"/>
          <w:color w:val="auto"/>
        </w:rPr>
      </w:pPr>
    </w:p>
    <w:p>
      <w:pPr>
        <w:ind w:right="20" w:firstLine="324"/>
        <w:spacing w:after="0" w:line="296" w:lineRule="auto"/>
        <w:rPr>
          <w:sz w:val="20"/>
          <w:szCs w:val="20"/>
          <w:color w:val="auto"/>
        </w:rPr>
      </w:pPr>
      <w:r>
        <w:rPr>
          <w:rFonts w:ascii="Arial" w:cs="Arial" w:eastAsia="Arial" w:hAnsi="Arial"/>
          <w:sz w:val="16"/>
          <w:szCs w:val="16"/>
          <w:color w:val="auto"/>
        </w:rPr>
        <w:t>We believe that these measures assist our shareholders because they enhance the comparability of our results each period and provide more useful insight into operational results for the period. The Company’s executive management uses these non-IFRS measures to evaluate our operational performance. These non-IFRS financial measures are not meant to be considered alone or as substitutes for our IFRS financial measures and should be read in conjunction with the Company’s financial statements prepared in accordance with IFRS. The most directly comparable IFRS measure to these non-IFRS measures is net loss. The following table reconciles net loss to adjusted loss and adjusted loss per share for the periods presented:</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Reconciliation of Loss to Adjusted Loss and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Loss Per Share to Adjusted Loss Per Share</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940" w:type="dxa"/>
            <w:vAlign w:val="bottom"/>
            <w:gridSpan w:val="4"/>
          </w:tcPr>
          <w:p>
            <w:pPr>
              <w:jc w:val="center"/>
              <w:ind w:right="100"/>
              <w:spacing w:after="0"/>
              <w:rPr>
                <w:sz w:val="20"/>
                <w:szCs w:val="20"/>
                <w:color w:val="auto"/>
              </w:rPr>
            </w:pPr>
            <w:r>
              <w:rPr>
                <w:rFonts w:ascii="Arial" w:cs="Arial" w:eastAsia="Arial" w:hAnsi="Arial"/>
                <w:sz w:val="18"/>
                <w:szCs w:val="18"/>
                <w:b w:val="1"/>
                <w:bCs w:val="1"/>
                <w:color w:val="auto"/>
                <w:w w:val="93"/>
              </w:rPr>
              <w:t>For the Three Months</w:t>
            </w:r>
          </w:p>
        </w:tc>
        <w:tc>
          <w:tcPr>
            <w:tcW w:w="2780" w:type="dxa"/>
            <w:vAlign w:val="bottom"/>
            <w:gridSpan w:val="3"/>
          </w:tcPr>
          <w:p>
            <w:pPr>
              <w:jc w:val="right"/>
              <w:ind w:right="490"/>
              <w:spacing w:after="0"/>
              <w:rPr>
                <w:sz w:val="20"/>
                <w:szCs w:val="20"/>
                <w:color w:val="auto"/>
              </w:rPr>
            </w:pPr>
            <w:r>
              <w:rPr>
                <w:rFonts w:ascii="Arial" w:cs="Arial" w:eastAsia="Arial" w:hAnsi="Arial"/>
                <w:sz w:val="18"/>
                <w:szCs w:val="18"/>
                <w:b w:val="1"/>
                <w:bCs w:val="1"/>
                <w:color w:val="auto"/>
              </w:rPr>
              <w:t>For the Nine Months</w:t>
            </w:r>
          </w:p>
        </w:tc>
      </w:tr>
      <w:tr>
        <w:trPr>
          <w:trHeight w:val="234"/>
        </w:trPr>
        <w:tc>
          <w:tcPr>
            <w:tcW w:w="5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940" w:type="dxa"/>
            <w:vAlign w:val="bottom"/>
            <w:gridSpan w:val="4"/>
          </w:tcPr>
          <w:p>
            <w:pPr>
              <w:jc w:val="center"/>
              <w:ind w:right="100"/>
              <w:spacing w:after="0"/>
              <w:rPr>
                <w:sz w:val="20"/>
                <w:szCs w:val="20"/>
                <w:color w:val="auto"/>
              </w:rPr>
            </w:pPr>
            <w:r>
              <w:rPr>
                <w:rFonts w:ascii="Arial" w:cs="Arial" w:eastAsia="Arial" w:hAnsi="Arial"/>
                <w:sz w:val="18"/>
                <w:szCs w:val="18"/>
                <w:b w:val="1"/>
                <w:bCs w:val="1"/>
                <w:color w:val="auto"/>
                <w:w w:val="89"/>
              </w:rPr>
              <w:t>Ended September 30,</w:t>
            </w:r>
          </w:p>
        </w:tc>
        <w:tc>
          <w:tcPr>
            <w:tcW w:w="2780" w:type="dxa"/>
            <w:vAlign w:val="bottom"/>
            <w:gridSpan w:val="3"/>
          </w:tcPr>
          <w:p>
            <w:pPr>
              <w:jc w:val="right"/>
              <w:ind w:right="470"/>
              <w:spacing w:after="0"/>
              <w:rPr>
                <w:sz w:val="20"/>
                <w:szCs w:val="20"/>
                <w:color w:val="auto"/>
              </w:rPr>
            </w:pPr>
            <w:r>
              <w:rPr>
                <w:rFonts w:ascii="Arial" w:cs="Arial" w:eastAsia="Arial" w:hAnsi="Arial"/>
                <w:sz w:val="18"/>
                <w:szCs w:val="18"/>
                <w:b w:val="1"/>
                <w:bCs w:val="1"/>
                <w:color w:val="auto"/>
              </w:rPr>
              <w:t>Ended September 30,</w:t>
            </w:r>
          </w:p>
        </w:tc>
      </w:tr>
      <w:tr>
        <w:trPr>
          <w:trHeight w:val="223"/>
        </w:trPr>
        <w:tc>
          <w:tcPr>
            <w:tcW w:w="5520" w:type="dxa"/>
            <w:vAlign w:val="bottom"/>
            <w:gridSpan w:val="2"/>
          </w:tcPr>
          <w:p>
            <w:pPr>
              <w:ind w:left="200"/>
              <w:spacing w:after="0"/>
              <w:rPr>
                <w:sz w:val="20"/>
                <w:szCs w:val="20"/>
                <w:color w:val="auto"/>
              </w:rPr>
            </w:pPr>
            <w:r>
              <w:rPr>
                <w:rFonts w:ascii="Arial" w:cs="Arial" w:eastAsia="Arial" w:hAnsi="Arial"/>
                <w:sz w:val="18"/>
                <w:szCs w:val="18"/>
                <w:b w:val="1"/>
                <w:bCs w:val="1"/>
                <w:color w:val="auto"/>
                <w:w w:val="94"/>
              </w:rPr>
              <w:t>in CHF thousands except for share and per share data, unaudited</w:t>
            </w:r>
          </w:p>
        </w:tc>
        <w:tc>
          <w:tcPr>
            <w:tcW w:w="1380" w:type="dxa"/>
            <w:vAlign w:val="bottom"/>
            <w:tcBorders>
              <w:top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2021</w:t>
            </w:r>
          </w:p>
        </w:tc>
        <w:tc>
          <w:tcPr>
            <w:tcW w:w="120" w:type="dxa"/>
            <w:vAlign w:val="bottom"/>
            <w:tcBorders>
              <w:top w:val="single" w:sz="8" w:color="auto"/>
            </w:tcBorders>
          </w:tcPr>
          <w:p>
            <w:pPr>
              <w:spacing w:after="0"/>
              <w:rPr>
                <w:sz w:val="19"/>
                <w:szCs w:val="19"/>
                <w:color w:val="auto"/>
              </w:rPr>
            </w:pPr>
          </w:p>
        </w:tc>
        <w:tc>
          <w:tcPr>
            <w:tcW w:w="1340" w:type="dxa"/>
            <w:vAlign w:val="bottom"/>
            <w:tcBorders>
              <w:top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9"/>
                <w:szCs w:val="19"/>
                <w:color w:val="auto"/>
              </w:rPr>
            </w:pPr>
          </w:p>
        </w:tc>
        <w:tc>
          <w:tcPr>
            <w:tcW w:w="1340" w:type="dxa"/>
            <w:vAlign w:val="bottom"/>
            <w:tcBorders>
              <w:top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top w:val="single" w:sz="8" w:color="auto"/>
            </w:tcBorders>
          </w:tcPr>
          <w:p>
            <w:pPr>
              <w:spacing w:after="0"/>
              <w:rPr>
                <w:sz w:val="19"/>
                <w:szCs w:val="19"/>
                <w:color w:val="auto"/>
              </w:rPr>
            </w:pPr>
          </w:p>
        </w:tc>
        <w:tc>
          <w:tcPr>
            <w:tcW w:w="1340" w:type="dxa"/>
            <w:vAlign w:val="bottom"/>
            <w:tcBorders>
              <w:top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2020</w:t>
            </w:r>
          </w:p>
        </w:tc>
      </w:tr>
      <w:tr>
        <w:trPr>
          <w:trHeight w:val="223"/>
        </w:trPr>
        <w:tc>
          <w:tcPr>
            <w:tcW w:w="5400" w:type="dxa"/>
            <w:vAlign w:val="bottom"/>
            <w:tcBorders>
              <w:top w:val="single" w:sz="8" w:color="auto"/>
            </w:tcBorders>
            <w:shd w:val="clear" w:color="auto" w:fill="D5EAEA"/>
          </w:tcPr>
          <w:p>
            <w:pPr>
              <w:spacing w:after="0"/>
              <w:rPr>
                <w:sz w:val="20"/>
                <w:szCs w:val="20"/>
                <w:color w:val="auto"/>
              </w:rPr>
            </w:pPr>
            <w:r>
              <w:rPr>
                <w:rFonts w:ascii="Arial" w:cs="Arial" w:eastAsia="Arial" w:hAnsi="Arial"/>
                <w:sz w:val="18"/>
                <w:szCs w:val="18"/>
                <w:b w:val="1"/>
                <w:bCs w:val="1"/>
                <w:color w:val="auto"/>
              </w:rPr>
              <w:t>Loss</w:t>
            </w:r>
          </w:p>
        </w:tc>
        <w:tc>
          <w:tcPr>
            <w:tcW w:w="120" w:type="dxa"/>
            <w:vAlign w:val="bottom"/>
            <w:tcBorders>
              <w:top w:val="single" w:sz="8" w:color="D5EAEA"/>
            </w:tcBorders>
            <w:shd w:val="clear" w:color="auto" w:fill="D5EAEA"/>
          </w:tcPr>
          <w:p>
            <w:pPr>
              <w:spacing w:after="0"/>
              <w:rPr>
                <w:sz w:val="19"/>
                <w:szCs w:val="19"/>
                <w:color w:val="auto"/>
              </w:rPr>
            </w:pPr>
          </w:p>
        </w:tc>
        <w:tc>
          <w:tcPr>
            <w:tcW w:w="1380" w:type="dxa"/>
            <w:vAlign w:val="bottom"/>
            <w:tcBorders>
              <w:top w:val="single" w:sz="8" w:color="auto"/>
              <w:bottom w:val="single" w:sz="8" w:color="auto"/>
            </w:tcBorders>
            <w:shd w:val="clear" w:color="auto" w:fill="D5EAEA"/>
          </w:tcPr>
          <w:p>
            <w:pPr>
              <w:jc w:val="right"/>
              <w:spacing w:after="0"/>
              <w:rPr>
                <w:sz w:val="20"/>
                <w:szCs w:val="20"/>
                <w:color w:val="auto"/>
              </w:rPr>
            </w:pPr>
            <w:r>
              <w:rPr>
                <w:rFonts w:ascii="Arial" w:cs="Arial" w:eastAsia="Arial" w:hAnsi="Arial"/>
                <w:sz w:val="18"/>
                <w:szCs w:val="18"/>
                <w:color w:val="auto"/>
              </w:rPr>
              <w:t>(15,918)</w:t>
            </w:r>
          </w:p>
        </w:tc>
        <w:tc>
          <w:tcPr>
            <w:tcW w:w="120" w:type="dxa"/>
            <w:vAlign w:val="bottom"/>
            <w:tcBorders>
              <w:top w:val="single" w:sz="8" w:color="D5EAEA"/>
            </w:tcBorders>
            <w:shd w:val="clear" w:color="auto" w:fill="D5EAEA"/>
          </w:tcPr>
          <w:p>
            <w:pPr>
              <w:spacing w:after="0"/>
              <w:rPr>
                <w:sz w:val="19"/>
                <w:szCs w:val="19"/>
                <w:color w:val="auto"/>
              </w:rPr>
            </w:pPr>
          </w:p>
        </w:tc>
        <w:tc>
          <w:tcPr>
            <w:tcW w:w="1340" w:type="dxa"/>
            <w:vAlign w:val="bottom"/>
            <w:tcBorders>
              <w:top w:val="single" w:sz="8" w:color="auto"/>
              <w:bottom w:val="single" w:sz="8" w:color="auto"/>
            </w:tcBorders>
            <w:shd w:val="clear" w:color="auto" w:fill="D5EAEA"/>
          </w:tcPr>
          <w:p>
            <w:pPr>
              <w:jc w:val="right"/>
              <w:spacing w:after="0"/>
              <w:rPr>
                <w:sz w:val="20"/>
                <w:szCs w:val="20"/>
                <w:color w:val="auto"/>
              </w:rPr>
            </w:pPr>
            <w:r>
              <w:rPr>
                <w:rFonts w:ascii="Arial" w:cs="Arial" w:eastAsia="Arial" w:hAnsi="Arial"/>
                <w:sz w:val="18"/>
                <w:szCs w:val="18"/>
                <w:color w:val="auto"/>
              </w:rPr>
              <w:t>(18,994)</w:t>
            </w:r>
          </w:p>
        </w:tc>
        <w:tc>
          <w:tcPr>
            <w:tcW w:w="100" w:type="dxa"/>
            <w:vAlign w:val="bottom"/>
            <w:tcBorders>
              <w:top w:val="single" w:sz="8" w:color="D5EAEA"/>
            </w:tcBorders>
            <w:shd w:val="clear" w:color="auto" w:fill="D5EAEA"/>
          </w:tcPr>
          <w:p>
            <w:pPr>
              <w:spacing w:after="0"/>
              <w:rPr>
                <w:sz w:val="19"/>
                <w:szCs w:val="19"/>
                <w:color w:val="auto"/>
              </w:rPr>
            </w:pPr>
          </w:p>
        </w:tc>
        <w:tc>
          <w:tcPr>
            <w:tcW w:w="1340" w:type="dxa"/>
            <w:vAlign w:val="bottom"/>
            <w:tcBorders>
              <w:top w:val="single" w:sz="8" w:color="auto"/>
              <w:bottom w:val="single" w:sz="8" w:color="auto"/>
            </w:tcBorders>
            <w:shd w:val="clear" w:color="auto" w:fill="D5EAEA"/>
          </w:tcPr>
          <w:p>
            <w:pPr>
              <w:jc w:val="right"/>
              <w:spacing w:after="0"/>
              <w:rPr>
                <w:sz w:val="20"/>
                <w:szCs w:val="20"/>
                <w:color w:val="auto"/>
              </w:rPr>
            </w:pPr>
            <w:r>
              <w:rPr>
                <w:rFonts w:ascii="Arial" w:cs="Arial" w:eastAsia="Arial" w:hAnsi="Arial"/>
                <w:sz w:val="18"/>
                <w:szCs w:val="18"/>
                <w:color w:val="auto"/>
              </w:rPr>
              <w:t>(51,720)</w:t>
            </w:r>
          </w:p>
        </w:tc>
        <w:tc>
          <w:tcPr>
            <w:tcW w:w="100" w:type="dxa"/>
            <w:vAlign w:val="bottom"/>
            <w:tcBorders>
              <w:top w:val="single" w:sz="8" w:color="D5EAEA"/>
            </w:tcBorders>
            <w:shd w:val="clear" w:color="auto" w:fill="D5EAEA"/>
          </w:tcPr>
          <w:p>
            <w:pPr>
              <w:spacing w:after="0"/>
              <w:rPr>
                <w:sz w:val="19"/>
                <w:szCs w:val="19"/>
                <w:color w:val="auto"/>
              </w:rPr>
            </w:pPr>
          </w:p>
        </w:tc>
        <w:tc>
          <w:tcPr>
            <w:tcW w:w="1340" w:type="dxa"/>
            <w:vAlign w:val="bottom"/>
            <w:tcBorders>
              <w:top w:val="single" w:sz="8" w:color="auto"/>
              <w:bottom w:val="single" w:sz="8" w:color="auto"/>
            </w:tcBorders>
            <w:shd w:val="clear" w:color="auto" w:fill="D5EAEA"/>
          </w:tcPr>
          <w:p>
            <w:pPr>
              <w:jc w:val="right"/>
              <w:spacing w:after="0"/>
              <w:rPr>
                <w:sz w:val="20"/>
                <w:szCs w:val="20"/>
                <w:color w:val="auto"/>
              </w:rPr>
            </w:pPr>
            <w:r>
              <w:rPr>
                <w:rFonts w:ascii="Arial" w:cs="Arial" w:eastAsia="Arial" w:hAnsi="Arial"/>
                <w:sz w:val="18"/>
                <w:szCs w:val="18"/>
                <w:color w:val="auto"/>
              </w:rPr>
              <w:t>(42,421)</w:t>
            </w:r>
          </w:p>
        </w:tc>
      </w:tr>
      <w:tr>
        <w:trPr>
          <w:trHeight w:val="210"/>
        </w:trPr>
        <w:tc>
          <w:tcPr>
            <w:tcW w:w="5520" w:type="dxa"/>
            <w:vAlign w:val="bottom"/>
            <w:gridSpan w:val="2"/>
          </w:tcPr>
          <w:p>
            <w:pPr>
              <w:spacing w:after="0"/>
              <w:rPr>
                <w:sz w:val="20"/>
                <w:szCs w:val="20"/>
                <w:color w:val="auto"/>
              </w:rPr>
            </w:pPr>
            <w:r>
              <w:rPr>
                <w:rFonts w:ascii="Arial" w:cs="Arial" w:eastAsia="Arial" w:hAnsi="Arial"/>
                <w:sz w:val="18"/>
                <w:szCs w:val="18"/>
                <w:b w:val="1"/>
                <w:bCs w:val="1"/>
                <w:color w:val="auto"/>
              </w:rPr>
              <w:t>Adjustments:</w:t>
            </w: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57"/>
        </w:trPr>
        <w:tc>
          <w:tcPr>
            <w:tcW w:w="5520" w:type="dxa"/>
            <w:vAlign w:val="bottom"/>
            <w:gridSpan w:val="2"/>
            <w:shd w:val="clear" w:color="auto" w:fill="D5EAEA"/>
          </w:tcPr>
          <w:p>
            <w:pPr>
              <w:spacing w:after="0" w:line="256" w:lineRule="exact"/>
              <w:rPr>
                <w:sz w:val="20"/>
                <w:szCs w:val="20"/>
                <w:color w:val="auto"/>
              </w:rPr>
            </w:pPr>
            <w:r>
              <w:rPr>
                <w:rFonts w:ascii="Arial" w:cs="Arial" w:eastAsia="Arial" w:hAnsi="Arial"/>
                <w:sz w:val="18"/>
                <w:szCs w:val="18"/>
                <w:color w:val="auto"/>
              </w:rPr>
              <w:t>Non-cash share-based payments</w:t>
            </w:r>
            <w:r>
              <w:rPr>
                <w:rFonts w:ascii="Arial" w:cs="Arial" w:eastAsia="Arial" w:hAnsi="Arial"/>
                <w:sz w:val="29"/>
                <w:szCs w:val="29"/>
                <w:color w:val="auto"/>
                <w:vertAlign w:val="superscript"/>
              </w:rPr>
              <w:t>1</w:t>
            </w:r>
          </w:p>
        </w:tc>
        <w:tc>
          <w:tcPr>
            <w:tcW w:w="1380" w:type="dxa"/>
            <w:vAlign w:val="bottom"/>
            <w:shd w:val="clear" w:color="auto" w:fill="D5EAEA"/>
          </w:tcPr>
          <w:p>
            <w:pPr>
              <w:jc w:val="right"/>
              <w:ind w:right="30"/>
              <w:spacing w:after="0"/>
              <w:rPr>
                <w:sz w:val="20"/>
                <w:szCs w:val="20"/>
                <w:color w:val="auto"/>
              </w:rPr>
            </w:pPr>
            <w:r>
              <w:rPr>
                <w:rFonts w:ascii="Arial" w:cs="Arial" w:eastAsia="Arial" w:hAnsi="Arial"/>
                <w:sz w:val="18"/>
                <w:szCs w:val="18"/>
                <w:color w:val="auto"/>
              </w:rPr>
              <w:t>1,388</w:t>
            </w:r>
          </w:p>
        </w:tc>
        <w:tc>
          <w:tcPr>
            <w:tcW w:w="120" w:type="dxa"/>
            <w:vAlign w:val="bottom"/>
            <w:shd w:val="clear" w:color="auto" w:fill="D5EAEA"/>
          </w:tcPr>
          <w:p>
            <w:pPr>
              <w:spacing w:after="0"/>
              <w:rPr>
                <w:sz w:val="22"/>
                <w:szCs w:val="22"/>
                <w:color w:val="auto"/>
              </w:rPr>
            </w:pPr>
          </w:p>
        </w:tc>
        <w:tc>
          <w:tcPr>
            <w:tcW w:w="1340" w:type="dxa"/>
            <w:vAlign w:val="bottom"/>
            <w:shd w:val="clear" w:color="auto" w:fill="D5EAEA"/>
          </w:tcPr>
          <w:p>
            <w:pPr>
              <w:jc w:val="right"/>
              <w:ind w:right="30"/>
              <w:spacing w:after="0"/>
              <w:rPr>
                <w:sz w:val="20"/>
                <w:szCs w:val="20"/>
                <w:color w:val="auto"/>
              </w:rPr>
            </w:pPr>
            <w:r>
              <w:rPr>
                <w:rFonts w:ascii="Arial" w:cs="Arial" w:eastAsia="Arial" w:hAnsi="Arial"/>
                <w:sz w:val="18"/>
                <w:szCs w:val="18"/>
                <w:color w:val="auto"/>
              </w:rPr>
              <w:t>1,233</w:t>
            </w:r>
          </w:p>
        </w:tc>
        <w:tc>
          <w:tcPr>
            <w:tcW w:w="100" w:type="dxa"/>
            <w:vAlign w:val="bottom"/>
            <w:shd w:val="clear" w:color="auto" w:fill="D5EAEA"/>
          </w:tcPr>
          <w:p>
            <w:pPr>
              <w:spacing w:after="0"/>
              <w:rPr>
                <w:sz w:val="22"/>
                <w:szCs w:val="22"/>
                <w:color w:val="auto"/>
              </w:rPr>
            </w:pPr>
          </w:p>
        </w:tc>
        <w:tc>
          <w:tcPr>
            <w:tcW w:w="1340" w:type="dxa"/>
            <w:vAlign w:val="bottom"/>
            <w:shd w:val="clear" w:color="auto" w:fill="D5EAEA"/>
          </w:tcPr>
          <w:p>
            <w:pPr>
              <w:jc w:val="right"/>
              <w:ind w:right="30"/>
              <w:spacing w:after="0"/>
              <w:rPr>
                <w:sz w:val="20"/>
                <w:szCs w:val="20"/>
                <w:color w:val="auto"/>
              </w:rPr>
            </w:pPr>
            <w:r>
              <w:rPr>
                <w:rFonts w:ascii="Arial" w:cs="Arial" w:eastAsia="Arial" w:hAnsi="Arial"/>
                <w:sz w:val="18"/>
                <w:szCs w:val="18"/>
                <w:color w:val="auto"/>
              </w:rPr>
              <w:t>3,081</w:t>
            </w:r>
          </w:p>
        </w:tc>
        <w:tc>
          <w:tcPr>
            <w:tcW w:w="100" w:type="dxa"/>
            <w:vAlign w:val="bottom"/>
            <w:shd w:val="clear" w:color="auto" w:fill="D5EAEA"/>
          </w:tcPr>
          <w:p>
            <w:pPr>
              <w:spacing w:after="0"/>
              <w:rPr>
                <w:sz w:val="22"/>
                <w:szCs w:val="22"/>
                <w:color w:val="auto"/>
              </w:rPr>
            </w:pPr>
          </w:p>
        </w:tc>
        <w:tc>
          <w:tcPr>
            <w:tcW w:w="134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3,079</w:t>
            </w:r>
          </w:p>
        </w:tc>
      </w:tr>
      <w:tr>
        <w:trPr>
          <w:trHeight w:val="256"/>
        </w:trPr>
        <w:tc>
          <w:tcPr>
            <w:tcW w:w="5520" w:type="dxa"/>
            <w:vAlign w:val="bottom"/>
            <w:gridSpan w:val="2"/>
          </w:tcPr>
          <w:p>
            <w:pPr>
              <w:spacing w:after="0" w:line="256" w:lineRule="exact"/>
              <w:rPr>
                <w:sz w:val="20"/>
                <w:szCs w:val="20"/>
                <w:color w:val="auto"/>
              </w:rPr>
            </w:pPr>
            <w:r>
              <w:rPr>
                <w:rFonts w:ascii="Arial" w:cs="Arial" w:eastAsia="Arial" w:hAnsi="Arial"/>
                <w:sz w:val="18"/>
                <w:szCs w:val="18"/>
                <w:color w:val="auto"/>
              </w:rPr>
              <w:t>Foreign currency (gains)/losses</w:t>
            </w:r>
            <w:r>
              <w:rPr>
                <w:rFonts w:ascii="Arial" w:cs="Arial" w:eastAsia="Arial" w:hAnsi="Arial"/>
                <w:sz w:val="29"/>
                <w:szCs w:val="29"/>
                <w:color w:val="auto"/>
                <w:vertAlign w:val="superscript"/>
              </w:rPr>
              <w:t>2</w:t>
            </w:r>
          </w:p>
        </w:tc>
        <w:tc>
          <w:tcPr>
            <w:tcW w:w="1380" w:type="dxa"/>
            <w:vAlign w:val="bottom"/>
          </w:tcPr>
          <w:p>
            <w:pPr>
              <w:jc w:val="right"/>
              <w:spacing w:after="0"/>
              <w:rPr>
                <w:sz w:val="20"/>
                <w:szCs w:val="20"/>
                <w:color w:val="auto"/>
              </w:rPr>
            </w:pPr>
            <w:r>
              <w:rPr>
                <w:rFonts w:ascii="Arial" w:cs="Arial" w:eastAsia="Arial" w:hAnsi="Arial"/>
                <w:sz w:val="18"/>
                <w:szCs w:val="18"/>
                <w:color w:val="auto"/>
              </w:rPr>
              <w:t>(117)</w:t>
            </w:r>
          </w:p>
        </w:tc>
        <w:tc>
          <w:tcPr>
            <w:tcW w:w="120" w:type="dxa"/>
            <w:vAlign w:val="bottom"/>
          </w:tcPr>
          <w:p>
            <w:pPr>
              <w:spacing w:after="0"/>
              <w:rPr>
                <w:sz w:val="22"/>
                <w:szCs w:val="22"/>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187</w:t>
            </w:r>
          </w:p>
        </w:tc>
        <w:tc>
          <w:tcPr>
            <w:tcW w:w="100" w:type="dxa"/>
            <w:vAlign w:val="bottom"/>
          </w:tcPr>
          <w:p>
            <w:pPr>
              <w:spacing w:after="0"/>
              <w:rPr>
                <w:sz w:val="22"/>
                <w:szCs w:val="22"/>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(481)</w:t>
            </w:r>
          </w:p>
        </w:tc>
        <w:tc>
          <w:tcPr>
            <w:tcW w:w="100" w:type="dxa"/>
            <w:vAlign w:val="bottom"/>
          </w:tcPr>
          <w:p>
            <w:pPr>
              <w:spacing w:after="0"/>
              <w:rPr>
                <w:sz w:val="22"/>
                <w:szCs w:val="22"/>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686</w:t>
            </w:r>
          </w:p>
        </w:tc>
      </w:tr>
      <w:tr>
        <w:trPr>
          <w:trHeight w:val="257"/>
        </w:trPr>
        <w:tc>
          <w:tcPr>
            <w:tcW w:w="5520" w:type="dxa"/>
            <w:vAlign w:val="bottom"/>
            <w:gridSpan w:val="2"/>
            <w:shd w:val="clear" w:color="auto" w:fill="D5EAEA"/>
          </w:tcPr>
          <w:p>
            <w:pPr>
              <w:spacing w:after="0" w:line="256" w:lineRule="exact"/>
              <w:rPr>
                <w:sz w:val="20"/>
                <w:szCs w:val="20"/>
                <w:color w:val="auto"/>
              </w:rPr>
            </w:pPr>
            <w:r>
              <w:rPr>
                <w:rFonts w:ascii="Arial" w:cs="Arial" w:eastAsia="Arial" w:hAnsi="Arial"/>
                <w:sz w:val="18"/>
                <w:szCs w:val="18"/>
                <w:color w:val="auto"/>
              </w:rPr>
              <w:t>Change in fair value of derivative financial assets</w:t>
            </w:r>
            <w:r>
              <w:rPr>
                <w:rFonts w:ascii="Arial" w:cs="Arial" w:eastAsia="Arial" w:hAnsi="Arial"/>
                <w:sz w:val="29"/>
                <w:szCs w:val="29"/>
                <w:color w:val="auto"/>
                <w:vertAlign w:val="superscript"/>
              </w:rPr>
              <w:t>3</w:t>
            </w:r>
          </w:p>
        </w:tc>
        <w:tc>
          <w:tcPr>
            <w:tcW w:w="1380" w:type="dxa"/>
            <w:vAlign w:val="bottom"/>
            <w:shd w:val="clear" w:color="auto" w:fill="D5EAEA"/>
          </w:tcPr>
          <w:p>
            <w:pPr>
              <w:jc w:val="right"/>
              <w:spacing w:after="0"/>
              <w:rPr>
                <w:sz w:val="20"/>
                <w:szCs w:val="20"/>
                <w:color w:val="auto"/>
              </w:rPr>
            </w:pPr>
            <w:r>
              <w:rPr>
                <w:rFonts w:ascii="Arial" w:cs="Arial" w:eastAsia="Arial" w:hAnsi="Arial"/>
                <w:sz w:val="18"/>
                <w:szCs w:val="18"/>
                <w:color w:val="auto"/>
              </w:rPr>
              <w:t>(4,424)</w:t>
            </w:r>
          </w:p>
        </w:tc>
        <w:tc>
          <w:tcPr>
            <w:tcW w:w="120" w:type="dxa"/>
            <w:vAlign w:val="bottom"/>
            <w:shd w:val="clear" w:color="auto" w:fill="D5EAEA"/>
          </w:tcPr>
          <w:p>
            <w:pPr>
              <w:spacing w:after="0"/>
              <w:rPr>
                <w:sz w:val="22"/>
                <w:szCs w:val="22"/>
                <w:color w:val="auto"/>
              </w:rPr>
            </w:pPr>
          </w:p>
        </w:tc>
        <w:tc>
          <w:tcPr>
            <w:tcW w:w="1440" w:type="dxa"/>
            <w:vAlign w:val="bottom"/>
            <w:gridSpan w:val="2"/>
            <w:shd w:val="clear" w:color="auto" w:fill="D5EAEA"/>
          </w:tcPr>
          <w:p>
            <w:pPr>
              <w:jc w:val="right"/>
              <w:ind w:right="220"/>
              <w:spacing w:after="0"/>
              <w:rPr>
                <w:sz w:val="20"/>
                <w:szCs w:val="20"/>
                <w:color w:val="auto"/>
              </w:rPr>
            </w:pPr>
            <w:r>
              <w:rPr>
                <w:rFonts w:ascii="Arial" w:cs="Arial" w:eastAsia="Arial" w:hAnsi="Arial"/>
                <w:sz w:val="18"/>
                <w:szCs w:val="18"/>
                <w:color w:val="auto"/>
              </w:rPr>
              <w:t>—</w:t>
            </w:r>
          </w:p>
        </w:tc>
        <w:tc>
          <w:tcPr>
            <w:tcW w:w="1340" w:type="dxa"/>
            <w:vAlign w:val="bottom"/>
            <w:shd w:val="clear" w:color="auto" w:fill="D5EAEA"/>
          </w:tcPr>
          <w:p>
            <w:pPr>
              <w:jc w:val="right"/>
              <w:spacing w:after="0"/>
              <w:rPr>
                <w:sz w:val="20"/>
                <w:szCs w:val="20"/>
                <w:color w:val="auto"/>
              </w:rPr>
            </w:pPr>
            <w:r>
              <w:rPr>
                <w:rFonts w:ascii="Arial" w:cs="Arial" w:eastAsia="Arial" w:hAnsi="Arial"/>
                <w:sz w:val="18"/>
                <w:szCs w:val="18"/>
                <w:color w:val="auto"/>
              </w:rPr>
              <w:t>(4,424)</w:t>
            </w:r>
          </w:p>
        </w:tc>
        <w:tc>
          <w:tcPr>
            <w:tcW w:w="100" w:type="dxa"/>
            <w:vAlign w:val="bottom"/>
            <w:shd w:val="clear" w:color="auto" w:fill="D5EAEA"/>
          </w:tcPr>
          <w:p>
            <w:pPr>
              <w:spacing w:after="0"/>
              <w:rPr>
                <w:sz w:val="22"/>
                <w:szCs w:val="22"/>
                <w:color w:val="auto"/>
              </w:rPr>
            </w:pPr>
          </w:p>
        </w:tc>
        <w:tc>
          <w:tcPr>
            <w:tcW w:w="134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w:t>
            </w:r>
          </w:p>
        </w:tc>
      </w:tr>
      <w:tr>
        <w:trPr>
          <w:trHeight w:val="270"/>
        </w:trPr>
        <w:tc>
          <w:tcPr>
            <w:tcW w:w="5520" w:type="dxa"/>
            <w:vAlign w:val="bottom"/>
            <w:gridSpan w:val="2"/>
          </w:tcPr>
          <w:p>
            <w:pPr>
              <w:spacing w:after="0" w:line="270" w:lineRule="exact"/>
              <w:rPr>
                <w:sz w:val="20"/>
                <w:szCs w:val="20"/>
                <w:color w:val="auto"/>
              </w:rPr>
            </w:pPr>
            <w:r>
              <w:rPr>
                <w:rFonts w:ascii="Arial" w:cs="Arial" w:eastAsia="Arial" w:hAnsi="Arial"/>
                <w:sz w:val="18"/>
                <w:szCs w:val="18"/>
                <w:color w:val="auto"/>
              </w:rPr>
              <w:t>Transaction costs</w:t>
            </w:r>
            <w:r>
              <w:rPr>
                <w:rFonts w:ascii="Arial" w:cs="Arial" w:eastAsia="Arial" w:hAnsi="Arial"/>
                <w:sz w:val="29"/>
                <w:szCs w:val="29"/>
                <w:color w:val="auto"/>
                <w:vertAlign w:val="superscript"/>
              </w:rPr>
              <w:t>4</w:t>
            </w: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335</w:t>
            </w:r>
          </w:p>
        </w:tc>
        <w:tc>
          <w:tcPr>
            <w:tcW w:w="120" w:type="dxa"/>
            <w:vAlign w:val="bottom"/>
          </w:tcPr>
          <w:p>
            <w:pPr>
              <w:spacing w:after="0"/>
              <w:rPr>
                <w:sz w:val="23"/>
                <w:szCs w:val="23"/>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745</w:t>
            </w:r>
          </w:p>
        </w:tc>
        <w:tc>
          <w:tcPr>
            <w:tcW w:w="100" w:type="dxa"/>
            <w:vAlign w:val="bottom"/>
          </w:tcPr>
          <w:p>
            <w:pPr>
              <w:spacing w:after="0"/>
              <w:rPr>
                <w:sz w:val="23"/>
                <w:szCs w:val="23"/>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23"/>
        </w:trPr>
        <w:tc>
          <w:tcPr>
            <w:tcW w:w="5520" w:type="dxa"/>
            <w:vAlign w:val="bottom"/>
            <w:tcBorders>
              <w:top w:val="single" w:sz="8" w:color="D5EAEA"/>
              <w:bottom w:val="single" w:sz="8" w:color="D5EAEA"/>
            </w:tcBorders>
            <w:gridSpan w:val="2"/>
            <w:shd w:val="clear" w:color="auto" w:fill="D5EAEA"/>
          </w:tcPr>
          <w:p>
            <w:pPr>
              <w:spacing w:after="0"/>
              <w:rPr>
                <w:sz w:val="20"/>
                <w:szCs w:val="20"/>
                <w:color w:val="auto"/>
              </w:rPr>
            </w:pPr>
            <w:r>
              <w:rPr>
                <w:rFonts w:ascii="Arial" w:cs="Arial" w:eastAsia="Arial" w:hAnsi="Arial"/>
                <w:sz w:val="18"/>
                <w:szCs w:val="18"/>
                <w:b w:val="1"/>
                <w:bCs w:val="1"/>
                <w:color w:val="auto"/>
              </w:rPr>
              <w:t>Adjusted Loss</w:t>
            </w:r>
          </w:p>
        </w:tc>
        <w:tc>
          <w:tcPr>
            <w:tcW w:w="1380" w:type="dxa"/>
            <w:vAlign w:val="bottom"/>
            <w:tcBorders>
              <w:top w:val="single" w:sz="8" w:color="auto"/>
              <w:bottom w:val="single" w:sz="8" w:color="auto"/>
            </w:tcBorders>
            <w:shd w:val="clear" w:color="auto" w:fill="D5EAEA"/>
          </w:tcPr>
          <w:p>
            <w:pPr>
              <w:jc w:val="right"/>
              <w:spacing w:after="0"/>
              <w:rPr>
                <w:sz w:val="20"/>
                <w:szCs w:val="20"/>
                <w:color w:val="auto"/>
              </w:rPr>
            </w:pPr>
            <w:r>
              <w:rPr>
                <w:rFonts w:ascii="Arial" w:cs="Arial" w:eastAsia="Arial" w:hAnsi="Arial"/>
                <w:sz w:val="18"/>
                <w:szCs w:val="18"/>
                <w:color w:val="auto"/>
              </w:rPr>
              <w:t>(18,736)</w:t>
            </w:r>
          </w:p>
        </w:tc>
        <w:tc>
          <w:tcPr>
            <w:tcW w:w="120" w:type="dxa"/>
            <w:vAlign w:val="bottom"/>
            <w:tcBorders>
              <w:top w:val="single" w:sz="8" w:color="D5EAEA"/>
              <w:bottom w:val="single" w:sz="8" w:color="D5EAEA"/>
            </w:tcBorders>
            <w:shd w:val="clear" w:color="auto" w:fill="D5EAEA"/>
          </w:tcPr>
          <w:p>
            <w:pPr>
              <w:spacing w:after="0"/>
              <w:rPr>
                <w:sz w:val="19"/>
                <w:szCs w:val="19"/>
                <w:color w:val="auto"/>
              </w:rPr>
            </w:pPr>
          </w:p>
        </w:tc>
        <w:tc>
          <w:tcPr>
            <w:tcW w:w="1340" w:type="dxa"/>
            <w:vAlign w:val="bottom"/>
            <w:tcBorders>
              <w:top w:val="single" w:sz="8" w:color="auto"/>
              <w:bottom w:val="single" w:sz="8" w:color="auto"/>
            </w:tcBorders>
            <w:shd w:val="clear" w:color="auto" w:fill="D5EAEA"/>
          </w:tcPr>
          <w:p>
            <w:pPr>
              <w:jc w:val="right"/>
              <w:spacing w:after="0"/>
              <w:rPr>
                <w:sz w:val="20"/>
                <w:szCs w:val="20"/>
                <w:color w:val="auto"/>
              </w:rPr>
            </w:pPr>
            <w:r>
              <w:rPr>
                <w:rFonts w:ascii="Arial" w:cs="Arial" w:eastAsia="Arial" w:hAnsi="Arial"/>
                <w:sz w:val="18"/>
                <w:szCs w:val="18"/>
                <w:color w:val="auto"/>
              </w:rPr>
              <w:t>(17,574)</w:t>
            </w:r>
          </w:p>
        </w:tc>
        <w:tc>
          <w:tcPr>
            <w:tcW w:w="100" w:type="dxa"/>
            <w:vAlign w:val="bottom"/>
            <w:tcBorders>
              <w:top w:val="single" w:sz="8" w:color="D5EAEA"/>
              <w:bottom w:val="single" w:sz="8" w:color="D5EAEA"/>
            </w:tcBorders>
            <w:shd w:val="clear" w:color="auto" w:fill="D5EAEA"/>
          </w:tcPr>
          <w:p>
            <w:pPr>
              <w:spacing w:after="0"/>
              <w:rPr>
                <w:sz w:val="19"/>
                <w:szCs w:val="19"/>
                <w:color w:val="auto"/>
              </w:rPr>
            </w:pPr>
          </w:p>
        </w:tc>
        <w:tc>
          <w:tcPr>
            <w:tcW w:w="1340" w:type="dxa"/>
            <w:vAlign w:val="bottom"/>
            <w:tcBorders>
              <w:top w:val="single" w:sz="8" w:color="auto"/>
              <w:bottom w:val="single" w:sz="8" w:color="auto"/>
            </w:tcBorders>
            <w:shd w:val="clear" w:color="auto" w:fill="D5EAEA"/>
          </w:tcPr>
          <w:p>
            <w:pPr>
              <w:jc w:val="right"/>
              <w:spacing w:after="0"/>
              <w:rPr>
                <w:sz w:val="20"/>
                <w:szCs w:val="20"/>
                <w:color w:val="auto"/>
              </w:rPr>
            </w:pPr>
            <w:r>
              <w:rPr>
                <w:rFonts w:ascii="Arial" w:cs="Arial" w:eastAsia="Arial" w:hAnsi="Arial"/>
                <w:sz w:val="18"/>
                <w:szCs w:val="18"/>
                <w:color w:val="auto"/>
              </w:rPr>
              <w:t>(52,799)</w:t>
            </w:r>
          </w:p>
        </w:tc>
        <w:tc>
          <w:tcPr>
            <w:tcW w:w="100" w:type="dxa"/>
            <w:vAlign w:val="bottom"/>
            <w:tcBorders>
              <w:top w:val="single" w:sz="8" w:color="D5EAEA"/>
              <w:bottom w:val="single" w:sz="8" w:color="D5EAEA"/>
            </w:tcBorders>
            <w:shd w:val="clear" w:color="auto" w:fill="D5EAEA"/>
          </w:tcPr>
          <w:p>
            <w:pPr>
              <w:spacing w:after="0"/>
              <w:rPr>
                <w:sz w:val="19"/>
                <w:szCs w:val="19"/>
                <w:color w:val="auto"/>
              </w:rPr>
            </w:pPr>
          </w:p>
        </w:tc>
        <w:tc>
          <w:tcPr>
            <w:tcW w:w="1340" w:type="dxa"/>
            <w:vAlign w:val="bottom"/>
            <w:tcBorders>
              <w:top w:val="single" w:sz="8" w:color="auto"/>
              <w:bottom w:val="single" w:sz="8" w:color="auto"/>
            </w:tcBorders>
            <w:shd w:val="clear" w:color="auto" w:fill="D5EAEA"/>
          </w:tcPr>
          <w:p>
            <w:pPr>
              <w:jc w:val="right"/>
              <w:spacing w:after="0"/>
              <w:rPr>
                <w:sz w:val="20"/>
                <w:szCs w:val="20"/>
                <w:color w:val="auto"/>
              </w:rPr>
            </w:pPr>
            <w:r>
              <w:rPr>
                <w:rFonts w:ascii="Arial" w:cs="Arial" w:eastAsia="Arial" w:hAnsi="Arial"/>
                <w:sz w:val="18"/>
                <w:szCs w:val="18"/>
                <w:color w:val="auto"/>
              </w:rPr>
              <w:t>(38,656)</w:t>
            </w:r>
          </w:p>
        </w:tc>
      </w:tr>
      <w:tr>
        <w:trPr>
          <w:trHeight w:val="20"/>
        </w:trPr>
        <w:tc>
          <w:tcPr>
            <w:tcW w:w="5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r>
        <w:trPr>
          <w:trHeight w:val="196"/>
        </w:trPr>
        <w:tc>
          <w:tcPr>
            <w:tcW w:w="5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tcPr>
          <w:p>
            <w:pPr>
              <w:spacing w:after="0"/>
              <w:rPr>
                <w:sz w:val="17"/>
                <w:szCs w:val="17"/>
                <w:color w:val="auto"/>
              </w:rPr>
            </w:pPr>
          </w:p>
        </w:tc>
      </w:tr>
      <w:tr>
        <w:trPr>
          <w:trHeight w:val="216"/>
        </w:trPr>
        <w:tc>
          <w:tcPr>
            <w:tcW w:w="5520" w:type="dxa"/>
            <w:vAlign w:val="bottom"/>
            <w:gridSpan w:val="2"/>
            <w:shd w:val="clear" w:color="auto" w:fill="D5EAEA"/>
          </w:tcPr>
          <w:p>
            <w:pPr>
              <w:spacing w:after="0"/>
              <w:rPr>
                <w:sz w:val="20"/>
                <w:szCs w:val="20"/>
                <w:color w:val="auto"/>
              </w:rPr>
            </w:pPr>
            <w:r>
              <w:rPr>
                <w:rFonts w:ascii="Arial" w:cs="Arial" w:eastAsia="Arial" w:hAnsi="Arial"/>
                <w:sz w:val="18"/>
                <w:szCs w:val="18"/>
                <w:color w:val="auto"/>
              </w:rPr>
              <w:t>Loss per share – basic and diluted</w:t>
            </w:r>
          </w:p>
        </w:tc>
        <w:tc>
          <w:tcPr>
            <w:tcW w:w="1380" w:type="dxa"/>
            <w:vAlign w:val="bottom"/>
            <w:shd w:val="clear" w:color="auto" w:fill="D5EAEA"/>
          </w:tcPr>
          <w:p>
            <w:pPr>
              <w:jc w:val="right"/>
              <w:spacing w:after="0"/>
              <w:rPr>
                <w:sz w:val="20"/>
                <w:szCs w:val="20"/>
                <w:color w:val="auto"/>
              </w:rPr>
            </w:pPr>
            <w:r>
              <w:rPr>
                <w:rFonts w:ascii="Arial" w:cs="Arial" w:eastAsia="Arial" w:hAnsi="Arial"/>
                <w:sz w:val="18"/>
                <w:szCs w:val="18"/>
                <w:color w:val="auto"/>
              </w:rPr>
              <w:t>(0.22)</w:t>
            </w:r>
          </w:p>
        </w:tc>
        <w:tc>
          <w:tcPr>
            <w:tcW w:w="120" w:type="dxa"/>
            <w:vAlign w:val="bottom"/>
            <w:shd w:val="clear" w:color="auto" w:fill="D5EAEA"/>
          </w:tcPr>
          <w:p>
            <w:pPr>
              <w:spacing w:after="0"/>
              <w:rPr>
                <w:sz w:val="18"/>
                <w:szCs w:val="18"/>
                <w:color w:val="auto"/>
              </w:rPr>
            </w:pPr>
          </w:p>
        </w:tc>
        <w:tc>
          <w:tcPr>
            <w:tcW w:w="1340" w:type="dxa"/>
            <w:vAlign w:val="bottom"/>
            <w:shd w:val="clear" w:color="auto" w:fill="D5EAEA"/>
          </w:tcPr>
          <w:p>
            <w:pPr>
              <w:jc w:val="right"/>
              <w:spacing w:after="0"/>
              <w:rPr>
                <w:sz w:val="20"/>
                <w:szCs w:val="20"/>
                <w:color w:val="auto"/>
              </w:rPr>
            </w:pPr>
            <w:r>
              <w:rPr>
                <w:rFonts w:ascii="Arial" w:cs="Arial" w:eastAsia="Arial" w:hAnsi="Arial"/>
                <w:sz w:val="18"/>
                <w:szCs w:val="18"/>
                <w:color w:val="auto"/>
              </w:rPr>
              <w:t>(0.26)</w:t>
            </w:r>
          </w:p>
        </w:tc>
        <w:tc>
          <w:tcPr>
            <w:tcW w:w="100" w:type="dxa"/>
            <w:vAlign w:val="bottom"/>
            <w:shd w:val="clear" w:color="auto" w:fill="D5EAEA"/>
          </w:tcPr>
          <w:p>
            <w:pPr>
              <w:spacing w:after="0"/>
              <w:rPr>
                <w:sz w:val="18"/>
                <w:szCs w:val="18"/>
                <w:color w:val="auto"/>
              </w:rPr>
            </w:pPr>
          </w:p>
        </w:tc>
        <w:tc>
          <w:tcPr>
            <w:tcW w:w="1340" w:type="dxa"/>
            <w:vAlign w:val="bottom"/>
            <w:shd w:val="clear" w:color="auto" w:fill="D5EAEA"/>
          </w:tcPr>
          <w:p>
            <w:pPr>
              <w:jc w:val="right"/>
              <w:spacing w:after="0"/>
              <w:rPr>
                <w:sz w:val="20"/>
                <w:szCs w:val="20"/>
                <w:color w:val="auto"/>
              </w:rPr>
            </w:pPr>
            <w:r>
              <w:rPr>
                <w:rFonts w:ascii="Arial" w:cs="Arial" w:eastAsia="Arial" w:hAnsi="Arial"/>
                <w:sz w:val="18"/>
                <w:szCs w:val="18"/>
                <w:color w:val="auto"/>
              </w:rPr>
              <w:t>(0.71)</w:t>
            </w:r>
          </w:p>
        </w:tc>
        <w:tc>
          <w:tcPr>
            <w:tcW w:w="100" w:type="dxa"/>
            <w:vAlign w:val="bottom"/>
            <w:shd w:val="clear" w:color="auto" w:fill="D5EAEA"/>
          </w:tcPr>
          <w:p>
            <w:pPr>
              <w:spacing w:after="0"/>
              <w:rPr>
                <w:sz w:val="18"/>
                <w:szCs w:val="18"/>
                <w:color w:val="auto"/>
              </w:rPr>
            </w:pPr>
          </w:p>
        </w:tc>
        <w:tc>
          <w:tcPr>
            <w:tcW w:w="1340" w:type="dxa"/>
            <w:vAlign w:val="bottom"/>
            <w:shd w:val="clear" w:color="auto" w:fill="D5EAEA"/>
          </w:tcPr>
          <w:p>
            <w:pPr>
              <w:jc w:val="right"/>
              <w:spacing w:after="0"/>
              <w:rPr>
                <w:sz w:val="20"/>
                <w:szCs w:val="20"/>
                <w:color w:val="auto"/>
              </w:rPr>
            </w:pPr>
            <w:r>
              <w:rPr>
                <w:rFonts w:ascii="Arial" w:cs="Arial" w:eastAsia="Arial" w:hAnsi="Arial"/>
                <w:sz w:val="18"/>
                <w:szCs w:val="18"/>
                <w:color w:val="auto"/>
              </w:rPr>
              <w:t>(0.59)</w:t>
            </w:r>
          </w:p>
        </w:tc>
      </w:tr>
      <w:tr>
        <w:trPr>
          <w:trHeight w:val="216"/>
        </w:trPr>
        <w:tc>
          <w:tcPr>
            <w:tcW w:w="5520" w:type="dxa"/>
            <w:vAlign w:val="bottom"/>
            <w:gridSpan w:val="2"/>
          </w:tcPr>
          <w:p>
            <w:pPr>
              <w:spacing w:after="0"/>
              <w:rPr>
                <w:sz w:val="20"/>
                <w:szCs w:val="20"/>
                <w:color w:val="auto"/>
              </w:rPr>
            </w:pPr>
            <w:r>
              <w:rPr>
                <w:rFonts w:ascii="Arial" w:cs="Arial" w:eastAsia="Arial" w:hAnsi="Arial"/>
                <w:sz w:val="18"/>
                <w:szCs w:val="18"/>
                <w:color w:val="auto"/>
              </w:rPr>
              <w:t>Adjustment to loss per share – basic and diluted</w:t>
            </w:r>
          </w:p>
        </w:tc>
        <w:tc>
          <w:tcPr>
            <w:tcW w:w="1380" w:type="dxa"/>
            <w:vAlign w:val="bottom"/>
          </w:tcPr>
          <w:p>
            <w:pPr>
              <w:jc w:val="right"/>
              <w:spacing w:after="0"/>
              <w:rPr>
                <w:sz w:val="20"/>
                <w:szCs w:val="20"/>
                <w:color w:val="auto"/>
              </w:rPr>
            </w:pPr>
            <w:r>
              <w:rPr>
                <w:rFonts w:ascii="Arial" w:cs="Arial" w:eastAsia="Arial" w:hAnsi="Arial"/>
                <w:sz w:val="18"/>
                <w:szCs w:val="18"/>
                <w:color w:val="auto"/>
              </w:rPr>
              <w:t>(0.04)</w:t>
            </w:r>
          </w:p>
        </w:tc>
        <w:tc>
          <w:tcPr>
            <w:tcW w:w="120" w:type="dxa"/>
            <w:vAlign w:val="bottom"/>
          </w:tcPr>
          <w:p>
            <w:pPr>
              <w:spacing w:after="0"/>
              <w:rPr>
                <w:sz w:val="18"/>
                <w:szCs w:val="18"/>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0.02</w:t>
            </w:r>
          </w:p>
        </w:tc>
        <w:tc>
          <w:tcPr>
            <w:tcW w:w="1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(0.02)</w:t>
            </w:r>
          </w:p>
        </w:tc>
        <w:tc>
          <w:tcPr>
            <w:tcW w:w="100" w:type="dxa"/>
            <w:vAlign w:val="bottom"/>
          </w:tcPr>
          <w:p>
            <w:pPr>
              <w:spacing w:after="0"/>
              <w:rPr>
                <w:sz w:val="18"/>
                <w:szCs w:val="18"/>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0.05</w:t>
            </w:r>
          </w:p>
        </w:tc>
      </w:tr>
      <w:tr>
        <w:trPr>
          <w:trHeight w:val="216"/>
        </w:trPr>
        <w:tc>
          <w:tcPr>
            <w:tcW w:w="5520" w:type="dxa"/>
            <w:vAlign w:val="bottom"/>
            <w:gridSpan w:val="2"/>
            <w:shd w:val="clear" w:color="auto" w:fill="D5EAEA"/>
          </w:tcPr>
          <w:p>
            <w:pPr>
              <w:spacing w:after="0"/>
              <w:rPr>
                <w:sz w:val="20"/>
                <w:szCs w:val="20"/>
                <w:color w:val="auto"/>
              </w:rPr>
            </w:pPr>
            <w:r>
              <w:rPr>
                <w:rFonts w:ascii="Arial" w:cs="Arial" w:eastAsia="Arial" w:hAnsi="Arial"/>
                <w:sz w:val="18"/>
                <w:szCs w:val="18"/>
                <w:color w:val="auto"/>
              </w:rPr>
              <w:t>Adjusted loss per share – basic and diluted</w:t>
            </w:r>
          </w:p>
        </w:tc>
        <w:tc>
          <w:tcPr>
            <w:tcW w:w="1380" w:type="dxa"/>
            <w:vAlign w:val="bottom"/>
            <w:shd w:val="clear" w:color="auto" w:fill="D5EAEA"/>
          </w:tcPr>
          <w:p>
            <w:pPr>
              <w:jc w:val="right"/>
              <w:spacing w:after="0"/>
              <w:rPr>
                <w:sz w:val="20"/>
                <w:szCs w:val="20"/>
                <w:color w:val="auto"/>
              </w:rPr>
            </w:pPr>
            <w:r>
              <w:rPr>
                <w:rFonts w:ascii="Arial" w:cs="Arial" w:eastAsia="Arial" w:hAnsi="Arial"/>
                <w:sz w:val="18"/>
                <w:szCs w:val="18"/>
                <w:color w:val="auto"/>
              </w:rPr>
              <w:t>(0.26)</w:t>
            </w:r>
          </w:p>
        </w:tc>
        <w:tc>
          <w:tcPr>
            <w:tcW w:w="120" w:type="dxa"/>
            <w:vAlign w:val="bottom"/>
            <w:shd w:val="clear" w:color="auto" w:fill="D5EAEA"/>
          </w:tcPr>
          <w:p>
            <w:pPr>
              <w:spacing w:after="0"/>
              <w:rPr>
                <w:sz w:val="18"/>
                <w:szCs w:val="18"/>
                <w:color w:val="auto"/>
              </w:rPr>
            </w:pPr>
          </w:p>
        </w:tc>
        <w:tc>
          <w:tcPr>
            <w:tcW w:w="1340" w:type="dxa"/>
            <w:vAlign w:val="bottom"/>
            <w:shd w:val="clear" w:color="auto" w:fill="D5EAEA"/>
          </w:tcPr>
          <w:p>
            <w:pPr>
              <w:jc w:val="right"/>
              <w:spacing w:after="0"/>
              <w:rPr>
                <w:sz w:val="20"/>
                <w:szCs w:val="20"/>
                <w:color w:val="auto"/>
              </w:rPr>
            </w:pPr>
            <w:r>
              <w:rPr>
                <w:rFonts w:ascii="Arial" w:cs="Arial" w:eastAsia="Arial" w:hAnsi="Arial"/>
                <w:sz w:val="18"/>
                <w:szCs w:val="18"/>
                <w:color w:val="auto"/>
              </w:rPr>
              <w:t>(0.24)</w:t>
            </w:r>
          </w:p>
        </w:tc>
        <w:tc>
          <w:tcPr>
            <w:tcW w:w="100" w:type="dxa"/>
            <w:vAlign w:val="bottom"/>
            <w:shd w:val="clear" w:color="auto" w:fill="D5EAEA"/>
          </w:tcPr>
          <w:p>
            <w:pPr>
              <w:spacing w:after="0"/>
              <w:rPr>
                <w:sz w:val="18"/>
                <w:szCs w:val="18"/>
                <w:color w:val="auto"/>
              </w:rPr>
            </w:pPr>
          </w:p>
        </w:tc>
        <w:tc>
          <w:tcPr>
            <w:tcW w:w="1340" w:type="dxa"/>
            <w:vAlign w:val="bottom"/>
            <w:shd w:val="clear" w:color="auto" w:fill="D5EAEA"/>
          </w:tcPr>
          <w:p>
            <w:pPr>
              <w:jc w:val="right"/>
              <w:spacing w:after="0"/>
              <w:rPr>
                <w:sz w:val="20"/>
                <w:szCs w:val="20"/>
                <w:color w:val="auto"/>
              </w:rPr>
            </w:pPr>
            <w:r>
              <w:rPr>
                <w:rFonts w:ascii="Arial" w:cs="Arial" w:eastAsia="Arial" w:hAnsi="Arial"/>
                <w:sz w:val="18"/>
                <w:szCs w:val="18"/>
                <w:color w:val="auto"/>
              </w:rPr>
              <w:t>(0.73)</w:t>
            </w:r>
          </w:p>
        </w:tc>
        <w:tc>
          <w:tcPr>
            <w:tcW w:w="100" w:type="dxa"/>
            <w:vAlign w:val="bottom"/>
            <w:shd w:val="clear" w:color="auto" w:fill="D5EAEA"/>
          </w:tcPr>
          <w:p>
            <w:pPr>
              <w:spacing w:after="0"/>
              <w:rPr>
                <w:sz w:val="18"/>
                <w:szCs w:val="18"/>
                <w:color w:val="auto"/>
              </w:rPr>
            </w:pPr>
          </w:p>
        </w:tc>
        <w:tc>
          <w:tcPr>
            <w:tcW w:w="1340" w:type="dxa"/>
            <w:vAlign w:val="bottom"/>
            <w:shd w:val="clear" w:color="auto" w:fill="D5EAEA"/>
          </w:tcPr>
          <w:p>
            <w:pPr>
              <w:jc w:val="right"/>
              <w:spacing w:after="0"/>
              <w:rPr>
                <w:sz w:val="20"/>
                <w:szCs w:val="20"/>
                <w:color w:val="auto"/>
              </w:rPr>
            </w:pPr>
            <w:r>
              <w:rPr>
                <w:rFonts w:ascii="Arial" w:cs="Arial" w:eastAsia="Arial" w:hAnsi="Arial"/>
                <w:sz w:val="18"/>
                <w:szCs w:val="18"/>
                <w:color w:val="auto"/>
              </w:rPr>
              <w:t>(0.54)</w:t>
            </w:r>
          </w:p>
        </w:tc>
      </w:tr>
      <w:tr>
        <w:trPr>
          <w:trHeight w:val="202"/>
        </w:trPr>
        <w:tc>
          <w:tcPr>
            <w:tcW w:w="5520" w:type="dxa"/>
            <w:vAlign w:val="bottom"/>
            <w:gridSpan w:val="2"/>
          </w:tcPr>
          <w:p>
            <w:pPr>
              <w:spacing w:after="0" w:line="201" w:lineRule="exact"/>
              <w:rPr>
                <w:sz w:val="20"/>
                <w:szCs w:val="20"/>
                <w:color w:val="auto"/>
              </w:rPr>
            </w:pPr>
            <w:r>
              <w:rPr>
                <w:rFonts w:ascii="Arial" w:cs="Arial" w:eastAsia="Arial" w:hAnsi="Arial"/>
                <w:sz w:val="18"/>
                <w:szCs w:val="18"/>
                <w:color w:val="auto"/>
                <w:w w:val="91"/>
              </w:rPr>
              <w:t>Weighted-average number of shares outstanding Adjusted loss – basic and</w:t>
            </w: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tcPr>
          <w:p>
            <w:pPr>
              <w:spacing w:after="0"/>
              <w:rPr>
                <w:sz w:val="17"/>
                <w:szCs w:val="17"/>
                <w:color w:val="auto"/>
              </w:rPr>
            </w:pPr>
          </w:p>
        </w:tc>
      </w:tr>
      <w:tr>
        <w:trPr>
          <w:trHeight w:val="230"/>
        </w:trPr>
        <w:tc>
          <w:tcPr>
            <w:tcW w:w="5520" w:type="dxa"/>
            <w:vAlign w:val="bottom"/>
            <w:gridSpan w:val="2"/>
          </w:tcPr>
          <w:p>
            <w:pPr>
              <w:spacing w:after="0"/>
              <w:rPr>
                <w:sz w:val="20"/>
                <w:szCs w:val="20"/>
                <w:color w:val="auto"/>
              </w:rPr>
            </w:pPr>
            <w:r>
              <w:rPr>
                <w:rFonts w:ascii="Arial" w:cs="Arial" w:eastAsia="Arial" w:hAnsi="Arial"/>
                <w:sz w:val="18"/>
                <w:szCs w:val="18"/>
                <w:color w:val="auto"/>
              </w:rPr>
              <w:t>diluted</w:t>
            </w: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72,887,967</w:t>
            </w:r>
          </w:p>
        </w:tc>
        <w:tc>
          <w:tcPr>
            <w:tcW w:w="120" w:type="dxa"/>
            <w:vAlign w:val="bottom"/>
          </w:tcPr>
          <w:p>
            <w:pPr>
              <w:spacing w:after="0"/>
              <w:rPr>
                <w:sz w:val="20"/>
                <w:szCs w:val="20"/>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71,925,009</w:t>
            </w:r>
          </w:p>
        </w:tc>
        <w:tc>
          <w:tcPr>
            <w:tcW w:w="100" w:type="dxa"/>
            <w:vAlign w:val="bottom"/>
          </w:tcPr>
          <w:p>
            <w:pPr>
              <w:spacing w:after="0"/>
              <w:rPr>
                <w:sz w:val="20"/>
                <w:szCs w:val="20"/>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72,638,698</w:t>
            </w:r>
          </w:p>
        </w:tc>
        <w:tc>
          <w:tcPr>
            <w:tcW w:w="100" w:type="dxa"/>
            <w:vAlign w:val="bottom"/>
          </w:tcPr>
          <w:p>
            <w:pPr>
              <w:spacing w:after="0"/>
              <w:rPr>
                <w:sz w:val="20"/>
                <w:szCs w:val="20"/>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71,888,273</w:t>
            </w:r>
          </w:p>
        </w:tc>
      </w:tr>
    </w:tbl>
    <w:p>
      <w:pPr>
        <w:spacing w:after="0" w:line="229" w:lineRule="exact"/>
        <w:rPr>
          <w:sz w:val="20"/>
          <w:szCs w:val="20"/>
          <w:color w:val="auto"/>
        </w:rPr>
      </w:pPr>
    </w:p>
    <w:p>
      <w:pPr>
        <w:ind w:left="240" w:right="620" w:hanging="111"/>
        <w:spacing w:after="0" w:line="216" w:lineRule="auto"/>
        <w:tabs>
          <w:tab w:leader="none" w:pos="240" w:val="left"/>
        </w:tabs>
        <w:numPr>
          <w:ilvl w:val="0"/>
          <w:numId w:val="44"/>
        </w:numPr>
        <w:rPr>
          <w:rFonts w:ascii="Arial" w:cs="Arial" w:eastAsia="Arial" w:hAnsi="Arial"/>
          <w:sz w:val="27"/>
          <w:szCs w:val="27"/>
          <w:color w:val="auto"/>
          <w:vertAlign w:val="superscript"/>
        </w:rPr>
      </w:pPr>
      <w:r>
        <w:rPr>
          <w:rFonts w:ascii="Arial" w:cs="Arial" w:eastAsia="Arial" w:hAnsi="Arial"/>
          <w:sz w:val="16"/>
          <w:szCs w:val="16"/>
          <w:color w:val="auto"/>
        </w:rPr>
        <w:t>Reflects non-cash expenses associated with share-based compensation for equity awards issued to Directors, Management and employees of the Company. This expense reflects the awards’ fair value recognized for the portion of the equity award which is vesting over the period.</w:t>
      </w:r>
    </w:p>
    <w:p>
      <w:pPr>
        <w:ind w:left="240" w:hanging="111"/>
        <w:spacing w:after="0" w:line="181" w:lineRule="auto"/>
        <w:tabs>
          <w:tab w:leader="none" w:pos="240" w:val="left"/>
        </w:tabs>
        <w:numPr>
          <w:ilvl w:val="0"/>
          <w:numId w:val="45"/>
        </w:numPr>
        <w:rPr>
          <w:rFonts w:ascii="Arial" w:cs="Arial" w:eastAsia="Arial" w:hAnsi="Arial"/>
          <w:sz w:val="25"/>
          <w:szCs w:val="25"/>
          <w:color w:val="auto"/>
          <w:vertAlign w:val="superscript"/>
        </w:rPr>
      </w:pPr>
      <w:r>
        <w:rPr>
          <w:rFonts w:ascii="Arial" w:cs="Arial" w:eastAsia="Arial" w:hAnsi="Arial"/>
          <w:sz w:val="15"/>
          <w:szCs w:val="15"/>
          <w:color w:val="auto"/>
        </w:rPr>
        <w:t>Reflects foreign currency re-measurement gains and losses for the period, predominantly impacted by the change in the exchange rate between the US</w:t>
      </w:r>
    </w:p>
    <w:p>
      <w:pPr>
        <w:spacing w:after="0" w:line="99" w:lineRule="exact"/>
        <w:rPr>
          <w:sz w:val="20"/>
          <w:szCs w:val="20"/>
          <w:color w:val="auto"/>
        </w:rPr>
      </w:pPr>
    </w:p>
    <w:p>
      <w:pPr>
        <w:ind w:left="240" w:hanging="111"/>
        <w:spacing w:after="0"/>
        <w:tabs>
          <w:tab w:leader="none" w:pos="240" w:val="left"/>
        </w:tabs>
        <w:numPr>
          <w:ilvl w:val="0"/>
          <w:numId w:val="46"/>
        </w:numPr>
        <w:rPr>
          <w:rFonts w:ascii="Arial" w:cs="Arial" w:eastAsia="Arial" w:hAnsi="Arial"/>
          <w:sz w:val="29"/>
          <w:szCs w:val="29"/>
          <w:color w:val="auto"/>
          <w:vertAlign w:val="superscript"/>
        </w:rPr>
      </w:pPr>
      <w:r>
        <w:rPr>
          <w:rFonts w:ascii="Arial" w:cs="Arial" w:eastAsia="Arial" w:hAnsi="Arial"/>
          <w:sz w:val="17"/>
          <w:szCs w:val="17"/>
          <w:color w:val="auto"/>
        </w:rPr>
        <w:t>Reflects the change in the fair value of the derivative financial instruments associated with the convertible notes due to Investors.</w:t>
      </w:r>
    </w:p>
    <w:p>
      <w:pPr>
        <w:spacing w:after="0" w:line="1" w:lineRule="exact"/>
        <w:rPr>
          <w:rFonts w:ascii="Arial" w:cs="Arial" w:eastAsia="Arial" w:hAnsi="Arial"/>
          <w:sz w:val="29"/>
          <w:szCs w:val="29"/>
          <w:color w:val="auto"/>
          <w:vertAlign w:val="superscript"/>
        </w:rPr>
      </w:pPr>
    </w:p>
    <w:p>
      <w:pPr>
        <w:ind w:left="120"/>
        <w:spacing w:after="0"/>
        <w:rPr>
          <w:rFonts w:ascii="Arial" w:cs="Arial" w:eastAsia="Arial" w:hAnsi="Arial"/>
          <w:sz w:val="29"/>
          <w:szCs w:val="29"/>
          <w:color w:val="auto"/>
          <w:vertAlign w:val="superscript"/>
        </w:rPr>
      </w:pPr>
      <w:r>
        <w:rPr>
          <w:rFonts w:ascii="Arial" w:cs="Arial" w:eastAsia="Arial" w:hAnsi="Arial"/>
          <w:sz w:val="29"/>
          <w:szCs w:val="29"/>
          <w:color w:val="auto"/>
          <w:vertAlign w:val="superscript"/>
        </w:rPr>
        <w:t>4</w:t>
      </w:r>
      <w:r>
        <w:rPr>
          <w:rFonts w:ascii="Arial" w:cs="Arial" w:eastAsia="Arial" w:hAnsi="Arial"/>
          <w:sz w:val="18"/>
          <w:szCs w:val="18"/>
          <w:color w:val="auto"/>
        </w:rPr>
        <w:t xml:space="preserve"> Reflects transaction costs associated with our asset acquisition for a portfolio of therapeutics targeting alpha-synuclein.</w:t>
      </w:r>
    </w:p>
    <w:p>
      <w:pPr>
        <w:spacing w:after="0" w:line="83" w:lineRule="exact"/>
        <w:rPr>
          <w:sz w:val="20"/>
          <w:szCs w:val="20"/>
          <w:color w:val="auto"/>
        </w:rPr>
      </w:pPr>
    </w:p>
    <w:p>
      <w:pPr>
        <w:ind w:left="180" w:right="40" w:firstLine="324"/>
        <w:spacing w:after="0" w:line="291" w:lineRule="auto"/>
        <w:rPr>
          <w:sz w:val="20"/>
          <w:szCs w:val="20"/>
          <w:color w:val="auto"/>
        </w:rPr>
      </w:pPr>
      <w:r>
        <w:rPr>
          <w:rFonts w:ascii="Arial" w:cs="Arial" w:eastAsia="Arial" w:hAnsi="Arial"/>
          <w:sz w:val="16"/>
          <w:szCs w:val="16"/>
          <w:color w:val="auto"/>
        </w:rPr>
        <w:t>Adjustments for the three and nine months ended September 30, 2021, increased net loss by CHF 2.8 million and CHF 1.1 million, respectively compared with a decrease to net loss of CHF 1.4 million and CHF 3.8 million for the comparable periods in 2020, respectively. The Company recorded CHF 1.4 million and CHF 3.1 million for share-based compensation expenses, respectively, in each of these periods. There were foreign currency re-measurement gains of CHF 0.1 million and CHF 0.5 million, respectively, primarily related to movement in the USD-CHF exchange rate during the respective periods. The Company also recognized a CHF 4.4 million gain on the change in fair value of the derivative financial assets associated with the convertible notes. This gain did not arise in the comparable prior periods. Finally, the Company incurred CHF 0.3 and CHF 0.7 million in transaction costs associated with its acquisition of a portfolio of therapeutics targeting alpha-synuclein in the three and nine months ended September 30, 2021.</w:t>
      </w:r>
    </w:p>
    <w:p>
      <w:pPr>
        <w:spacing w:after="0" w:line="166"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Cautionary Statement Regarding Forward Looking Statements</w:t>
      </w:r>
    </w:p>
    <w:p>
      <w:pPr>
        <w:spacing w:after="0" w:line="225" w:lineRule="exact"/>
        <w:rPr>
          <w:sz w:val="20"/>
          <w:szCs w:val="20"/>
          <w:color w:val="auto"/>
        </w:rPr>
      </w:pPr>
    </w:p>
    <w:p>
      <w:pPr>
        <w:ind w:right="180" w:firstLine="324"/>
        <w:spacing w:after="0" w:line="257" w:lineRule="auto"/>
        <w:rPr>
          <w:sz w:val="20"/>
          <w:szCs w:val="20"/>
          <w:color w:val="auto"/>
        </w:rPr>
      </w:pPr>
      <w:r>
        <w:rPr>
          <w:rFonts w:ascii="Arial" w:cs="Arial" w:eastAsia="Arial" w:hAnsi="Arial"/>
          <w:sz w:val="18"/>
          <w:szCs w:val="18"/>
          <w:color w:val="auto"/>
        </w:rPr>
        <w:t>This discussion and analysis contains statements that constitute forward-looking statements. All statements other than statements of historical facts contained in this discussion and analysis, including statements regarding our future results of operations and financial position, business strategy, product candidates, product pipeline, ongoing and planned clinical studies, including those of our collaboration partners, regulatory approvals, R&amp;D costs, timing and likelihood of success, as well as plans and objectives of management for future operations are forward-looking statements. Many of the forward-looking statements contained in this prospectus can be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325755</wp:posOffset>
            </wp:positionV>
            <wp:extent cx="713232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30" w:name="page31"/>
    <w:bookmarkEnd w:id="30"/>
    <w:p>
      <w:pPr>
        <w:spacing w:after="0" w:line="268" w:lineRule="auto"/>
        <w:rPr>
          <w:sz w:val="20"/>
          <w:szCs w:val="20"/>
          <w:color w:val="auto"/>
        </w:rPr>
      </w:pPr>
      <w:r>
        <w:rPr>
          <w:rFonts w:ascii="Arial" w:cs="Arial" w:eastAsia="Arial" w:hAnsi="Arial"/>
          <w:sz w:val="17"/>
          <w:szCs w:val="17"/>
          <w:color w:val="auto"/>
        </w:rPr>
        <w:t>identified by the use of forward-looking words such as “anticipate,” “believe,” “could,” “expect,” “should,” “plan,” “intend,” “estimate,” “will” and “potential,” among others. Forward-looking statements appear in a number of places in this discussion and analysis and include, but are not limited to, statements regarding our intent, belief or current expectations. Forward-looking statements are based on our management’s beliefs and assumptions and on information currently available to our management. Such statements are subject to risks and uncertainties, and actual results may differ materially from those expressed or implied in the forward-looking statements due to various factors, including, but not limited to, those identified under the section entitled “Risk Factors” in our Annual Report on Form 20-F, including the impact of Covid-19 on our business, suppliers, patients and employees, and any other impact of Covid-19. These forward-looking statements speak only as of the date of this discussion and analysis, and are subject to a number of risks, uncertainties and assumptions as described under the sections in our Annual Report on Form 20-F entitled “Risk Factors” and in this discussion and analysis. Because forward-looking statements are inherently subject to risks and uncertainties, some of which cannot be predicted or quantified and some of which are beyond our control, you should not rely on these forward-looking statements as predictions of future events. The events and circumstances reflected in our forward-looking statements may not be achieved or occur, and actual results could differ materially from those projected in the forward-looking statements. Moreover, we operate in an evolving environment. New risk factors and uncertainties may emerge from time to time such as the global pandemic originating with Covid-19, and it is not possible for management to predict all risk factors and uncertainties. Except as required by applicable law, we do not plan to publicly update or revise any forward-looking statements contained herein, whether as a result of any new information, future events, changed circumstances or otherwise.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321945</wp:posOffset>
            </wp:positionV>
            <wp:extent cx="713232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31" w:name="page32"/>
    <w:bookmarkEnd w:id="31"/>
    <w:p>
      <w:pPr>
        <w:ind w:left="10120"/>
        <w:spacing w:after="0"/>
        <w:rPr>
          <w:sz w:val="20"/>
          <w:szCs w:val="20"/>
          <w:color w:val="auto"/>
        </w:rPr>
      </w:pPr>
      <w:r>
        <w:rPr>
          <w:rFonts w:ascii="Arial" w:cs="Arial" w:eastAsia="Arial" w:hAnsi="Arial"/>
          <w:sz w:val="19"/>
          <w:szCs w:val="19"/>
          <w:b w:val="1"/>
          <w:bCs w:val="1"/>
          <w:color w:val="auto"/>
        </w:rPr>
        <w:t>Exhibit 99.3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187325</wp:posOffset>
            </wp:positionV>
            <wp:extent cx="1774190" cy="55753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774190" cy="5575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9320"/>
        <w:spacing w:after="0"/>
        <w:rPr>
          <w:sz w:val="20"/>
          <w:szCs w:val="20"/>
          <w:color w:val="auto"/>
        </w:rPr>
      </w:pPr>
      <w:r>
        <w:rPr>
          <w:rFonts w:ascii="Arial" w:cs="Arial" w:eastAsia="Arial" w:hAnsi="Arial"/>
          <w:sz w:val="22"/>
          <w:szCs w:val="22"/>
          <w:b w:val="1"/>
          <w:bCs w:val="1"/>
          <w:color w:val="auto"/>
        </w:rPr>
        <w:t>PRESS RELEASE</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AC Immune Reports Third Quarter 2021 Financial Results and Provides Corporate Update</w:t>
      </w:r>
    </w:p>
    <w:p>
      <w:pPr>
        <w:spacing w:after="0" w:line="318" w:lineRule="exact"/>
        <w:rPr>
          <w:sz w:val="20"/>
          <w:szCs w:val="20"/>
          <w:color w:val="auto"/>
        </w:rPr>
      </w:pPr>
    </w:p>
    <w:p>
      <w:pPr>
        <w:jc w:val="center"/>
        <w:spacing w:after="0" w:line="474" w:lineRule="auto"/>
        <w:rPr>
          <w:sz w:val="20"/>
          <w:szCs w:val="20"/>
          <w:color w:val="auto"/>
        </w:rPr>
      </w:pPr>
      <w:r>
        <w:rPr>
          <w:rFonts w:ascii="Arial" w:cs="Arial" w:eastAsia="Arial" w:hAnsi="Arial"/>
          <w:sz w:val="18"/>
          <w:szCs w:val="18"/>
          <w:i w:val="1"/>
          <w:iCs w:val="1"/>
          <w:color w:val="auto"/>
        </w:rPr>
        <w:t>Announced the first positive cognitive results for a Tau-targeting monoclonal antibody in mild-to-moderate Alzheimer’s disease Closed its strategic acquisition of an industry-leading Parkinson’s disease vaccine and an equity financing led by key investors Appointed Monica Shaw, M.D., and Prof. Monika Bütler, Dr. Oec., to the Board of Directors</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Strong financial position of CHF 188.6 million</w:t>
      </w:r>
      <w:r>
        <w:rPr>
          <w:rFonts w:ascii="Arial" w:cs="Arial" w:eastAsia="Arial" w:hAnsi="Arial"/>
          <w:sz w:val="25"/>
          <w:szCs w:val="25"/>
          <w:u w:val="single" w:color="auto"/>
          <w:color w:val="0000EE"/>
          <w:vertAlign w:val="superscript"/>
        </w:rPr>
        <w:t>1</w:t>
      </w:r>
      <w:r>
        <w:rPr>
          <w:rFonts w:ascii="Arial" w:cs="Arial" w:eastAsia="Arial" w:hAnsi="Arial"/>
          <w:sz w:val="18"/>
          <w:szCs w:val="18"/>
          <w:i w:val="1"/>
          <w:iCs w:val="1"/>
          <w:color w:val="auto"/>
        </w:rPr>
        <w:t xml:space="preserve"> ensures the Company is fully financed through at least Q1 2024</w:t>
      </w:r>
    </w:p>
    <w:p>
      <w:pPr>
        <w:spacing w:after="0" w:line="12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b w:val="1"/>
          <w:bCs w:val="1"/>
          <w:color w:val="auto"/>
        </w:rPr>
        <w:t xml:space="preserve">Lausanne, Switzerland, November 8, 2021 </w:t>
      </w:r>
      <w:r>
        <w:rPr>
          <w:rFonts w:ascii="Arial" w:cs="Arial" w:eastAsia="Arial" w:hAnsi="Arial"/>
          <w:sz w:val="18"/>
          <w:szCs w:val="18"/>
          <w:color w:val="auto"/>
        </w:rPr>
        <w:t>– AC Immune SA (NASDAQ: ACIU), a clinical-stage biopharmaceutical company pioneering</w:t>
      </w:r>
      <w:r>
        <w:rPr>
          <w:rFonts w:ascii="Arial" w:cs="Arial" w:eastAsia="Arial" w:hAnsi="Arial"/>
          <w:sz w:val="18"/>
          <w:szCs w:val="18"/>
          <w:b w:val="1"/>
          <w:bCs w:val="1"/>
          <w:color w:val="auto"/>
        </w:rPr>
        <w:t xml:space="preserve"> </w:t>
      </w:r>
      <w:r>
        <w:rPr>
          <w:rFonts w:ascii="Arial" w:cs="Arial" w:eastAsia="Arial" w:hAnsi="Arial"/>
          <w:sz w:val="18"/>
          <w:szCs w:val="18"/>
          <w:color w:val="auto"/>
        </w:rPr>
        <w:t>precision medicine for neurodegenerative diseases, today reported its financial results for the quarter ended September 30, 2021 and provided a corporate update.</w:t>
      </w:r>
    </w:p>
    <w:p>
      <w:pPr>
        <w:spacing w:after="0" w:line="155" w:lineRule="exact"/>
        <w:rPr>
          <w:sz w:val="20"/>
          <w:szCs w:val="20"/>
          <w:color w:val="auto"/>
        </w:rPr>
      </w:pPr>
    </w:p>
    <w:p>
      <w:pPr>
        <w:jc w:val="both"/>
        <w:spacing w:after="0" w:line="242" w:lineRule="auto"/>
        <w:rPr>
          <w:sz w:val="20"/>
          <w:szCs w:val="20"/>
          <w:color w:val="auto"/>
        </w:rPr>
      </w:pPr>
      <w:r>
        <w:rPr>
          <w:rFonts w:ascii="Arial" w:cs="Arial" w:eastAsia="Arial" w:hAnsi="Arial"/>
          <w:sz w:val="18"/>
          <w:szCs w:val="18"/>
          <w:b w:val="1"/>
          <w:bCs w:val="1"/>
          <w:color w:val="auto"/>
        </w:rPr>
        <w:t xml:space="preserve">Prof. Andrea Pfeifer, CEO of AC Immune SA, commented: </w:t>
      </w:r>
      <w:r>
        <w:rPr>
          <w:rFonts w:ascii="Arial" w:cs="Arial" w:eastAsia="Arial" w:hAnsi="Arial"/>
          <w:sz w:val="18"/>
          <w:szCs w:val="18"/>
          <w:color w:val="auto"/>
        </w:rPr>
        <w:t>“AC Immune concluded an exceptional third quarter, highlighted by the</w:t>
      </w:r>
      <w:r>
        <w:rPr>
          <w:rFonts w:ascii="Arial" w:cs="Arial" w:eastAsia="Arial" w:hAnsi="Arial"/>
          <w:sz w:val="18"/>
          <w:szCs w:val="18"/>
          <w:b w:val="1"/>
          <w:bCs w:val="1"/>
          <w:color w:val="auto"/>
        </w:rPr>
        <w:t xml:space="preserve"> </w:t>
      </w:r>
      <w:r>
        <w:rPr>
          <w:rFonts w:ascii="Arial" w:cs="Arial" w:eastAsia="Arial" w:hAnsi="Arial"/>
          <w:sz w:val="18"/>
          <w:szCs w:val="18"/>
          <w:color w:val="auto"/>
        </w:rPr>
        <w:t>acquisition of a clinical α-syn vaccine candidate in Parkinson’s disease and topline Phase 2 Lauriet data showing that semorinemab was the first Tau antibody candidate to significantly slow cognitive decline in mild-to-moderate Alzheimer’s disease patients. Our partner Genentech, a member of the Roche Group, will present the topline Lauriet data, later this week at the CTAD 2021 conference, where we will present new clinical data on our p-Tau and Abeta vaccine candidates, ACI-35 and ACI-24, respectively. These achievements show the commitment, progress and breadth of our leadership in discovering and developing impactful therapeutics for neurodegenerative diseases.”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Q3 2021 and Subsequent Highlights</w:t>
      </w:r>
    </w:p>
    <w:p>
      <w:pPr>
        <w:spacing w:after="0" w:line="220" w:lineRule="exact"/>
        <w:rPr>
          <w:sz w:val="20"/>
          <w:szCs w:val="20"/>
          <w:color w:val="auto"/>
        </w:rPr>
      </w:pPr>
    </w:p>
    <w:p>
      <w:pPr>
        <w:jc w:val="both"/>
        <w:ind w:left="660" w:hanging="328"/>
        <w:spacing w:after="0" w:line="229" w:lineRule="auto"/>
        <w:tabs>
          <w:tab w:leader="none" w:pos="660" w:val="left"/>
        </w:tabs>
        <w:numPr>
          <w:ilvl w:val="0"/>
          <w:numId w:val="47"/>
        </w:numPr>
        <w:rPr>
          <w:rFonts w:ascii="Arial" w:cs="Arial" w:eastAsia="Arial" w:hAnsi="Arial"/>
          <w:sz w:val="22"/>
          <w:szCs w:val="22"/>
          <w:color w:val="C00000"/>
        </w:rPr>
      </w:pPr>
      <w:r>
        <w:rPr>
          <w:rFonts w:ascii="Arial" w:cs="Arial" w:eastAsia="Arial" w:hAnsi="Arial"/>
          <w:sz w:val="18"/>
          <w:szCs w:val="18"/>
          <w:color w:val="auto"/>
        </w:rPr>
        <w:t xml:space="preserve">Announced the first </w:t>
      </w:r>
      <w:r>
        <w:rPr>
          <w:rFonts w:ascii="Arial" w:cs="Arial" w:eastAsia="Arial" w:hAnsi="Arial"/>
          <w:sz w:val="18"/>
          <w:szCs w:val="18"/>
          <w:u w:val="single" w:color="auto"/>
          <w:color w:val="0000FF"/>
        </w:rPr>
        <w:t>positive cognitive results for a Tau-targeting monoclonal antibody</w:t>
      </w:r>
      <w:r>
        <w:rPr>
          <w:rFonts w:ascii="Arial" w:cs="Arial" w:eastAsia="Arial" w:hAnsi="Arial"/>
          <w:sz w:val="18"/>
          <w:szCs w:val="18"/>
          <w:color w:val="auto"/>
        </w:rPr>
        <w:t xml:space="preserve"> in Alzheimer’s disease (AD). Topline data from the Lauriet Phase 2 trial of semorinemab in mild-to-moderate AD showed a statistically significant (p&lt;0.0025) 43.6% reduction at week 49 in cognitive decline vs. placebo as measured by ADAS-Cog11, one of the trial’s co-primary endpoints. The second co-primary endpoint, ADCS-ADL, was not met. AC Immune’s partner Genentech is continuing with the trial’s open label extension and is scheduled to present the topline data from the Lauriet study at the CTAD (Clinical Trials on Alzheimer's Disease) conference on November 10, 2021, at 10:50am EST.</w:t>
      </w: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5"/>
          <w:szCs w:val="15"/>
          <w:color w:val="auto"/>
        </w:rPr>
        <w:t>________________</w:t>
      </w:r>
    </w:p>
    <w:p>
      <w:pPr>
        <w:spacing w:after="0" w:line="73" w:lineRule="exact"/>
        <w:rPr>
          <w:sz w:val="20"/>
          <w:szCs w:val="20"/>
          <w:color w:val="auto"/>
        </w:rPr>
      </w:pPr>
    </w:p>
    <w:p>
      <w:pPr>
        <w:ind w:firstLine="8"/>
        <w:spacing w:after="0" w:line="186" w:lineRule="auto"/>
        <w:tabs>
          <w:tab w:leader="none" w:pos="136" w:val="left"/>
        </w:tabs>
        <w:numPr>
          <w:ilvl w:val="0"/>
          <w:numId w:val="48"/>
        </w:numPr>
        <w:rPr>
          <w:rFonts w:ascii="Arial" w:cs="Arial" w:eastAsia="Arial" w:hAnsi="Arial"/>
          <w:sz w:val="27"/>
          <w:szCs w:val="27"/>
          <w:color w:val="auto"/>
          <w:vertAlign w:val="superscript"/>
        </w:rPr>
      </w:pPr>
      <w:r>
        <w:rPr>
          <w:rFonts w:ascii="Arial" w:cs="Arial" w:eastAsia="Arial" w:hAnsi="Arial"/>
          <w:sz w:val="16"/>
          <w:szCs w:val="16"/>
          <w:color w:val="auto"/>
        </w:rPr>
        <w:t>Total cash position does not include total gross proceeds of USD 30 million received in October 2021 from (i) USD 5 million as part of the Affiris asset acquisition and (ii) USD 25 million as part of a private placement with select group of Affiris investors.</w:t>
      </w:r>
    </w:p>
    <w:p>
      <w:pPr>
        <w:spacing w:after="0" w:line="200" w:lineRule="exact"/>
        <w:rPr>
          <w:sz w:val="20"/>
          <w:szCs w:val="20"/>
          <w:color w:val="auto"/>
        </w:rPr>
      </w:pPr>
    </w:p>
    <w:p>
      <w:pPr>
        <w:spacing w:after="0" w:line="31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13232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32" w:name="page33"/>
    <w:bookmarkEnd w:id="32"/>
    <w:p>
      <w:pPr>
        <w:jc w:val="both"/>
        <w:ind w:left="660" w:hanging="328"/>
        <w:spacing w:after="0" w:line="226" w:lineRule="auto"/>
        <w:tabs>
          <w:tab w:leader="none" w:pos="660" w:val="left"/>
        </w:tabs>
        <w:numPr>
          <w:ilvl w:val="0"/>
          <w:numId w:val="49"/>
        </w:numPr>
        <w:rPr>
          <w:rFonts w:ascii="Arial" w:cs="Arial" w:eastAsia="Arial" w:hAnsi="Arial"/>
          <w:sz w:val="22"/>
          <w:szCs w:val="22"/>
          <w:color w:val="C00000"/>
        </w:rPr>
      </w:pPr>
      <w:r>
        <w:rPr>
          <w:rFonts w:ascii="Arial" w:cs="Arial" w:eastAsia="Arial" w:hAnsi="Arial"/>
          <w:sz w:val="18"/>
          <w:szCs w:val="18"/>
          <w:color w:val="auto"/>
        </w:rPr>
        <w:t xml:space="preserve">Completed </w:t>
      </w:r>
      <w:r>
        <w:rPr>
          <w:rFonts w:ascii="Arial" w:cs="Arial" w:eastAsia="Arial" w:hAnsi="Arial"/>
          <w:sz w:val="18"/>
          <w:szCs w:val="18"/>
          <w:u w:val="single" w:color="auto"/>
          <w:color w:val="0000FF"/>
        </w:rPr>
        <w:t>an all-stock acquisition of Affiris’ portfolio of therapeutics targeting alpha-synuclein</w:t>
      </w:r>
      <w:r>
        <w:rPr>
          <w:rFonts w:ascii="Arial" w:cs="Arial" w:eastAsia="Arial" w:hAnsi="Arial"/>
          <w:sz w:val="18"/>
          <w:szCs w:val="18"/>
          <w:color w:val="auto"/>
        </w:rPr>
        <w:t>, notably PD01/ACI-7104, a clinically validated active vaccine candidate that places AC Immune at the forefront of Parkinson’s disease drug development. Through this acquisition and a concurrent financing, AC Immune has also strengthened its cash position and added Athos Service GmbH (Strüngmann family office), First Capital Partner GmbH (Egger Family Office), and MIG Fonds to its shareholder base.</w:t>
      </w:r>
    </w:p>
    <w:p>
      <w:pPr>
        <w:spacing w:after="0" w:line="203" w:lineRule="exact"/>
        <w:rPr>
          <w:rFonts w:ascii="Arial" w:cs="Arial" w:eastAsia="Arial" w:hAnsi="Arial"/>
          <w:sz w:val="22"/>
          <w:szCs w:val="22"/>
          <w:color w:val="C00000"/>
        </w:rPr>
      </w:pPr>
    </w:p>
    <w:p>
      <w:pPr>
        <w:jc w:val="both"/>
        <w:ind w:left="660" w:hanging="328"/>
        <w:spacing w:after="0" w:line="228" w:lineRule="auto"/>
        <w:tabs>
          <w:tab w:leader="none" w:pos="660" w:val="left"/>
        </w:tabs>
        <w:numPr>
          <w:ilvl w:val="0"/>
          <w:numId w:val="49"/>
        </w:numPr>
        <w:rPr>
          <w:rFonts w:ascii="Arial" w:cs="Arial" w:eastAsia="Arial" w:hAnsi="Arial"/>
          <w:sz w:val="22"/>
          <w:szCs w:val="22"/>
          <w:color w:val="C00000"/>
        </w:rPr>
      </w:pPr>
      <w:r>
        <w:rPr>
          <w:rFonts w:ascii="Arial" w:cs="Arial" w:eastAsia="Arial" w:hAnsi="Arial"/>
          <w:sz w:val="18"/>
          <w:szCs w:val="18"/>
          <w:color w:val="auto"/>
        </w:rPr>
        <w:t xml:space="preserve">Presented </w:t>
      </w:r>
      <w:r>
        <w:rPr>
          <w:rFonts w:ascii="Arial" w:cs="Arial" w:eastAsia="Arial" w:hAnsi="Arial"/>
          <w:sz w:val="18"/>
          <w:szCs w:val="18"/>
          <w:u w:val="single" w:color="auto"/>
          <w:color w:val="0000FF"/>
        </w:rPr>
        <w:t>the full results</w:t>
      </w:r>
      <w:r>
        <w:rPr>
          <w:rFonts w:ascii="Arial" w:cs="Arial" w:eastAsia="Arial" w:hAnsi="Arial"/>
          <w:sz w:val="18"/>
          <w:szCs w:val="18"/>
          <w:color w:val="auto"/>
        </w:rPr>
        <w:t xml:space="preserve"> from the landmark Phase 1b clinical trial evaluating the wholly-owned anti-Abeta vaccine ACI-24 in subjects with Down syndrome (DS) at the Alzheimer’s Association International Conference (AAIC) 2021. Data showed that ACI-24 generated evidence of immunogenicity along with a positive pharmacodynamic response and a favorable safety and tolerability profile. Based on these results, the Company plans to advance an optimized formulation of ACI-24 into mid-stage clinical testing to treat and prevent the progression of DS-related AD.</w:t>
      </w:r>
    </w:p>
    <w:p>
      <w:pPr>
        <w:spacing w:after="0" w:line="201" w:lineRule="exact"/>
        <w:rPr>
          <w:rFonts w:ascii="Arial" w:cs="Arial" w:eastAsia="Arial" w:hAnsi="Arial"/>
          <w:sz w:val="22"/>
          <w:szCs w:val="22"/>
          <w:color w:val="C00000"/>
        </w:rPr>
      </w:pPr>
    </w:p>
    <w:p>
      <w:pPr>
        <w:jc w:val="both"/>
        <w:ind w:left="660" w:hanging="328"/>
        <w:spacing w:after="0" w:line="228" w:lineRule="auto"/>
        <w:tabs>
          <w:tab w:leader="none" w:pos="660" w:val="left"/>
        </w:tabs>
        <w:numPr>
          <w:ilvl w:val="0"/>
          <w:numId w:val="49"/>
        </w:numPr>
        <w:rPr>
          <w:rFonts w:ascii="Arial" w:cs="Arial" w:eastAsia="Arial" w:hAnsi="Arial"/>
          <w:sz w:val="22"/>
          <w:szCs w:val="22"/>
          <w:color w:val="C00000"/>
        </w:rPr>
      </w:pPr>
      <w:r>
        <w:rPr>
          <w:rFonts w:ascii="Arial" w:cs="Arial" w:eastAsia="Arial" w:hAnsi="Arial"/>
          <w:sz w:val="18"/>
          <w:szCs w:val="18"/>
          <w:color w:val="auto"/>
        </w:rPr>
        <w:t xml:space="preserve">Extended the Company’s </w:t>
      </w:r>
      <w:r>
        <w:rPr>
          <w:rFonts w:ascii="Arial" w:cs="Arial" w:eastAsia="Arial" w:hAnsi="Arial"/>
          <w:sz w:val="18"/>
          <w:szCs w:val="18"/>
          <w:u w:val="single" w:color="auto"/>
          <w:color w:val="0000FF"/>
        </w:rPr>
        <w:t>research partnership</w:t>
      </w:r>
      <w:r>
        <w:rPr>
          <w:rFonts w:ascii="Arial" w:cs="Arial" w:eastAsia="Arial" w:hAnsi="Arial"/>
          <w:sz w:val="18"/>
          <w:szCs w:val="18"/>
          <w:color w:val="auto"/>
        </w:rPr>
        <w:t xml:space="preserve"> with leading scientists at the Center for Neurodegenerative Disease Research at the Perelman School of Medicine at the University of Pennsylvania (Penn). The goal of the collaboration is to further understand the role of distinct pathogenic TDP-43 species in the different TDP-43 proteinopathies. Through the development of novel experimental models, AC Immune and Penn hope to unravel the underlying mechanisms of cell-to-cell transmission of TDP-43 pathology that could provide new therapeutic strategies to target TDP-43-related proteinopathies.</w:t>
      </w:r>
    </w:p>
    <w:p>
      <w:pPr>
        <w:spacing w:after="0" w:line="228" w:lineRule="exact"/>
        <w:rPr>
          <w:rFonts w:ascii="Arial" w:cs="Arial" w:eastAsia="Arial" w:hAnsi="Arial"/>
          <w:sz w:val="22"/>
          <w:szCs w:val="22"/>
          <w:color w:val="C00000"/>
        </w:rPr>
      </w:pPr>
    </w:p>
    <w:p>
      <w:pPr>
        <w:ind w:left="660" w:right="20" w:hanging="328"/>
        <w:spacing w:after="0" w:line="218" w:lineRule="auto"/>
        <w:tabs>
          <w:tab w:leader="none" w:pos="660" w:val="left"/>
        </w:tabs>
        <w:numPr>
          <w:ilvl w:val="0"/>
          <w:numId w:val="49"/>
        </w:numPr>
        <w:rPr>
          <w:rFonts w:ascii="Arial" w:cs="Arial" w:eastAsia="Arial" w:hAnsi="Arial"/>
          <w:sz w:val="22"/>
          <w:szCs w:val="22"/>
          <w:color w:val="C00000"/>
        </w:rPr>
      </w:pPr>
      <w:r>
        <w:rPr>
          <w:rFonts w:ascii="Arial" w:cs="Arial" w:eastAsia="Arial" w:hAnsi="Arial"/>
          <w:sz w:val="18"/>
          <w:szCs w:val="18"/>
          <w:color w:val="auto"/>
        </w:rPr>
        <w:t xml:space="preserve">Welcomed </w:t>
      </w:r>
      <w:r>
        <w:rPr>
          <w:rFonts w:ascii="Arial" w:cs="Arial" w:eastAsia="Arial" w:hAnsi="Arial"/>
          <w:sz w:val="18"/>
          <w:szCs w:val="18"/>
          <w:u w:val="single" w:color="auto"/>
          <w:color w:val="0000FF"/>
        </w:rPr>
        <w:t>pharmaceutical industry expert Monica Shaw, M.D., and leading Swiss economist Prof. Monika Bütler, Dr. Oec</w:t>
      </w:r>
      <w:r>
        <w:rPr>
          <w:rFonts w:ascii="Arial" w:cs="Arial" w:eastAsia="Arial" w:hAnsi="Arial"/>
          <w:sz w:val="18"/>
          <w:szCs w:val="18"/>
          <w:color w:val="auto"/>
        </w:rPr>
        <w:t>., to the Company’s Board of Directors.</w:t>
      </w:r>
    </w:p>
    <w:p>
      <w:pPr>
        <w:spacing w:after="0" w:line="203" w:lineRule="exact"/>
        <w:rPr>
          <w:rFonts w:ascii="Arial" w:cs="Arial" w:eastAsia="Arial" w:hAnsi="Arial"/>
          <w:sz w:val="22"/>
          <w:szCs w:val="22"/>
          <w:color w:val="C00000"/>
        </w:rPr>
      </w:pPr>
    </w:p>
    <w:p>
      <w:pPr>
        <w:jc w:val="both"/>
        <w:ind w:left="660" w:hanging="328"/>
        <w:spacing w:after="0" w:line="223" w:lineRule="auto"/>
        <w:tabs>
          <w:tab w:leader="none" w:pos="660" w:val="left"/>
        </w:tabs>
        <w:numPr>
          <w:ilvl w:val="0"/>
          <w:numId w:val="49"/>
        </w:numPr>
        <w:rPr>
          <w:rFonts w:ascii="Arial" w:cs="Arial" w:eastAsia="Arial" w:hAnsi="Arial"/>
          <w:sz w:val="22"/>
          <w:szCs w:val="22"/>
          <w:color w:val="C00000"/>
        </w:rPr>
      </w:pPr>
      <w:r>
        <w:rPr>
          <w:rFonts w:ascii="Arial" w:cs="Arial" w:eastAsia="Arial" w:hAnsi="Arial"/>
          <w:sz w:val="18"/>
          <w:szCs w:val="18"/>
          <w:color w:val="auto"/>
        </w:rPr>
        <w:t xml:space="preserve">Announced that the Swiss Economic Forum (SEF) awarded AC Immune Co-Founder and </w:t>
      </w:r>
      <w:r>
        <w:rPr>
          <w:rFonts w:ascii="Arial" w:cs="Arial" w:eastAsia="Arial" w:hAnsi="Arial"/>
          <w:sz w:val="18"/>
          <w:szCs w:val="18"/>
          <w:u w:val="single" w:color="auto"/>
          <w:color w:val="0000FF"/>
        </w:rPr>
        <w:t>CEO Prof. Andrea Pfeifer with the</w:t>
      </w:r>
      <w:r>
        <w:rPr>
          <w:rFonts w:ascii="Arial" w:cs="Arial" w:eastAsia="Arial" w:hAnsi="Arial"/>
          <w:sz w:val="18"/>
          <w:szCs w:val="18"/>
          <w:color w:val="auto"/>
        </w:rPr>
        <w:t xml:space="preserve"> </w:t>
      </w:r>
      <w:r>
        <w:rPr>
          <w:rFonts w:ascii="Arial" w:cs="Arial" w:eastAsia="Arial" w:hAnsi="Arial"/>
          <w:sz w:val="18"/>
          <w:szCs w:val="18"/>
          <w:u w:val="single" w:color="auto"/>
          <w:color w:val="0000FF"/>
        </w:rPr>
        <w:t>SEF.WomenAward for CEO of the Year</w:t>
      </w:r>
      <w:r>
        <w:rPr>
          <w:rFonts w:ascii="Arial" w:cs="Arial" w:eastAsia="Arial" w:hAnsi="Arial"/>
          <w:sz w:val="18"/>
          <w:szCs w:val="18"/>
          <w:color w:val="000000"/>
        </w:rPr>
        <w:t>. This award recognizes women with an excellent entrepreneurial track record, thereby giving</w:t>
      </w:r>
      <w:r>
        <w:rPr>
          <w:rFonts w:ascii="Arial" w:cs="Arial" w:eastAsia="Arial" w:hAnsi="Arial"/>
          <w:sz w:val="18"/>
          <w:szCs w:val="18"/>
          <w:color w:val="0000FF"/>
        </w:rPr>
        <w:t xml:space="preserve"> </w:t>
      </w:r>
      <w:r>
        <w:rPr>
          <w:rFonts w:ascii="Arial" w:cs="Arial" w:eastAsia="Arial" w:hAnsi="Arial"/>
          <w:sz w:val="18"/>
          <w:szCs w:val="18"/>
          <w:color w:val="000000"/>
        </w:rPr>
        <w:t>greater prominence to role models who can inspire the next generation of businesswomen with their achievements.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Achieved and Anticipated 2021 milestones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Clinical Milestones</w:t>
      </w:r>
    </w:p>
    <w:p>
      <w:pPr>
        <w:spacing w:after="0" w:line="198" w:lineRule="exact"/>
        <w:rPr>
          <w:sz w:val="20"/>
          <w:szCs w:val="20"/>
          <w:color w:val="auto"/>
        </w:rPr>
      </w:pPr>
    </w:p>
    <w:p>
      <w:pPr>
        <w:ind w:left="660" w:hanging="328"/>
        <w:spacing w:after="0" w:line="218" w:lineRule="auto"/>
        <w:tabs>
          <w:tab w:leader="none" w:pos="660" w:val="left"/>
        </w:tabs>
        <w:numPr>
          <w:ilvl w:val="0"/>
          <w:numId w:val="50"/>
        </w:numPr>
        <w:rPr>
          <w:rFonts w:ascii="Arial" w:cs="Arial" w:eastAsia="Arial" w:hAnsi="Arial"/>
          <w:sz w:val="22"/>
          <w:szCs w:val="22"/>
          <w:color w:val="C00000"/>
        </w:rPr>
      </w:pPr>
      <w:r>
        <w:rPr>
          <w:rFonts w:ascii="Arial" w:cs="Arial" w:eastAsia="Arial" w:hAnsi="Arial"/>
          <w:sz w:val="18"/>
          <w:szCs w:val="18"/>
          <w:color w:val="auto"/>
        </w:rPr>
        <w:t>ACI-35.030 anti-pTau vaccine: reported Phase 1b/2a interim results in AD patients in Q1 (second highest dose); further Phase 1b/2a interim analysis in Q4 (highest dose)</w:t>
      </w:r>
    </w:p>
    <w:p>
      <w:pPr>
        <w:spacing w:after="0" w:line="167" w:lineRule="exact"/>
        <w:rPr>
          <w:rFonts w:ascii="Arial" w:cs="Arial" w:eastAsia="Arial" w:hAnsi="Arial"/>
          <w:sz w:val="22"/>
          <w:szCs w:val="22"/>
          <w:color w:val="C00000"/>
        </w:rPr>
      </w:pPr>
    </w:p>
    <w:p>
      <w:pPr>
        <w:ind w:left="660" w:hanging="328"/>
        <w:spacing w:after="0"/>
        <w:tabs>
          <w:tab w:leader="none" w:pos="660" w:val="left"/>
        </w:tabs>
        <w:numPr>
          <w:ilvl w:val="0"/>
          <w:numId w:val="50"/>
        </w:numPr>
        <w:rPr>
          <w:rFonts w:ascii="Arial" w:cs="Arial" w:eastAsia="Arial" w:hAnsi="Arial"/>
          <w:sz w:val="22"/>
          <w:szCs w:val="22"/>
          <w:color w:val="C00000"/>
        </w:rPr>
      </w:pPr>
      <w:r>
        <w:rPr>
          <w:rFonts w:ascii="Arial" w:cs="Arial" w:eastAsia="Arial" w:hAnsi="Arial"/>
          <w:sz w:val="18"/>
          <w:szCs w:val="18"/>
          <w:color w:val="auto"/>
        </w:rPr>
        <w:t>JACI-35.054 alternative anti-pTau vaccine: reported a Phase 1b/2a interim analysis in AD patients in Q2 (low dose)</w:t>
      </w:r>
    </w:p>
    <w:p>
      <w:pPr>
        <w:spacing w:after="0" w:line="242" w:lineRule="exact"/>
        <w:rPr>
          <w:rFonts w:ascii="Arial" w:cs="Arial" w:eastAsia="Arial" w:hAnsi="Arial"/>
          <w:sz w:val="22"/>
          <w:szCs w:val="22"/>
          <w:color w:val="C00000"/>
        </w:rPr>
      </w:pPr>
    </w:p>
    <w:p>
      <w:pPr>
        <w:ind w:left="660" w:hanging="328"/>
        <w:spacing w:after="0" w:line="218" w:lineRule="auto"/>
        <w:tabs>
          <w:tab w:leader="none" w:pos="660" w:val="left"/>
        </w:tabs>
        <w:numPr>
          <w:ilvl w:val="0"/>
          <w:numId w:val="50"/>
        </w:numPr>
        <w:rPr>
          <w:rFonts w:ascii="Arial" w:cs="Arial" w:eastAsia="Arial" w:hAnsi="Arial"/>
          <w:sz w:val="22"/>
          <w:szCs w:val="22"/>
          <w:color w:val="C00000"/>
        </w:rPr>
      </w:pPr>
      <w:r>
        <w:rPr>
          <w:rFonts w:ascii="Arial" w:cs="Arial" w:eastAsia="Arial" w:hAnsi="Arial"/>
          <w:sz w:val="18"/>
          <w:szCs w:val="18"/>
          <w:color w:val="auto"/>
        </w:rPr>
        <w:t>Alpha-synuclein PET imaging agent: advanced third-generation candidate to first-in-human clinical study in Q1; data to be presented at upcoming scientific meeting</w:t>
      </w:r>
    </w:p>
    <w:p>
      <w:pPr>
        <w:spacing w:after="0" w:line="167" w:lineRule="exact"/>
        <w:rPr>
          <w:rFonts w:ascii="Arial" w:cs="Arial" w:eastAsia="Arial" w:hAnsi="Arial"/>
          <w:sz w:val="22"/>
          <w:szCs w:val="22"/>
          <w:color w:val="C00000"/>
        </w:rPr>
      </w:pPr>
    </w:p>
    <w:p>
      <w:pPr>
        <w:ind w:left="660" w:hanging="328"/>
        <w:spacing w:after="0"/>
        <w:tabs>
          <w:tab w:leader="none" w:pos="660" w:val="left"/>
        </w:tabs>
        <w:numPr>
          <w:ilvl w:val="0"/>
          <w:numId w:val="50"/>
        </w:numPr>
        <w:rPr>
          <w:rFonts w:ascii="Arial" w:cs="Arial" w:eastAsia="Arial" w:hAnsi="Arial"/>
          <w:sz w:val="22"/>
          <w:szCs w:val="22"/>
          <w:color w:val="C00000"/>
        </w:rPr>
      </w:pPr>
      <w:r>
        <w:rPr>
          <w:rFonts w:ascii="Arial" w:cs="Arial" w:eastAsia="Arial" w:hAnsi="Arial"/>
          <w:sz w:val="18"/>
          <w:szCs w:val="18"/>
          <w:color w:val="auto"/>
        </w:rPr>
        <w:t>ACI-24 anti-Abeta vaccine in DS: reported Phase 1b topline results in Q1</w:t>
      </w:r>
    </w:p>
    <w:p>
      <w:pPr>
        <w:spacing w:after="0" w:line="206" w:lineRule="exact"/>
        <w:rPr>
          <w:rFonts w:ascii="Arial" w:cs="Arial" w:eastAsia="Arial" w:hAnsi="Arial"/>
          <w:sz w:val="22"/>
          <w:szCs w:val="22"/>
          <w:color w:val="C00000"/>
        </w:rPr>
      </w:pPr>
    </w:p>
    <w:p>
      <w:pPr>
        <w:ind w:left="660" w:hanging="328"/>
        <w:spacing w:after="0"/>
        <w:tabs>
          <w:tab w:leader="none" w:pos="660" w:val="left"/>
        </w:tabs>
        <w:numPr>
          <w:ilvl w:val="0"/>
          <w:numId w:val="50"/>
        </w:numPr>
        <w:rPr>
          <w:rFonts w:ascii="Arial" w:cs="Arial" w:eastAsia="Arial" w:hAnsi="Arial"/>
          <w:sz w:val="22"/>
          <w:szCs w:val="22"/>
          <w:color w:val="C00000"/>
        </w:rPr>
      </w:pPr>
      <w:r>
        <w:rPr>
          <w:rFonts w:ascii="Arial" w:cs="Arial" w:eastAsia="Arial" w:hAnsi="Arial"/>
          <w:sz w:val="18"/>
          <w:szCs w:val="18"/>
          <w:color w:val="auto"/>
        </w:rPr>
        <w:t>ACI-24 in AD: reported Phase 2, 12-month interim analysis in Q1; reporting full data set at CTAD in November 2021</w:t>
      </w:r>
    </w:p>
    <w:p>
      <w:pPr>
        <w:spacing w:after="0" w:line="35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13232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sectPr>
      </w:pPr>
    </w:p>
    <w:bookmarkStart w:id="33" w:name="page34"/>
    <w:bookmarkEnd w:id="33"/>
    <w:p>
      <w:pPr>
        <w:ind w:left="660" w:hanging="328"/>
        <w:spacing w:after="0"/>
        <w:tabs>
          <w:tab w:leader="none" w:pos="660" w:val="left"/>
        </w:tabs>
        <w:numPr>
          <w:ilvl w:val="0"/>
          <w:numId w:val="51"/>
        </w:numPr>
        <w:rPr>
          <w:rFonts w:ascii="Arial" w:cs="Arial" w:eastAsia="Arial" w:hAnsi="Arial"/>
          <w:sz w:val="22"/>
          <w:szCs w:val="22"/>
          <w:color w:val="C00000"/>
        </w:rPr>
      </w:pPr>
      <w:r>
        <w:rPr>
          <w:rFonts w:ascii="Arial" w:cs="Arial" w:eastAsia="Arial" w:hAnsi="Arial"/>
          <w:sz w:val="18"/>
          <w:szCs w:val="18"/>
          <w:color w:val="auto"/>
        </w:rPr>
        <w:t>Semorinemab anti-Tau antibody partnered with Genentech: topline results reported in Q3</w:t>
      </w:r>
    </w:p>
    <w:p>
      <w:pPr>
        <w:spacing w:after="0" w:line="242" w:lineRule="exact"/>
        <w:rPr>
          <w:rFonts w:ascii="Arial" w:cs="Arial" w:eastAsia="Arial" w:hAnsi="Arial"/>
          <w:sz w:val="22"/>
          <w:szCs w:val="22"/>
          <w:color w:val="C00000"/>
        </w:rPr>
      </w:pPr>
    </w:p>
    <w:p>
      <w:pPr>
        <w:ind w:left="660" w:hanging="328"/>
        <w:spacing w:after="0"/>
        <w:tabs>
          <w:tab w:leader="none" w:pos="660" w:val="left"/>
        </w:tabs>
        <w:numPr>
          <w:ilvl w:val="0"/>
          <w:numId w:val="51"/>
        </w:numPr>
        <w:rPr>
          <w:rFonts w:ascii="Arial" w:cs="Arial" w:eastAsia="Arial" w:hAnsi="Arial"/>
          <w:sz w:val="22"/>
          <w:szCs w:val="22"/>
          <w:color w:val="C00000"/>
        </w:rPr>
      </w:pPr>
      <w:r>
        <w:rPr>
          <w:rFonts w:ascii="Arial" w:cs="Arial" w:eastAsia="Arial" w:hAnsi="Arial"/>
          <w:sz w:val="18"/>
          <w:szCs w:val="18"/>
          <w:color w:val="auto"/>
        </w:rPr>
        <w:t>Small molecule Morphomer</w:t>
      </w:r>
      <w:r>
        <w:rPr>
          <w:rFonts w:ascii="Arial" w:cs="Arial" w:eastAsia="Arial" w:hAnsi="Arial"/>
          <w:sz w:val="29"/>
          <w:szCs w:val="29"/>
          <w:color w:val="auto"/>
          <w:vertAlign w:val="superscript"/>
        </w:rPr>
        <w:t>®</w:t>
      </w:r>
      <w:r>
        <w:rPr>
          <w:rFonts w:ascii="Arial" w:cs="Arial" w:eastAsia="Arial" w:hAnsi="Arial"/>
          <w:sz w:val="18"/>
          <w:szCs w:val="18"/>
          <w:color w:val="auto"/>
        </w:rPr>
        <w:t xml:space="preserve"> Tau aggregation inhibitor program: select NeuroOrphan indication for further development in H2</w:t>
      </w:r>
    </w:p>
    <w:p>
      <w:pPr>
        <w:spacing w:after="0" w:line="89" w:lineRule="exact"/>
        <w:rPr>
          <w:rFonts w:ascii="Arial" w:cs="Arial" w:eastAsia="Arial" w:hAnsi="Arial"/>
          <w:sz w:val="22"/>
          <w:szCs w:val="22"/>
          <w:color w:val="C00000"/>
        </w:rPr>
      </w:pPr>
    </w:p>
    <w:p>
      <w:pPr>
        <w:ind w:left="660" w:hanging="328"/>
        <w:spacing w:after="0"/>
        <w:tabs>
          <w:tab w:leader="none" w:pos="660" w:val="left"/>
        </w:tabs>
        <w:numPr>
          <w:ilvl w:val="0"/>
          <w:numId w:val="51"/>
        </w:numPr>
        <w:rPr>
          <w:rFonts w:ascii="Arial" w:cs="Arial" w:eastAsia="Arial" w:hAnsi="Arial"/>
          <w:sz w:val="22"/>
          <w:szCs w:val="22"/>
          <w:color w:val="C00000"/>
        </w:rPr>
      </w:pPr>
      <w:r>
        <w:rPr>
          <w:rFonts w:ascii="Arial" w:cs="Arial" w:eastAsia="Arial" w:hAnsi="Arial"/>
          <w:sz w:val="18"/>
          <w:szCs w:val="18"/>
          <w:color w:val="auto"/>
        </w:rPr>
        <w:t>ACI-24 in DS: submit investigational new drug (IND) application for optimized vaccine formulation in Q4</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color w:val="auto"/>
        </w:rPr>
        <w:t>Preclinical Milestones</w:t>
      </w:r>
    </w:p>
    <w:p>
      <w:pPr>
        <w:spacing w:after="0" w:line="180" w:lineRule="exact"/>
        <w:rPr>
          <w:sz w:val="20"/>
          <w:szCs w:val="20"/>
          <w:color w:val="auto"/>
        </w:rPr>
      </w:pPr>
    </w:p>
    <w:p>
      <w:pPr>
        <w:ind w:left="660" w:hanging="328"/>
        <w:spacing w:after="0" w:line="228" w:lineRule="auto"/>
        <w:tabs>
          <w:tab w:leader="none" w:pos="660" w:val="left"/>
        </w:tabs>
        <w:numPr>
          <w:ilvl w:val="0"/>
          <w:numId w:val="52"/>
        </w:numPr>
        <w:rPr>
          <w:rFonts w:ascii="Arial" w:cs="Arial" w:eastAsia="Arial" w:hAnsi="Arial"/>
          <w:sz w:val="22"/>
          <w:szCs w:val="22"/>
          <w:color w:val="C00000"/>
        </w:rPr>
      </w:pPr>
      <w:r>
        <w:rPr>
          <w:rFonts w:ascii="Arial" w:cs="Arial" w:eastAsia="Arial" w:hAnsi="Arial"/>
          <w:sz w:val="18"/>
          <w:szCs w:val="18"/>
          <w:color w:val="auto"/>
        </w:rPr>
        <w:t xml:space="preserve">Alpha-synuclein small molecule inhibitor: identified first biologically active small molecule in Q1; start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proof-of-concept studies in Q4</w:t>
      </w:r>
    </w:p>
    <w:p>
      <w:pPr>
        <w:spacing w:after="0" w:line="202" w:lineRule="exact"/>
        <w:rPr>
          <w:rFonts w:ascii="Arial" w:cs="Arial" w:eastAsia="Arial" w:hAnsi="Arial"/>
          <w:sz w:val="22"/>
          <w:szCs w:val="22"/>
          <w:color w:val="C00000"/>
        </w:rPr>
      </w:pPr>
    </w:p>
    <w:p>
      <w:pPr>
        <w:ind w:left="660" w:hanging="328"/>
        <w:spacing w:after="0" w:line="204" w:lineRule="auto"/>
        <w:tabs>
          <w:tab w:leader="none" w:pos="660" w:val="left"/>
        </w:tabs>
        <w:numPr>
          <w:ilvl w:val="0"/>
          <w:numId w:val="52"/>
        </w:numPr>
        <w:rPr>
          <w:rFonts w:ascii="Arial" w:cs="Arial" w:eastAsia="Arial" w:hAnsi="Arial"/>
          <w:sz w:val="22"/>
          <w:szCs w:val="22"/>
          <w:color w:val="C00000"/>
        </w:rPr>
      </w:pPr>
      <w:r>
        <w:rPr>
          <w:rFonts w:ascii="Arial" w:cs="Arial" w:eastAsia="Arial" w:hAnsi="Arial"/>
          <w:sz w:val="18"/>
          <w:szCs w:val="18"/>
          <w:color w:val="auto"/>
        </w:rPr>
        <w:t>Morphomer</w:t>
      </w:r>
      <w:r>
        <w:rPr>
          <w:rFonts w:ascii="Arial" w:cs="Arial" w:eastAsia="Arial" w:hAnsi="Arial"/>
          <w:sz w:val="29"/>
          <w:szCs w:val="29"/>
          <w:color w:val="auto"/>
          <w:vertAlign w:val="superscript"/>
        </w:rPr>
        <w:t>®</w:t>
      </w:r>
      <w:r>
        <w:rPr>
          <w:rFonts w:ascii="Arial" w:cs="Arial" w:eastAsia="Arial" w:hAnsi="Arial"/>
          <w:sz w:val="18"/>
          <w:szCs w:val="18"/>
          <w:color w:val="auto"/>
        </w:rPr>
        <w:t xml:space="preserve"> NLRP3-ASC: report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proof-of-concept results in a non-central nervous system (CNS) disease model and begin </w:t>
      </w:r>
      <w:r>
        <w:rPr>
          <w:rFonts w:ascii="Arial" w:cs="Arial" w:eastAsia="Arial" w:hAnsi="Arial"/>
          <w:sz w:val="18"/>
          <w:szCs w:val="18"/>
          <w:i w:val="1"/>
          <w:iCs w:val="1"/>
          <w:color w:val="auto"/>
        </w:rPr>
        <w:t>in</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vivo </w:t>
      </w:r>
      <w:r>
        <w:rPr>
          <w:rFonts w:ascii="Arial" w:cs="Arial" w:eastAsia="Arial" w:hAnsi="Arial"/>
          <w:sz w:val="18"/>
          <w:szCs w:val="18"/>
          <w:color w:val="auto"/>
        </w:rPr>
        <w:t>proof-of-concept studies with validated candidate in central nervous system in Q4</w:t>
      </w:r>
    </w:p>
    <w:p>
      <w:pPr>
        <w:spacing w:after="0" w:line="165" w:lineRule="exact"/>
        <w:rPr>
          <w:rFonts w:ascii="Arial" w:cs="Arial" w:eastAsia="Arial" w:hAnsi="Arial"/>
          <w:sz w:val="22"/>
          <w:szCs w:val="22"/>
          <w:color w:val="C00000"/>
        </w:rPr>
      </w:pPr>
    </w:p>
    <w:p>
      <w:pPr>
        <w:ind w:left="660" w:hanging="328"/>
        <w:spacing w:after="0"/>
        <w:tabs>
          <w:tab w:leader="none" w:pos="660" w:val="left"/>
        </w:tabs>
        <w:numPr>
          <w:ilvl w:val="0"/>
          <w:numId w:val="52"/>
        </w:numPr>
        <w:rPr>
          <w:rFonts w:ascii="Arial" w:cs="Arial" w:eastAsia="Arial" w:hAnsi="Arial"/>
          <w:sz w:val="22"/>
          <w:szCs w:val="22"/>
          <w:color w:val="C00000"/>
        </w:rPr>
      </w:pPr>
      <w:r>
        <w:rPr>
          <w:rFonts w:ascii="Arial" w:cs="Arial" w:eastAsia="Arial" w:hAnsi="Arial"/>
          <w:sz w:val="18"/>
          <w:szCs w:val="18"/>
          <w:color w:val="auto"/>
        </w:rPr>
        <w:t xml:space="preserve">Anti-NLRP3-ASC antibody: begin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proof-of-concept studies in Q4</w:t>
      </w:r>
    </w:p>
    <w:p>
      <w:pPr>
        <w:spacing w:after="0" w:line="206" w:lineRule="exact"/>
        <w:rPr>
          <w:rFonts w:ascii="Arial" w:cs="Arial" w:eastAsia="Arial" w:hAnsi="Arial"/>
          <w:sz w:val="22"/>
          <w:szCs w:val="22"/>
          <w:color w:val="C00000"/>
        </w:rPr>
      </w:pPr>
    </w:p>
    <w:p>
      <w:pPr>
        <w:ind w:left="660" w:hanging="328"/>
        <w:spacing w:after="0"/>
        <w:tabs>
          <w:tab w:leader="none" w:pos="660" w:val="left"/>
        </w:tabs>
        <w:numPr>
          <w:ilvl w:val="0"/>
          <w:numId w:val="52"/>
        </w:numPr>
        <w:rPr>
          <w:rFonts w:ascii="Arial" w:cs="Arial" w:eastAsia="Arial" w:hAnsi="Arial"/>
          <w:sz w:val="22"/>
          <w:szCs w:val="22"/>
          <w:color w:val="C00000"/>
        </w:rPr>
      </w:pPr>
      <w:r>
        <w:rPr>
          <w:rFonts w:ascii="Arial" w:cs="Arial" w:eastAsia="Arial" w:hAnsi="Arial"/>
          <w:sz w:val="18"/>
          <w:szCs w:val="18"/>
          <w:color w:val="auto"/>
        </w:rPr>
        <w:t>Anti-TDP-43 antibody: initiate IND-enabling toxicology studies in Q4</w:t>
      </w:r>
    </w:p>
    <w:p>
      <w:pPr>
        <w:spacing w:after="0" w:line="206" w:lineRule="exact"/>
        <w:rPr>
          <w:rFonts w:ascii="Arial" w:cs="Arial" w:eastAsia="Arial" w:hAnsi="Arial"/>
          <w:sz w:val="22"/>
          <w:szCs w:val="22"/>
          <w:color w:val="C00000"/>
        </w:rPr>
      </w:pPr>
    </w:p>
    <w:p>
      <w:pPr>
        <w:ind w:left="660" w:hanging="328"/>
        <w:spacing w:after="0"/>
        <w:tabs>
          <w:tab w:leader="none" w:pos="660" w:val="left"/>
        </w:tabs>
        <w:numPr>
          <w:ilvl w:val="0"/>
          <w:numId w:val="52"/>
        </w:numPr>
        <w:rPr>
          <w:rFonts w:ascii="Arial" w:cs="Arial" w:eastAsia="Arial" w:hAnsi="Arial"/>
          <w:sz w:val="22"/>
          <w:szCs w:val="22"/>
          <w:color w:val="C00000"/>
        </w:rPr>
      </w:pPr>
      <w:r>
        <w:rPr>
          <w:rFonts w:ascii="Arial" w:cs="Arial" w:eastAsia="Arial" w:hAnsi="Arial"/>
          <w:sz w:val="18"/>
          <w:szCs w:val="18"/>
          <w:color w:val="auto"/>
        </w:rPr>
        <w:t>TDP-43 biofluid diagnostic: establish validation-ready assay in Q4</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Analysis of Financial Statements for the quarter ended September 30, 2021</w:t>
      </w:r>
    </w:p>
    <w:p>
      <w:pPr>
        <w:spacing w:after="0" w:line="198" w:lineRule="exact"/>
        <w:rPr>
          <w:sz w:val="20"/>
          <w:szCs w:val="20"/>
          <w:color w:val="auto"/>
        </w:rPr>
      </w:pPr>
    </w:p>
    <w:p>
      <w:pPr>
        <w:jc w:val="both"/>
        <w:ind w:left="660" w:hanging="328"/>
        <w:spacing w:after="0" w:line="232" w:lineRule="auto"/>
        <w:tabs>
          <w:tab w:leader="none" w:pos="660" w:val="left"/>
        </w:tabs>
        <w:numPr>
          <w:ilvl w:val="0"/>
          <w:numId w:val="53"/>
        </w:numPr>
        <w:rPr>
          <w:rFonts w:ascii="Arial" w:cs="Arial" w:eastAsia="Arial" w:hAnsi="Arial"/>
          <w:sz w:val="22"/>
          <w:szCs w:val="22"/>
          <w:color w:val="C00000"/>
        </w:rPr>
      </w:pPr>
      <w:r>
        <w:rPr>
          <w:rFonts w:ascii="Arial" w:cs="Arial" w:eastAsia="Arial" w:hAnsi="Arial"/>
          <w:sz w:val="18"/>
          <w:szCs w:val="18"/>
          <w:b w:val="1"/>
          <w:bCs w:val="1"/>
          <w:color w:val="auto"/>
        </w:rPr>
        <w:t xml:space="preserve">Cash Position: </w:t>
      </w:r>
      <w:r>
        <w:rPr>
          <w:rFonts w:ascii="Arial" w:cs="Arial" w:eastAsia="Arial" w:hAnsi="Arial"/>
          <w:sz w:val="18"/>
          <w:szCs w:val="18"/>
          <w:color w:val="auto"/>
        </w:rPr>
        <w:t>The Company had a total cash balance of CHF 188.6 million, composed of CHF 93.6 million in cash and cash</w:t>
      </w:r>
      <w:r>
        <w:rPr>
          <w:rFonts w:ascii="Arial" w:cs="Arial" w:eastAsia="Arial" w:hAnsi="Arial"/>
          <w:sz w:val="18"/>
          <w:szCs w:val="18"/>
          <w:b w:val="1"/>
          <w:bCs w:val="1"/>
          <w:color w:val="auto"/>
        </w:rPr>
        <w:t xml:space="preserve"> </w:t>
      </w:r>
      <w:r>
        <w:rPr>
          <w:rFonts w:ascii="Arial" w:cs="Arial" w:eastAsia="Arial" w:hAnsi="Arial"/>
          <w:sz w:val="18"/>
          <w:szCs w:val="18"/>
          <w:color w:val="auto"/>
        </w:rPr>
        <w:t>equivalents and CHF 95.0 million in short-term financial assets. This compares to a total cash balance of CHF 225.9 million as of December 31, 2020. The Company’s cash balance provides enough capital resources to progress through at least Q1 2024 without consideration of potential incoming milestone payments.</w:t>
      </w:r>
    </w:p>
    <w:p>
      <w:pPr>
        <w:spacing w:after="0" w:line="208" w:lineRule="exact"/>
        <w:rPr>
          <w:rFonts w:ascii="Arial" w:cs="Arial" w:eastAsia="Arial" w:hAnsi="Arial"/>
          <w:sz w:val="22"/>
          <w:szCs w:val="22"/>
          <w:color w:val="C00000"/>
        </w:rPr>
      </w:pPr>
    </w:p>
    <w:p>
      <w:pPr>
        <w:jc w:val="both"/>
        <w:ind w:left="660" w:hanging="328"/>
        <w:spacing w:after="0" w:line="232" w:lineRule="auto"/>
        <w:tabs>
          <w:tab w:leader="none" w:pos="660" w:val="left"/>
        </w:tabs>
        <w:numPr>
          <w:ilvl w:val="0"/>
          <w:numId w:val="53"/>
        </w:numPr>
        <w:rPr>
          <w:rFonts w:ascii="Arial" w:cs="Arial" w:eastAsia="Arial" w:hAnsi="Arial"/>
          <w:sz w:val="22"/>
          <w:szCs w:val="22"/>
          <w:color w:val="C00000"/>
        </w:rPr>
      </w:pPr>
      <w:r>
        <w:rPr>
          <w:rFonts w:ascii="Arial" w:cs="Arial" w:eastAsia="Arial" w:hAnsi="Arial"/>
          <w:sz w:val="18"/>
          <w:szCs w:val="18"/>
          <w:b w:val="1"/>
          <w:bCs w:val="1"/>
          <w:color w:val="auto"/>
        </w:rPr>
        <w:t xml:space="preserve">Contract Revenues: </w:t>
      </w:r>
      <w:r>
        <w:rPr>
          <w:rFonts w:ascii="Arial" w:cs="Arial" w:eastAsia="Arial" w:hAnsi="Arial"/>
          <w:sz w:val="18"/>
          <w:szCs w:val="18"/>
          <w:color w:val="auto"/>
        </w:rPr>
        <w:t>The Company did not record contract revenues for the three months ended September 30, 2021, a decrease</w:t>
      </w:r>
      <w:r>
        <w:rPr>
          <w:rFonts w:ascii="Arial" w:cs="Arial" w:eastAsia="Arial" w:hAnsi="Arial"/>
          <w:sz w:val="18"/>
          <w:szCs w:val="18"/>
          <w:b w:val="1"/>
          <w:bCs w:val="1"/>
          <w:color w:val="auto"/>
        </w:rPr>
        <w:t xml:space="preserve"> </w:t>
      </w:r>
      <w:r>
        <w:rPr>
          <w:rFonts w:ascii="Arial" w:cs="Arial" w:eastAsia="Arial" w:hAnsi="Arial"/>
          <w:sz w:val="18"/>
          <w:szCs w:val="18"/>
          <w:color w:val="auto"/>
        </w:rPr>
        <w:t>of CHF 1.1 million from the comparable period in 2020. The overall decrease is predominantly related to CHF 1.1 million of contract revenue associated with R&amp;D activities in our agreement with Lilly that were recognized in 2020 and did not repeat in the current period.</w:t>
      </w:r>
    </w:p>
    <w:p>
      <w:pPr>
        <w:spacing w:after="0" w:line="208" w:lineRule="exact"/>
        <w:rPr>
          <w:rFonts w:ascii="Arial" w:cs="Arial" w:eastAsia="Arial" w:hAnsi="Arial"/>
          <w:sz w:val="22"/>
          <w:szCs w:val="22"/>
          <w:color w:val="C00000"/>
        </w:rPr>
      </w:pPr>
    </w:p>
    <w:p>
      <w:pPr>
        <w:ind w:left="660" w:right="20" w:hanging="328"/>
        <w:spacing w:after="0" w:line="230" w:lineRule="auto"/>
        <w:tabs>
          <w:tab w:leader="none" w:pos="660" w:val="left"/>
        </w:tabs>
        <w:numPr>
          <w:ilvl w:val="0"/>
          <w:numId w:val="53"/>
        </w:numPr>
        <w:rPr>
          <w:rFonts w:ascii="Arial" w:cs="Arial" w:eastAsia="Arial" w:hAnsi="Arial"/>
          <w:sz w:val="22"/>
          <w:szCs w:val="22"/>
          <w:color w:val="C00000"/>
        </w:rPr>
      </w:pPr>
      <w:r>
        <w:rPr>
          <w:rFonts w:ascii="Arial" w:cs="Arial" w:eastAsia="Arial" w:hAnsi="Arial"/>
          <w:sz w:val="18"/>
          <w:szCs w:val="18"/>
          <w:b w:val="1"/>
          <w:bCs w:val="1"/>
          <w:color w:val="auto"/>
        </w:rPr>
        <w:t xml:space="preserve">R&amp;D Expenditures: </w:t>
      </w:r>
      <w:r>
        <w:rPr>
          <w:rFonts w:ascii="Arial" w:cs="Arial" w:eastAsia="Arial" w:hAnsi="Arial"/>
          <w:sz w:val="18"/>
          <w:szCs w:val="18"/>
          <w:color w:val="auto"/>
        </w:rPr>
        <w:t>R&amp;D expenses decreased by CHF 0.4 million for the three months ended September 30, 2021, to CHF 15.1</w:t>
      </w:r>
      <w:r>
        <w:rPr>
          <w:rFonts w:ascii="Arial" w:cs="Arial" w:eastAsia="Arial" w:hAnsi="Arial"/>
          <w:sz w:val="18"/>
          <w:szCs w:val="18"/>
          <w:b w:val="1"/>
          <w:bCs w:val="1"/>
          <w:color w:val="auto"/>
        </w:rPr>
        <w:t xml:space="preserve"> </w:t>
      </w:r>
      <w:r>
        <w:rPr>
          <w:rFonts w:ascii="Arial" w:cs="Arial" w:eastAsia="Arial" w:hAnsi="Arial"/>
          <w:sz w:val="18"/>
          <w:szCs w:val="18"/>
          <w:color w:val="auto"/>
        </w:rPr>
        <w:t>million.</w:t>
      </w:r>
    </w:p>
    <w:p>
      <w:pPr>
        <w:sectPr>
          <w:pgSz w:w="11900" w:h="16838" w:orient="portrait"/>
          <w:cols w:equalWidth="0" w:num="1">
            <w:col w:w="11240"/>
          </w:cols>
          <w:pgMar w:left="320" w:top="535" w:right="339" w:bottom="1440" w:gutter="0" w:footer="0" w:header="0"/>
        </w:sectPr>
      </w:pPr>
    </w:p>
    <w:p>
      <w:pPr>
        <w:spacing w:after="0" w:line="207" w:lineRule="exact"/>
        <w:rPr>
          <w:sz w:val="20"/>
          <w:szCs w:val="20"/>
          <w:color w:val="auto"/>
        </w:rPr>
      </w:pPr>
    </w:p>
    <w:p>
      <w:pPr>
        <w:ind w:left="1300" w:hanging="320"/>
        <w:spacing w:after="0" w:line="231" w:lineRule="auto"/>
        <w:tabs>
          <w:tab w:leader="none" w:pos="1300" w:val="left"/>
        </w:tabs>
        <w:numPr>
          <w:ilvl w:val="0"/>
          <w:numId w:val="54"/>
        </w:numPr>
        <w:rPr>
          <w:rFonts w:ascii="Arial" w:cs="Arial" w:eastAsia="Arial" w:hAnsi="Arial"/>
          <w:sz w:val="22"/>
          <w:szCs w:val="22"/>
          <w:color w:val="auto"/>
        </w:rPr>
      </w:pPr>
      <w:r>
        <w:rPr>
          <w:rFonts w:ascii="Arial" w:cs="Arial" w:eastAsia="Arial" w:hAnsi="Arial"/>
          <w:sz w:val="18"/>
          <w:szCs w:val="18"/>
          <w:b w:val="1"/>
          <w:bCs w:val="1"/>
          <w:color w:val="auto"/>
        </w:rPr>
        <w:t xml:space="preserve">Discovery and preclinical expenses (-1.7 million): </w:t>
      </w:r>
      <w:r>
        <w:rPr>
          <w:rFonts w:ascii="Arial" w:cs="Arial" w:eastAsia="Arial" w:hAnsi="Arial"/>
          <w:sz w:val="18"/>
          <w:szCs w:val="18"/>
          <w:color w:val="auto"/>
        </w:rPr>
        <w:t>and preclinical programs. This was predominantly antibodies and other discovery programs.</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ind w:firstLine="38"/>
        <w:spacing w:after="0" w:line="246" w:lineRule="auto"/>
        <w:rPr>
          <w:sz w:val="20"/>
          <w:szCs w:val="20"/>
          <w:color w:val="auto"/>
        </w:rPr>
      </w:pPr>
      <w:r>
        <w:rPr>
          <w:rFonts w:ascii="Arial" w:cs="Arial" w:eastAsia="Arial" w:hAnsi="Arial"/>
          <w:sz w:val="18"/>
          <w:szCs w:val="18"/>
          <w:color w:val="auto"/>
        </w:rPr>
        <w:t>The Company decreased expenditures across a variety of its discovery led by a decrease in investment for the research of alpha-synuclein</w:t>
      </w:r>
    </w:p>
    <w:p>
      <w:pPr>
        <w:spacing w:after="0" w:line="395" w:lineRule="exact"/>
        <w:rPr>
          <w:sz w:val="20"/>
          <w:szCs w:val="20"/>
          <w:color w:val="auto"/>
        </w:rPr>
      </w:pPr>
    </w:p>
    <w:p>
      <w:pPr>
        <w:sectPr>
          <w:pgSz w:w="11900" w:h="16838" w:orient="portrait"/>
          <w:cols w:equalWidth="0" w:num="2">
            <w:col w:w="5520" w:space="0"/>
            <w:col w:w="5720"/>
          </w:cols>
          <w:pgMar w:left="320" w:top="535" w:right="339" w:bottom="1440" w:gutter="0" w:footer="0" w:header="0"/>
          <w:type w:val="continuous"/>
        </w:sectPr>
      </w:pPr>
    </w:p>
    <w:p>
      <w:pPr>
        <w:spacing w:after="0" w:line="9" w:lineRule="exact"/>
        <w:rPr>
          <w:sz w:val="20"/>
          <w:szCs w:val="20"/>
          <w:color w:val="auto"/>
        </w:rPr>
      </w:pPr>
    </w:p>
    <w:p>
      <w:pPr>
        <w:jc w:val="both"/>
        <w:ind w:left="1300" w:hanging="320"/>
        <w:spacing w:after="0" w:line="231" w:lineRule="auto"/>
        <w:tabs>
          <w:tab w:leader="none" w:pos="1300" w:val="left"/>
        </w:tabs>
        <w:numPr>
          <w:ilvl w:val="0"/>
          <w:numId w:val="55"/>
        </w:numPr>
        <w:rPr>
          <w:rFonts w:ascii="Arial" w:cs="Arial" w:eastAsia="Arial" w:hAnsi="Arial"/>
          <w:sz w:val="22"/>
          <w:szCs w:val="22"/>
          <w:color w:val="auto"/>
        </w:rPr>
      </w:pPr>
      <w:r>
        <w:rPr>
          <w:rFonts w:ascii="Arial" w:cs="Arial" w:eastAsia="Arial" w:hAnsi="Arial"/>
          <w:sz w:val="18"/>
          <w:szCs w:val="18"/>
          <w:b w:val="1"/>
          <w:bCs w:val="1"/>
          <w:color w:val="auto"/>
        </w:rPr>
        <w:t xml:space="preserve">Clinical expenses (+0.6 million): </w:t>
      </w:r>
      <w:r>
        <w:rPr>
          <w:rFonts w:ascii="Arial" w:cs="Arial" w:eastAsia="Arial" w:hAnsi="Arial"/>
          <w:sz w:val="18"/>
          <w:szCs w:val="18"/>
          <w:color w:val="auto"/>
        </w:rPr>
        <w:t>The Company increased expenditures across multiple clinical programs, predominantly</w:t>
      </w:r>
      <w:r>
        <w:rPr>
          <w:rFonts w:ascii="Arial" w:cs="Arial" w:eastAsia="Arial" w:hAnsi="Arial"/>
          <w:sz w:val="18"/>
          <w:szCs w:val="18"/>
          <w:b w:val="1"/>
          <w:bCs w:val="1"/>
          <w:color w:val="auto"/>
        </w:rPr>
        <w:t xml:space="preserve"> </w:t>
      </w:r>
      <w:r>
        <w:rPr>
          <w:rFonts w:ascii="Arial" w:cs="Arial" w:eastAsia="Arial" w:hAnsi="Arial"/>
          <w:sz w:val="18"/>
          <w:szCs w:val="18"/>
          <w:color w:val="auto"/>
        </w:rPr>
        <w:t>for ACI-35-030 driven by R&amp;D cost sharing and increased patient enrollments into the Phase 1b/2a study. This increase was offset as the Company incurred less expense for ACI-24 for AD as the prior six-month safety period completed.</w:t>
      </w:r>
    </w:p>
    <w:p>
      <w:pPr>
        <w:spacing w:after="0" w:line="33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13232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35" w:right="339" w:bottom="1440" w:gutter="0" w:footer="0" w:header="0"/>
          <w:type w:val="continuous"/>
        </w:sectPr>
      </w:pPr>
    </w:p>
    <w:bookmarkStart w:id="34" w:name="page35"/>
    <w:bookmarkEnd w:id="34"/>
    <w:p>
      <w:pPr>
        <w:ind w:left="1300" w:hanging="320"/>
        <w:spacing w:after="0" w:line="230" w:lineRule="auto"/>
        <w:tabs>
          <w:tab w:leader="none" w:pos="1300" w:val="left"/>
        </w:tabs>
        <w:numPr>
          <w:ilvl w:val="2"/>
          <w:numId w:val="56"/>
        </w:numPr>
        <w:rPr>
          <w:rFonts w:ascii="Arial" w:cs="Arial" w:eastAsia="Arial" w:hAnsi="Arial"/>
          <w:sz w:val="22"/>
          <w:szCs w:val="22"/>
          <w:color w:val="auto"/>
        </w:rPr>
      </w:pPr>
      <w:r>
        <w:rPr>
          <w:rFonts w:ascii="Arial" w:cs="Arial" w:eastAsia="Arial" w:hAnsi="Arial"/>
          <w:sz w:val="18"/>
          <w:szCs w:val="18"/>
          <w:b w:val="1"/>
          <w:bCs w:val="1"/>
          <w:color w:val="auto"/>
        </w:rPr>
        <w:t xml:space="preserve">Salary- and benefit-related costs (+0.5 million): </w:t>
      </w:r>
      <w:r>
        <w:rPr>
          <w:rFonts w:ascii="Arial" w:cs="Arial" w:eastAsia="Arial" w:hAnsi="Arial"/>
          <w:sz w:val="18"/>
          <w:szCs w:val="18"/>
          <w:color w:val="auto"/>
        </w:rPr>
        <w:t>The Company’s salary- and benefit-related costs increased primarily due</w:t>
      </w:r>
      <w:r>
        <w:rPr>
          <w:rFonts w:ascii="Arial" w:cs="Arial" w:eastAsia="Arial" w:hAnsi="Arial"/>
          <w:sz w:val="18"/>
          <w:szCs w:val="18"/>
          <w:b w:val="1"/>
          <w:bCs w:val="1"/>
          <w:color w:val="auto"/>
        </w:rPr>
        <w:t xml:space="preserve"> </w:t>
      </w:r>
      <w:r>
        <w:rPr>
          <w:rFonts w:ascii="Arial" w:cs="Arial" w:eastAsia="Arial" w:hAnsi="Arial"/>
          <w:sz w:val="18"/>
          <w:szCs w:val="18"/>
          <w:color w:val="auto"/>
        </w:rPr>
        <w:t>to the internal reallocation of certain employees’ salaries and the annualization of 2020 hires.</w:t>
      </w:r>
    </w:p>
    <w:p>
      <w:pPr>
        <w:spacing w:after="0" w:line="207" w:lineRule="exact"/>
        <w:rPr>
          <w:rFonts w:ascii="Arial" w:cs="Arial" w:eastAsia="Arial" w:hAnsi="Arial"/>
          <w:sz w:val="22"/>
          <w:szCs w:val="22"/>
          <w:color w:val="auto"/>
        </w:rPr>
      </w:pPr>
    </w:p>
    <w:p>
      <w:pPr>
        <w:jc w:val="both"/>
        <w:ind w:left="660" w:hanging="328"/>
        <w:spacing w:after="0" w:line="231" w:lineRule="auto"/>
        <w:tabs>
          <w:tab w:leader="none" w:pos="660" w:val="left"/>
        </w:tabs>
        <w:numPr>
          <w:ilvl w:val="0"/>
          <w:numId w:val="56"/>
        </w:numPr>
        <w:rPr>
          <w:rFonts w:ascii="Arial" w:cs="Arial" w:eastAsia="Arial" w:hAnsi="Arial"/>
          <w:sz w:val="22"/>
          <w:szCs w:val="22"/>
          <w:color w:val="C00000"/>
        </w:rPr>
      </w:pPr>
      <w:r>
        <w:rPr>
          <w:rFonts w:ascii="Arial" w:cs="Arial" w:eastAsia="Arial" w:hAnsi="Arial"/>
          <w:sz w:val="18"/>
          <w:szCs w:val="18"/>
          <w:b w:val="1"/>
          <w:bCs w:val="1"/>
          <w:color w:val="auto"/>
        </w:rPr>
        <w:t xml:space="preserve">G&amp;A Expenditures: </w:t>
      </w:r>
      <w:r>
        <w:rPr>
          <w:rFonts w:ascii="Arial" w:cs="Arial" w:eastAsia="Arial" w:hAnsi="Arial"/>
          <w:sz w:val="18"/>
          <w:szCs w:val="18"/>
          <w:color w:val="auto"/>
        </w:rPr>
        <w:t>For the three months ended September 30, 2021, G&amp;A increased by CHF 0.5 million to CHF 5.4 million. This</w:t>
      </w:r>
      <w:r>
        <w:rPr>
          <w:rFonts w:ascii="Arial" w:cs="Arial" w:eastAsia="Arial" w:hAnsi="Arial"/>
          <w:sz w:val="18"/>
          <w:szCs w:val="18"/>
          <w:b w:val="1"/>
          <w:bCs w:val="1"/>
          <w:color w:val="auto"/>
        </w:rPr>
        <w:t xml:space="preserve"> </w:t>
      </w:r>
      <w:r>
        <w:rPr>
          <w:rFonts w:ascii="Arial" w:cs="Arial" w:eastAsia="Arial" w:hAnsi="Arial"/>
          <w:sz w:val="18"/>
          <w:szCs w:val="18"/>
          <w:color w:val="auto"/>
        </w:rPr>
        <w:t>increase is predominantly related to transaction costs incurred to complete the asset acquisition for Affiris' alpha-synuclein portfolio as well as other administrative items.</w:t>
      </w:r>
    </w:p>
    <w:p>
      <w:pPr>
        <w:spacing w:after="0" w:line="208" w:lineRule="exact"/>
        <w:rPr>
          <w:rFonts w:ascii="Arial" w:cs="Arial" w:eastAsia="Arial" w:hAnsi="Arial"/>
          <w:sz w:val="22"/>
          <w:szCs w:val="22"/>
          <w:color w:val="C00000"/>
        </w:rPr>
      </w:pPr>
    </w:p>
    <w:p>
      <w:pPr>
        <w:jc w:val="both"/>
        <w:ind w:left="660" w:hanging="328"/>
        <w:spacing w:after="0" w:line="231" w:lineRule="auto"/>
        <w:tabs>
          <w:tab w:leader="none" w:pos="660" w:val="left"/>
        </w:tabs>
        <w:numPr>
          <w:ilvl w:val="0"/>
          <w:numId w:val="56"/>
        </w:numPr>
        <w:rPr>
          <w:rFonts w:ascii="Arial" w:cs="Arial" w:eastAsia="Arial" w:hAnsi="Arial"/>
          <w:sz w:val="22"/>
          <w:szCs w:val="22"/>
          <w:color w:val="C00000"/>
        </w:rPr>
      </w:pPr>
      <w:r>
        <w:rPr>
          <w:rFonts w:ascii="Arial" w:cs="Arial" w:eastAsia="Arial" w:hAnsi="Arial"/>
          <w:sz w:val="18"/>
          <w:szCs w:val="18"/>
          <w:b w:val="1"/>
          <w:bCs w:val="1"/>
          <w:color w:val="auto"/>
        </w:rPr>
        <w:t xml:space="preserve">Other Operating Income: </w:t>
      </w:r>
      <w:r>
        <w:rPr>
          <w:rFonts w:ascii="Arial" w:cs="Arial" w:eastAsia="Arial" w:hAnsi="Arial"/>
          <w:sz w:val="18"/>
          <w:szCs w:val="18"/>
          <w:color w:val="auto"/>
        </w:rPr>
        <w:t>The Company recognized CHF 0.3 million in grant income for R&amp;D activities performed under our Michael</w:t>
      </w:r>
      <w:r>
        <w:rPr>
          <w:rFonts w:ascii="Arial" w:cs="Arial" w:eastAsia="Arial" w:hAnsi="Arial"/>
          <w:sz w:val="18"/>
          <w:szCs w:val="18"/>
          <w:b w:val="1"/>
          <w:bCs w:val="1"/>
          <w:color w:val="auto"/>
        </w:rPr>
        <w:t xml:space="preserve"> </w:t>
      </w:r>
      <w:r>
        <w:rPr>
          <w:rFonts w:ascii="Arial" w:cs="Arial" w:eastAsia="Arial" w:hAnsi="Arial"/>
          <w:sz w:val="18"/>
          <w:szCs w:val="18"/>
          <w:color w:val="auto"/>
        </w:rPr>
        <w:t>J. Fox Foundation for Parkinson’s Research (MJFF) and Target ALS grants, a decrease of CHF 0.2 million compared to the prior period.</w:t>
      </w:r>
    </w:p>
    <w:p>
      <w:pPr>
        <w:spacing w:after="0" w:line="208" w:lineRule="exact"/>
        <w:rPr>
          <w:rFonts w:ascii="Arial" w:cs="Arial" w:eastAsia="Arial" w:hAnsi="Arial"/>
          <w:sz w:val="22"/>
          <w:szCs w:val="22"/>
          <w:color w:val="C00000"/>
        </w:rPr>
      </w:pPr>
    </w:p>
    <w:p>
      <w:pPr>
        <w:ind w:left="660" w:right="20" w:hanging="328"/>
        <w:spacing w:after="0" w:line="230" w:lineRule="auto"/>
        <w:tabs>
          <w:tab w:leader="none" w:pos="660" w:val="left"/>
        </w:tabs>
        <w:numPr>
          <w:ilvl w:val="0"/>
          <w:numId w:val="56"/>
        </w:numPr>
        <w:rPr>
          <w:rFonts w:ascii="Arial" w:cs="Arial" w:eastAsia="Arial" w:hAnsi="Arial"/>
          <w:sz w:val="22"/>
          <w:szCs w:val="22"/>
          <w:color w:val="C00000"/>
        </w:rPr>
      </w:pPr>
      <w:r>
        <w:rPr>
          <w:rFonts w:ascii="Arial" w:cs="Arial" w:eastAsia="Arial" w:hAnsi="Arial"/>
          <w:sz w:val="18"/>
          <w:szCs w:val="18"/>
          <w:b w:val="1"/>
          <w:bCs w:val="1"/>
          <w:color w:val="auto"/>
        </w:rPr>
        <w:t xml:space="preserve">IFRS Loss for the Period: </w:t>
      </w:r>
      <w:r>
        <w:rPr>
          <w:rFonts w:ascii="Arial" w:cs="Arial" w:eastAsia="Arial" w:hAnsi="Arial"/>
          <w:sz w:val="18"/>
          <w:szCs w:val="18"/>
          <w:color w:val="auto"/>
        </w:rPr>
        <w:t>The Company reported a net loss after taxes of CHF 15.9 million for the three months ended September</w:t>
      </w:r>
      <w:r>
        <w:rPr>
          <w:rFonts w:ascii="Arial" w:cs="Arial" w:eastAsia="Arial" w:hAnsi="Arial"/>
          <w:sz w:val="18"/>
          <w:szCs w:val="18"/>
          <w:b w:val="1"/>
          <w:bCs w:val="1"/>
          <w:color w:val="auto"/>
        </w:rPr>
        <w:t xml:space="preserve"> </w:t>
      </w:r>
      <w:r>
        <w:rPr>
          <w:rFonts w:ascii="Arial" w:cs="Arial" w:eastAsia="Arial" w:hAnsi="Arial"/>
          <w:sz w:val="18"/>
          <w:szCs w:val="18"/>
          <w:color w:val="auto"/>
        </w:rPr>
        <w:t>30, 2021, compared with a net loss of CHF 19.0 million for the comparable period in 2020.</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AC Immune SA</w:t>
      </w:r>
    </w:p>
    <w:p>
      <w:pPr>
        <w:spacing w:after="0" w:line="220" w:lineRule="exact"/>
        <w:rPr>
          <w:sz w:val="20"/>
          <w:szCs w:val="20"/>
          <w:color w:val="auto"/>
        </w:rPr>
      </w:pPr>
    </w:p>
    <w:p>
      <w:pPr>
        <w:jc w:val="both"/>
        <w:spacing w:after="0" w:line="234" w:lineRule="auto"/>
        <w:rPr>
          <w:sz w:val="20"/>
          <w:szCs w:val="20"/>
          <w:color w:val="auto"/>
        </w:rPr>
      </w:pPr>
      <w:r>
        <w:rPr>
          <w:rFonts w:ascii="Arial" w:cs="Arial" w:eastAsia="Arial" w:hAnsi="Arial"/>
          <w:sz w:val="18"/>
          <w:szCs w:val="18"/>
          <w:color w:val="auto"/>
        </w:rPr>
        <w:t>AC Immune SA is clinical-stage biopharmaceutical company that aims to become a global leader in precision medicine for neurodegenerative diseases, including Alzheimer’s disease, Parkinson’s disease, and NeuroOrphan indications driven by misfolded proteins.</w:t>
      </w:r>
    </w:p>
    <w:p>
      <w:pPr>
        <w:spacing w:after="0" w:line="2" w:lineRule="exact"/>
        <w:rPr>
          <w:sz w:val="20"/>
          <w:szCs w:val="20"/>
          <w:color w:val="auto"/>
        </w:rPr>
      </w:pPr>
    </w:p>
    <w:p>
      <w:pPr>
        <w:jc w:val="both"/>
        <w:spacing w:after="0" w:line="220" w:lineRule="auto"/>
        <w:rPr>
          <w:sz w:val="20"/>
          <w:szCs w:val="20"/>
          <w:color w:val="auto"/>
        </w:rPr>
      </w:pPr>
      <w:r>
        <w:rPr>
          <w:rFonts w:ascii="Arial" w:cs="Arial" w:eastAsia="Arial" w:hAnsi="Arial"/>
          <w:sz w:val="18"/>
          <w:szCs w:val="18"/>
          <w:color w:val="auto"/>
        </w:rPr>
        <w:t>The Company’s two clinically validated technology platforms, SupraAntigen</w:t>
      </w:r>
      <w:r>
        <w:rPr>
          <w:rFonts w:ascii="Arial" w:cs="Arial" w:eastAsia="Arial" w:hAnsi="Arial"/>
          <w:sz w:val="29"/>
          <w:szCs w:val="29"/>
          <w:color w:val="auto"/>
          <w:vertAlign w:val="superscript"/>
        </w:rPr>
        <w:t>®</w:t>
      </w:r>
      <w:r>
        <w:rPr>
          <w:rFonts w:ascii="Arial" w:cs="Arial" w:eastAsia="Arial" w:hAnsi="Arial"/>
          <w:sz w:val="18"/>
          <w:szCs w:val="18"/>
          <w:color w:val="auto"/>
        </w:rPr>
        <w:t xml:space="preserve"> and Morphomer</w:t>
      </w:r>
      <w:r>
        <w:rPr>
          <w:rFonts w:ascii="Arial" w:cs="Arial" w:eastAsia="Arial" w:hAnsi="Arial"/>
          <w:sz w:val="29"/>
          <w:szCs w:val="29"/>
          <w:color w:val="auto"/>
          <w:vertAlign w:val="superscript"/>
        </w:rPr>
        <w:t>®</w:t>
      </w:r>
      <w:r>
        <w:rPr>
          <w:rFonts w:ascii="Arial" w:cs="Arial" w:eastAsia="Arial" w:hAnsi="Arial"/>
          <w:sz w:val="18"/>
          <w:szCs w:val="18"/>
          <w:color w:val="auto"/>
        </w:rPr>
        <w:t>, fuel its broad and diversified pipeline of first-and best-in-class assets, which currently features ten therapeutic and three diagnostic candidates, six of which are currently in clinical trials. AC Immune has a strong track record of securing strategic partnerships with leading global pharmaceutical companies including Genentech, a member of the Roche Group, Eli Lilly and Company, and Janssen Pharmaceuticals, Inc., resulting in substantial non-dilutive funding to advance its proprietary programs and &gt;$3 billion in potential milestone payments.</w:t>
      </w:r>
    </w:p>
    <w:p>
      <w:pPr>
        <w:spacing w:after="0" w:line="191" w:lineRule="exact"/>
        <w:rPr>
          <w:sz w:val="20"/>
          <w:szCs w:val="20"/>
          <w:color w:val="auto"/>
        </w:rPr>
      </w:pPr>
    </w:p>
    <w:p>
      <w:pPr>
        <w:jc w:val="both"/>
        <w:spacing w:after="0" w:line="204" w:lineRule="auto"/>
        <w:rPr>
          <w:sz w:val="20"/>
          <w:szCs w:val="20"/>
          <w:color w:val="auto"/>
        </w:rPr>
      </w:pPr>
      <w:r>
        <w:rPr>
          <w:rFonts w:ascii="Arial" w:cs="Arial" w:eastAsia="Arial" w:hAnsi="Arial"/>
          <w:sz w:val="18"/>
          <w:szCs w:val="18"/>
          <w:color w:val="auto"/>
        </w:rPr>
        <w:t>SupraAntigen</w:t>
      </w:r>
      <w:r>
        <w:rPr>
          <w:rFonts w:ascii="Arial" w:cs="Arial" w:eastAsia="Arial" w:hAnsi="Arial"/>
          <w:sz w:val="29"/>
          <w:szCs w:val="29"/>
          <w:color w:val="auto"/>
          <w:vertAlign w:val="superscript"/>
        </w:rPr>
        <w:t>®</w:t>
      </w:r>
      <w:r>
        <w:rPr>
          <w:rFonts w:ascii="Arial" w:cs="Arial" w:eastAsia="Arial" w:hAnsi="Arial"/>
          <w:sz w:val="18"/>
          <w:szCs w:val="18"/>
          <w:color w:val="auto"/>
        </w:rPr>
        <w:t xml:space="preserve"> is a registered trademark of AC Immune SA in the following territories: AU, EU, CH, GB, JP and RU. Morphomer</w:t>
      </w:r>
      <w:r>
        <w:rPr>
          <w:rFonts w:ascii="Arial" w:cs="Arial" w:eastAsia="Arial" w:hAnsi="Arial"/>
          <w:sz w:val="29"/>
          <w:szCs w:val="29"/>
          <w:color w:val="auto"/>
          <w:vertAlign w:val="superscript"/>
        </w:rPr>
        <w:t>®</w:t>
      </w:r>
      <w:r>
        <w:rPr>
          <w:rFonts w:ascii="Arial" w:cs="Arial" w:eastAsia="Arial" w:hAnsi="Arial"/>
          <w:sz w:val="18"/>
          <w:szCs w:val="18"/>
          <w:color w:val="auto"/>
        </w:rPr>
        <w:t xml:space="preserve"> is a registered trademark of AC Immune SA in CN, CH, GB, JP, and NO.</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4280" w:type="dxa"/>
            <w:vAlign w:val="bottom"/>
            <w:gridSpan w:val="3"/>
          </w:tcPr>
          <w:p>
            <w:pPr>
              <w:spacing w:after="0"/>
              <w:rPr>
                <w:sz w:val="20"/>
                <w:szCs w:val="20"/>
                <w:color w:val="auto"/>
              </w:rPr>
            </w:pPr>
            <w:r>
              <w:rPr>
                <w:rFonts w:ascii="Arial" w:cs="Arial" w:eastAsia="Arial" w:hAnsi="Arial"/>
                <w:sz w:val="18"/>
                <w:szCs w:val="18"/>
                <w:b w:val="1"/>
                <w:bCs w:val="1"/>
                <w:color w:val="auto"/>
              </w:rPr>
              <w:t>For further information, please contact:</w:t>
            </w:r>
          </w:p>
        </w:tc>
        <w:tc>
          <w:tcPr>
            <w:tcW w:w="1440" w:type="dxa"/>
            <w:vAlign w:val="bottom"/>
          </w:tcPr>
          <w:p>
            <w:pPr>
              <w:spacing w:after="0"/>
              <w:rPr>
                <w:sz w:val="20"/>
                <w:szCs w:val="20"/>
                <w:color w:val="auto"/>
              </w:rPr>
            </w:pPr>
          </w:p>
        </w:tc>
        <w:tc>
          <w:tcPr>
            <w:tcW w:w="2400" w:type="dxa"/>
            <w:vAlign w:val="bottom"/>
          </w:tcPr>
          <w:p>
            <w:pPr>
              <w:spacing w:after="0"/>
              <w:rPr>
                <w:sz w:val="20"/>
                <w:szCs w:val="20"/>
                <w:color w:val="auto"/>
              </w:rPr>
            </w:pPr>
          </w:p>
        </w:tc>
      </w:tr>
      <w:tr>
        <w:trPr>
          <w:trHeight w:val="391"/>
        </w:trPr>
        <w:tc>
          <w:tcPr>
            <w:tcW w:w="4280" w:type="dxa"/>
            <w:vAlign w:val="bottom"/>
            <w:gridSpan w:val="3"/>
          </w:tcPr>
          <w:p>
            <w:pPr>
              <w:spacing w:after="0"/>
              <w:rPr>
                <w:sz w:val="20"/>
                <w:szCs w:val="20"/>
                <w:color w:val="auto"/>
              </w:rPr>
            </w:pPr>
            <w:r>
              <w:rPr>
                <w:rFonts w:ascii="Arial" w:cs="Arial" w:eastAsia="Arial" w:hAnsi="Arial"/>
                <w:sz w:val="18"/>
                <w:szCs w:val="18"/>
                <w:b w:val="1"/>
                <w:bCs w:val="1"/>
                <w:color w:val="auto"/>
              </w:rPr>
              <w:t>Media Relations</w:t>
            </w:r>
          </w:p>
        </w:tc>
        <w:tc>
          <w:tcPr>
            <w:tcW w:w="3840" w:type="dxa"/>
            <w:vAlign w:val="bottom"/>
            <w:gridSpan w:val="2"/>
          </w:tcPr>
          <w:p>
            <w:pPr>
              <w:ind w:left="900"/>
              <w:spacing w:after="0"/>
              <w:rPr>
                <w:sz w:val="20"/>
                <w:szCs w:val="20"/>
                <w:color w:val="auto"/>
              </w:rPr>
            </w:pPr>
            <w:r>
              <w:rPr>
                <w:rFonts w:ascii="Arial" w:cs="Arial" w:eastAsia="Arial" w:hAnsi="Arial"/>
                <w:sz w:val="18"/>
                <w:szCs w:val="18"/>
                <w:b w:val="1"/>
                <w:bCs w:val="1"/>
                <w:color w:val="auto"/>
              </w:rPr>
              <w:t>Investor Relations</w:t>
            </w:r>
          </w:p>
        </w:tc>
      </w:tr>
      <w:tr>
        <w:trPr>
          <w:trHeight w:val="203"/>
        </w:trPr>
        <w:tc>
          <w:tcPr>
            <w:tcW w:w="4280" w:type="dxa"/>
            <w:vAlign w:val="bottom"/>
            <w:gridSpan w:val="3"/>
          </w:tcPr>
          <w:p>
            <w:pPr>
              <w:spacing w:after="0" w:line="202" w:lineRule="exact"/>
              <w:rPr>
                <w:sz w:val="20"/>
                <w:szCs w:val="20"/>
                <w:color w:val="auto"/>
              </w:rPr>
            </w:pPr>
            <w:r>
              <w:rPr>
                <w:rFonts w:ascii="Arial" w:cs="Arial" w:eastAsia="Arial" w:hAnsi="Arial"/>
                <w:sz w:val="18"/>
                <w:szCs w:val="18"/>
                <w:color w:val="auto"/>
              </w:rPr>
              <w:t>Saoyuth Nidh</w:t>
            </w:r>
          </w:p>
        </w:tc>
        <w:tc>
          <w:tcPr>
            <w:tcW w:w="3840" w:type="dxa"/>
            <w:vAlign w:val="bottom"/>
            <w:gridSpan w:val="2"/>
          </w:tcPr>
          <w:p>
            <w:pPr>
              <w:ind w:left="900"/>
              <w:spacing w:after="0" w:line="202" w:lineRule="exact"/>
              <w:rPr>
                <w:sz w:val="20"/>
                <w:szCs w:val="20"/>
                <w:color w:val="auto"/>
              </w:rPr>
            </w:pPr>
            <w:r>
              <w:rPr>
                <w:rFonts w:ascii="Arial" w:cs="Arial" w:eastAsia="Arial" w:hAnsi="Arial"/>
                <w:sz w:val="18"/>
                <w:szCs w:val="18"/>
                <w:color w:val="auto"/>
              </w:rPr>
              <w:t>Yves Kremer, Ph.D.</w:t>
            </w:r>
          </w:p>
        </w:tc>
      </w:tr>
      <w:tr>
        <w:trPr>
          <w:trHeight w:val="203"/>
        </w:trPr>
        <w:tc>
          <w:tcPr>
            <w:tcW w:w="4280" w:type="dxa"/>
            <w:vAlign w:val="bottom"/>
            <w:gridSpan w:val="3"/>
          </w:tcPr>
          <w:p>
            <w:pPr>
              <w:spacing w:after="0" w:line="202" w:lineRule="exact"/>
              <w:rPr>
                <w:sz w:val="20"/>
                <w:szCs w:val="20"/>
                <w:color w:val="auto"/>
              </w:rPr>
            </w:pPr>
            <w:r>
              <w:rPr>
                <w:rFonts w:ascii="Arial" w:cs="Arial" w:eastAsia="Arial" w:hAnsi="Arial"/>
                <w:sz w:val="18"/>
                <w:szCs w:val="18"/>
                <w:color w:val="auto"/>
              </w:rPr>
              <w:t>AC Immune</w:t>
            </w:r>
          </w:p>
        </w:tc>
        <w:tc>
          <w:tcPr>
            <w:tcW w:w="3840" w:type="dxa"/>
            <w:vAlign w:val="bottom"/>
            <w:gridSpan w:val="2"/>
          </w:tcPr>
          <w:p>
            <w:pPr>
              <w:ind w:left="900"/>
              <w:spacing w:after="0" w:line="202" w:lineRule="exact"/>
              <w:rPr>
                <w:sz w:val="20"/>
                <w:szCs w:val="20"/>
                <w:color w:val="auto"/>
              </w:rPr>
            </w:pPr>
            <w:r>
              <w:rPr>
                <w:rFonts w:ascii="Arial" w:cs="Arial" w:eastAsia="Arial" w:hAnsi="Arial"/>
                <w:sz w:val="18"/>
                <w:szCs w:val="18"/>
                <w:color w:val="auto"/>
              </w:rPr>
              <w:t>AC Immune</w:t>
            </w:r>
          </w:p>
        </w:tc>
      </w:tr>
      <w:tr>
        <w:trPr>
          <w:trHeight w:val="203"/>
        </w:trPr>
        <w:tc>
          <w:tcPr>
            <w:tcW w:w="4280" w:type="dxa"/>
            <w:vAlign w:val="bottom"/>
            <w:gridSpan w:val="3"/>
          </w:tcPr>
          <w:p>
            <w:pPr>
              <w:spacing w:after="0" w:line="202" w:lineRule="exact"/>
              <w:rPr>
                <w:sz w:val="20"/>
                <w:szCs w:val="20"/>
                <w:color w:val="auto"/>
              </w:rPr>
            </w:pPr>
            <w:r>
              <w:rPr>
                <w:rFonts w:ascii="Arial" w:cs="Arial" w:eastAsia="Arial" w:hAnsi="Arial"/>
                <w:sz w:val="18"/>
                <w:szCs w:val="18"/>
                <w:color w:val="auto"/>
              </w:rPr>
              <w:t>Phone: +41 21 345 91 34</w:t>
            </w:r>
          </w:p>
        </w:tc>
        <w:tc>
          <w:tcPr>
            <w:tcW w:w="3840" w:type="dxa"/>
            <w:vAlign w:val="bottom"/>
            <w:gridSpan w:val="2"/>
          </w:tcPr>
          <w:p>
            <w:pPr>
              <w:ind w:left="900"/>
              <w:spacing w:after="0" w:line="202" w:lineRule="exact"/>
              <w:rPr>
                <w:sz w:val="20"/>
                <w:szCs w:val="20"/>
                <w:color w:val="auto"/>
              </w:rPr>
            </w:pPr>
            <w:r>
              <w:rPr>
                <w:rFonts w:ascii="Arial" w:cs="Arial" w:eastAsia="Arial" w:hAnsi="Arial"/>
                <w:sz w:val="18"/>
                <w:szCs w:val="18"/>
                <w:color w:val="auto"/>
              </w:rPr>
              <w:t>Phone: +41 21 345 91 90</w:t>
            </w:r>
          </w:p>
        </w:tc>
      </w:tr>
      <w:tr>
        <w:trPr>
          <w:trHeight w:val="176"/>
        </w:trPr>
        <w:tc>
          <w:tcPr>
            <w:tcW w:w="4280" w:type="dxa"/>
            <w:vAlign w:val="bottom"/>
            <w:gridSpan w:val="3"/>
          </w:tcPr>
          <w:p>
            <w:pPr>
              <w:spacing w:after="0" w:line="176" w:lineRule="exact"/>
              <w:rPr>
                <w:sz w:val="20"/>
                <w:szCs w:val="20"/>
                <w:color w:val="auto"/>
              </w:rPr>
            </w:pPr>
            <w:r>
              <w:rPr>
                <w:rFonts w:ascii="Arial" w:cs="Arial" w:eastAsia="Arial" w:hAnsi="Arial"/>
                <w:sz w:val="18"/>
                <w:szCs w:val="18"/>
                <w:color w:val="auto"/>
              </w:rPr>
              <w:t xml:space="preserve">Email: </w:t>
            </w:r>
            <w:r>
              <w:rPr>
                <w:rFonts w:ascii="Arial" w:cs="Arial" w:eastAsia="Arial" w:hAnsi="Arial"/>
                <w:sz w:val="18"/>
                <w:szCs w:val="18"/>
                <w:color w:val="0000FF"/>
              </w:rPr>
              <w:t>saoyuth.nidh@acimmune.com</w:t>
            </w:r>
          </w:p>
        </w:tc>
        <w:tc>
          <w:tcPr>
            <w:tcW w:w="3840" w:type="dxa"/>
            <w:vAlign w:val="bottom"/>
            <w:gridSpan w:val="2"/>
          </w:tcPr>
          <w:p>
            <w:pPr>
              <w:ind w:left="900"/>
              <w:spacing w:after="0" w:line="176" w:lineRule="exact"/>
              <w:rPr>
                <w:sz w:val="20"/>
                <w:szCs w:val="20"/>
                <w:color w:val="auto"/>
              </w:rPr>
            </w:pPr>
            <w:r>
              <w:rPr>
                <w:rFonts w:ascii="Arial" w:cs="Arial" w:eastAsia="Arial" w:hAnsi="Arial"/>
                <w:sz w:val="18"/>
                <w:szCs w:val="18"/>
                <w:color w:val="auto"/>
                <w:w w:val="99"/>
              </w:rPr>
              <w:t xml:space="preserve">Email: </w:t>
            </w:r>
            <w:r>
              <w:rPr>
                <w:rFonts w:ascii="Arial" w:cs="Arial" w:eastAsia="Arial" w:hAnsi="Arial"/>
                <w:sz w:val="18"/>
                <w:szCs w:val="18"/>
                <w:color w:val="0000FF"/>
                <w:w w:val="99"/>
              </w:rPr>
              <w:t>yves.kremer@acimmune.com</w:t>
            </w:r>
          </w:p>
        </w:tc>
      </w:tr>
      <w:tr>
        <w:trPr>
          <w:trHeight w:val="20"/>
        </w:trPr>
        <w:tc>
          <w:tcPr>
            <w:tcW w:w="560" w:type="dxa"/>
            <w:vAlign w:val="bottom"/>
          </w:tcPr>
          <w:p>
            <w:pPr>
              <w:spacing w:after="0" w:line="20" w:lineRule="exact"/>
              <w:rPr>
                <w:sz w:val="1"/>
                <w:szCs w:val="1"/>
                <w:color w:val="auto"/>
              </w:rPr>
            </w:pPr>
          </w:p>
        </w:tc>
        <w:tc>
          <w:tcPr>
            <w:tcW w:w="2420" w:type="dxa"/>
            <w:vAlign w:val="bottom"/>
            <w:shd w:val="clear" w:color="auto" w:fill="0000FF"/>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400" w:type="dxa"/>
            <w:vAlign w:val="bottom"/>
            <w:shd w:val="clear" w:color="auto" w:fill="0000FF"/>
          </w:tcPr>
          <w:p>
            <w:pPr>
              <w:spacing w:after="0" w:line="20" w:lineRule="exact"/>
              <w:rPr>
                <w:sz w:val="1"/>
                <w:szCs w:val="1"/>
                <w:color w:val="auto"/>
              </w:rPr>
            </w:pPr>
          </w:p>
        </w:tc>
      </w:tr>
    </w:tbl>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3200" w:type="dxa"/>
            <w:vAlign w:val="bottom"/>
            <w:gridSpan w:val="2"/>
          </w:tcPr>
          <w:p>
            <w:pPr>
              <w:spacing w:after="0"/>
              <w:rPr>
                <w:sz w:val="20"/>
                <w:szCs w:val="20"/>
                <w:color w:val="auto"/>
              </w:rPr>
            </w:pPr>
            <w:r>
              <w:rPr>
                <w:rFonts w:ascii="Arial" w:cs="Arial" w:eastAsia="Arial" w:hAnsi="Arial"/>
                <w:sz w:val="18"/>
                <w:szCs w:val="18"/>
                <w:b w:val="1"/>
                <w:bCs w:val="1"/>
                <w:color w:val="auto"/>
              </w:rPr>
              <w:t>U.S. Media</w:t>
            </w:r>
          </w:p>
        </w:tc>
        <w:tc>
          <w:tcPr>
            <w:tcW w:w="4740" w:type="dxa"/>
            <w:vAlign w:val="bottom"/>
            <w:gridSpan w:val="2"/>
          </w:tcPr>
          <w:p>
            <w:pPr>
              <w:ind w:left="1980"/>
              <w:spacing w:after="0"/>
              <w:rPr>
                <w:sz w:val="20"/>
                <w:szCs w:val="20"/>
                <w:color w:val="auto"/>
              </w:rPr>
            </w:pPr>
            <w:r>
              <w:rPr>
                <w:rFonts w:ascii="Arial" w:cs="Arial" w:eastAsia="Arial" w:hAnsi="Arial"/>
                <w:sz w:val="18"/>
                <w:szCs w:val="18"/>
                <w:b w:val="1"/>
                <w:bCs w:val="1"/>
                <w:color w:val="auto"/>
              </w:rPr>
              <w:t>U.S. Investors</w:t>
            </w:r>
          </w:p>
        </w:tc>
      </w:tr>
      <w:tr>
        <w:trPr>
          <w:trHeight w:val="203"/>
        </w:trPr>
        <w:tc>
          <w:tcPr>
            <w:tcW w:w="3200" w:type="dxa"/>
            <w:vAlign w:val="bottom"/>
            <w:gridSpan w:val="2"/>
          </w:tcPr>
          <w:p>
            <w:pPr>
              <w:spacing w:after="0" w:line="202" w:lineRule="exact"/>
              <w:rPr>
                <w:sz w:val="20"/>
                <w:szCs w:val="20"/>
                <w:color w:val="auto"/>
              </w:rPr>
            </w:pPr>
            <w:r>
              <w:rPr>
                <w:rFonts w:ascii="Arial" w:cs="Arial" w:eastAsia="Arial" w:hAnsi="Arial"/>
                <w:sz w:val="18"/>
                <w:szCs w:val="18"/>
                <w:color w:val="auto"/>
              </w:rPr>
              <w:t>Shani Lewis</w:t>
            </w:r>
          </w:p>
        </w:tc>
        <w:tc>
          <w:tcPr>
            <w:tcW w:w="4740" w:type="dxa"/>
            <w:vAlign w:val="bottom"/>
            <w:gridSpan w:val="2"/>
          </w:tcPr>
          <w:p>
            <w:pPr>
              <w:ind w:left="1980"/>
              <w:spacing w:after="0" w:line="202" w:lineRule="exact"/>
              <w:rPr>
                <w:sz w:val="20"/>
                <w:szCs w:val="20"/>
                <w:color w:val="auto"/>
              </w:rPr>
            </w:pPr>
            <w:r>
              <w:rPr>
                <w:rFonts w:ascii="Arial" w:cs="Arial" w:eastAsia="Arial" w:hAnsi="Arial"/>
                <w:sz w:val="18"/>
                <w:szCs w:val="18"/>
                <w:color w:val="auto"/>
              </w:rPr>
              <w:t>Corey Davis, Ph.D.</w:t>
            </w:r>
          </w:p>
        </w:tc>
      </w:tr>
      <w:tr>
        <w:trPr>
          <w:trHeight w:val="203"/>
        </w:trPr>
        <w:tc>
          <w:tcPr>
            <w:tcW w:w="3200" w:type="dxa"/>
            <w:vAlign w:val="bottom"/>
            <w:gridSpan w:val="2"/>
          </w:tcPr>
          <w:p>
            <w:pPr>
              <w:spacing w:after="0" w:line="202" w:lineRule="exact"/>
              <w:rPr>
                <w:sz w:val="20"/>
                <w:szCs w:val="20"/>
                <w:color w:val="auto"/>
              </w:rPr>
            </w:pPr>
            <w:r>
              <w:rPr>
                <w:rFonts w:ascii="Arial" w:cs="Arial" w:eastAsia="Arial" w:hAnsi="Arial"/>
                <w:sz w:val="18"/>
                <w:szCs w:val="18"/>
                <w:color w:val="auto"/>
              </w:rPr>
              <w:t>LaVoie Health Science</w:t>
            </w:r>
          </w:p>
        </w:tc>
        <w:tc>
          <w:tcPr>
            <w:tcW w:w="4740" w:type="dxa"/>
            <w:vAlign w:val="bottom"/>
            <w:gridSpan w:val="2"/>
          </w:tcPr>
          <w:p>
            <w:pPr>
              <w:ind w:left="1980"/>
              <w:spacing w:after="0" w:line="202" w:lineRule="exact"/>
              <w:rPr>
                <w:sz w:val="20"/>
                <w:szCs w:val="20"/>
                <w:color w:val="auto"/>
              </w:rPr>
            </w:pPr>
            <w:r>
              <w:rPr>
                <w:rFonts w:ascii="Arial" w:cs="Arial" w:eastAsia="Arial" w:hAnsi="Arial"/>
                <w:sz w:val="18"/>
                <w:szCs w:val="18"/>
                <w:color w:val="auto"/>
              </w:rPr>
              <w:t>LifeSci Advisors</w:t>
            </w:r>
          </w:p>
        </w:tc>
      </w:tr>
      <w:tr>
        <w:trPr>
          <w:trHeight w:val="203"/>
        </w:trPr>
        <w:tc>
          <w:tcPr>
            <w:tcW w:w="3200" w:type="dxa"/>
            <w:vAlign w:val="bottom"/>
            <w:gridSpan w:val="2"/>
          </w:tcPr>
          <w:p>
            <w:pPr>
              <w:spacing w:after="0" w:line="202" w:lineRule="exact"/>
              <w:rPr>
                <w:sz w:val="20"/>
                <w:szCs w:val="20"/>
                <w:color w:val="auto"/>
              </w:rPr>
            </w:pPr>
            <w:r>
              <w:rPr>
                <w:rFonts w:ascii="Arial" w:cs="Arial" w:eastAsia="Arial" w:hAnsi="Arial"/>
                <w:sz w:val="18"/>
                <w:szCs w:val="18"/>
                <w:color w:val="auto"/>
              </w:rPr>
              <w:t>Phone: +1 609 516 5761</w:t>
            </w:r>
          </w:p>
        </w:tc>
        <w:tc>
          <w:tcPr>
            <w:tcW w:w="4740" w:type="dxa"/>
            <w:vAlign w:val="bottom"/>
            <w:gridSpan w:val="2"/>
          </w:tcPr>
          <w:p>
            <w:pPr>
              <w:ind w:left="1980"/>
              <w:spacing w:after="0" w:line="202" w:lineRule="exact"/>
              <w:rPr>
                <w:sz w:val="20"/>
                <w:szCs w:val="20"/>
                <w:color w:val="auto"/>
              </w:rPr>
            </w:pPr>
            <w:r>
              <w:rPr>
                <w:rFonts w:ascii="Arial" w:cs="Arial" w:eastAsia="Arial" w:hAnsi="Arial"/>
                <w:sz w:val="18"/>
                <w:szCs w:val="18"/>
                <w:color w:val="auto"/>
              </w:rPr>
              <w:t>Phone: +1 212 915 2577</w:t>
            </w:r>
          </w:p>
        </w:tc>
      </w:tr>
      <w:tr>
        <w:trPr>
          <w:trHeight w:val="176"/>
        </w:trPr>
        <w:tc>
          <w:tcPr>
            <w:tcW w:w="3200" w:type="dxa"/>
            <w:vAlign w:val="bottom"/>
            <w:gridSpan w:val="2"/>
          </w:tcPr>
          <w:p>
            <w:pPr>
              <w:spacing w:after="0" w:line="176" w:lineRule="exact"/>
              <w:rPr>
                <w:sz w:val="20"/>
                <w:szCs w:val="20"/>
                <w:color w:val="auto"/>
              </w:rPr>
            </w:pPr>
            <w:r>
              <w:rPr>
                <w:rFonts w:ascii="Arial" w:cs="Arial" w:eastAsia="Arial" w:hAnsi="Arial"/>
                <w:sz w:val="18"/>
                <w:szCs w:val="18"/>
                <w:color w:val="auto"/>
                <w:w w:val="99"/>
              </w:rPr>
              <w:t xml:space="preserve">Email: </w:t>
            </w:r>
            <w:r>
              <w:rPr>
                <w:rFonts w:ascii="Arial" w:cs="Arial" w:eastAsia="Arial" w:hAnsi="Arial"/>
                <w:sz w:val="18"/>
                <w:szCs w:val="18"/>
                <w:color w:val="0000FF"/>
                <w:w w:val="99"/>
              </w:rPr>
              <w:t>slewis@lavoiehealthscience.com</w:t>
            </w:r>
          </w:p>
        </w:tc>
        <w:tc>
          <w:tcPr>
            <w:tcW w:w="4740" w:type="dxa"/>
            <w:vAlign w:val="bottom"/>
            <w:gridSpan w:val="2"/>
          </w:tcPr>
          <w:p>
            <w:pPr>
              <w:ind w:left="1980"/>
              <w:spacing w:after="0" w:line="176" w:lineRule="exact"/>
              <w:rPr>
                <w:sz w:val="20"/>
                <w:szCs w:val="20"/>
                <w:color w:val="auto"/>
              </w:rPr>
            </w:pPr>
            <w:r>
              <w:rPr>
                <w:rFonts w:ascii="Arial" w:cs="Arial" w:eastAsia="Arial" w:hAnsi="Arial"/>
                <w:sz w:val="18"/>
                <w:szCs w:val="18"/>
                <w:color w:val="auto"/>
                <w:w w:val="99"/>
              </w:rPr>
              <w:t xml:space="preserve">Email: </w:t>
            </w:r>
            <w:r>
              <w:rPr>
                <w:rFonts w:ascii="Arial" w:cs="Arial" w:eastAsia="Arial" w:hAnsi="Arial"/>
                <w:sz w:val="18"/>
                <w:szCs w:val="18"/>
                <w:color w:val="0000FF"/>
                <w:w w:val="99"/>
              </w:rPr>
              <w:t>cdavis@lifesciadvisors.com</w:t>
            </w:r>
          </w:p>
        </w:tc>
      </w:tr>
      <w:tr>
        <w:trPr>
          <w:trHeight w:val="20"/>
        </w:trPr>
        <w:tc>
          <w:tcPr>
            <w:tcW w:w="560" w:type="dxa"/>
            <w:vAlign w:val="bottom"/>
          </w:tcPr>
          <w:p>
            <w:pPr>
              <w:spacing w:after="0" w:line="20" w:lineRule="exact"/>
              <w:rPr>
                <w:sz w:val="1"/>
                <w:szCs w:val="1"/>
                <w:color w:val="auto"/>
              </w:rPr>
            </w:pPr>
          </w:p>
        </w:tc>
        <w:tc>
          <w:tcPr>
            <w:tcW w:w="2640" w:type="dxa"/>
            <w:vAlign w:val="bottom"/>
            <w:shd w:val="clear" w:color="auto" w:fill="0000FF"/>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2220" w:type="dxa"/>
            <w:vAlign w:val="bottom"/>
            <w:shd w:val="clear" w:color="auto" w:fill="0000FF"/>
          </w:tcPr>
          <w:p>
            <w:pPr>
              <w:spacing w:after="0" w:line="20" w:lineRule="exact"/>
              <w:rPr>
                <w:sz w:val="1"/>
                <w:szCs w:val="1"/>
                <w:color w:val="auto"/>
              </w:rPr>
            </w:pPr>
          </w:p>
        </w:tc>
      </w:tr>
    </w:tbl>
    <w:p>
      <w:pPr>
        <w:spacing w:after="0" w:line="36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35" w:name="page36"/>
    <w:bookmarkEnd w:id="35"/>
    <w:p>
      <w:pPr>
        <w:spacing w:after="0"/>
        <w:rPr>
          <w:sz w:val="20"/>
          <w:szCs w:val="20"/>
          <w:color w:val="auto"/>
        </w:rPr>
      </w:pPr>
      <w:r>
        <w:rPr>
          <w:rFonts w:ascii="Arial" w:cs="Arial" w:eastAsia="Arial" w:hAnsi="Arial"/>
          <w:sz w:val="18"/>
          <w:szCs w:val="18"/>
          <w:b w:val="1"/>
          <w:bCs w:val="1"/>
          <w:color w:val="auto"/>
        </w:rPr>
        <w:t>Forward looking statements</w:t>
      </w:r>
    </w:p>
    <w:p>
      <w:pPr>
        <w:spacing w:after="0" w:line="220"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This press release contains statements that constitute “forward-looking statements” within the meaning of Section 27A of the Securities Act of 1933 and Section 21E of the Securities Exchange Act of 1934. Forward-looking statements are statements other than historical fact and may include statements that address future operating, financial or business performance or AC Immune’s strategies or expectations. In some cases, you can identify these statements by forward-looking words such as “may,” “might,” “will,” “should,” “expects,” “plans,” “anticipates,” “believes,” “estimates,” “predicts,” “projects,” “potential,” “outlook” or “continue,” and other comparable terminology. Forward-looking statements are based on management’s current expectations and beliefs and involve significant risks and uncertainties that could cause actual results, developments and business decisions to differ materially from those contemplated by these statements. These risks and uncertainties include those described under the captions “Item 3. Key Information – Risk Factors” and “Item 5. Operating and Financial Review and Prospects” in AC Immune’s Annual Report on Form 20-F and other filings with the Securities and Exchange Commission. These include: the impact of Covid-19 on our business, suppliers, patients and employees and any other impact of Covid-19. Forward-looking statements speak only as of the date they are made, and AC Immune does not undertake any obligation to update them in light of new information, future developments or otherwise, except as may be required under applicable law. All forward-looking statements are qualified in their entirety by this cautionary statement.</w:t>
      </w:r>
    </w:p>
    <w:p>
      <w:pPr>
        <w:spacing w:after="0" w:line="29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13232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36" w:name="page37"/>
    <w:bookmarkEnd w:id="36"/>
    <w:p>
      <w:pPr>
        <w:jc w:val="center"/>
        <w:spacing w:after="0"/>
        <w:rPr>
          <w:sz w:val="20"/>
          <w:szCs w:val="20"/>
          <w:color w:val="auto"/>
        </w:rPr>
      </w:pPr>
      <w:r>
        <w:rPr>
          <w:rFonts w:ascii="Arial" w:cs="Arial" w:eastAsia="Arial" w:hAnsi="Arial"/>
          <w:sz w:val="20"/>
          <w:szCs w:val="20"/>
          <w:b w:val="1"/>
          <w:bCs w:val="1"/>
          <w:color w:val="auto"/>
        </w:rPr>
        <w:t>Balance Sheets</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(In CHF thousands)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440" w:type="dxa"/>
            <w:vAlign w:val="bottom"/>
          </w:tcPr>
          <w:p>
            <w:pPr>
              <w:spacing w:after="0"/>
              <w:rPr>
                <w:sz w:val="17"/>
                <w:szCs w:val="17"/>
                <w:color w:val="auto"/>
              </w:rPr>
            </w:pPr>
          </w:p>
        </w:tc>
        <w:tc>
          <w:tcPr>
            <w:tcW w:w="146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7"/>
              </w:rPr>
              <w:t>As of</w:t>
            </w:r>
          </w:p>
        </w:tc>
        <w:tc>
          <w:tcPr>
            <w:tcW w:w="1340" w:type="dxa"/>
            <w:vAlign w:val="bottom"/>
            <w:gridSpan w:val="2"/>
          </w:tcPr>
          <w:p>
            <w:pPr>
              <w:jc w:val="center"/>
              <w:spacing w:after="0"/>
              <w:rPr>
                <w:sz w:val="20"/>
                <w:szCs w:val="20"/>
                <w:color w:val="auto"/>
              </w:rPr>
            </w:pPr>
            <w:r>
              <w:rPr>
                <w:rFonts w:ascii="Arial" w:cs="Arial" w:eastAsia="Arial" w:hAnsi="Arial"/>
                <w:sz w:val="18"/>
                <w:szCs w:val="18"/>
                <w:b w:val="1"/>
                <w:bCs w:val="1"/>
                <w:color w:val="auto"/>
              </w:rPr>
              <w:t>As of</w:t>
            </w:r>
          </w:p>
        </w:tc>
        <w:tc>
          <w:tcPr>
            <w:tcW w:w="0" w:type="dxa"/>
            <w:vAlign w:val="bottom"/>
          </w:tcPr>
          <w:p>
            <w:pPr>
              <w:spacing w:after="0"/>
              <w:rPr>
                <w:sz w:val="1"/>
                <w:szCs w:val="1"/>
                <w:color w:val="auto"/>
              </w:rPr>
            </w:pPr>
          </w:p>
        </w:tc>
      </w:tr>
      <w:tr>
        <w:trPr>
          <w:trHeight w:val="203"/>
        </w:trPr>
        <w:tc>
          <w:tcPr>
            <w:tcW w:w="8440" w:type="dxa"/>
            <w:vAlign w:val="bottom"/>
          </w:tcPr>
          <w:p>
            <w:pPr>
              <w:spacing w:after="0"/>
              <w:rPr>
                <w:sz w:val="17"/>
                <w:szCs w:val="17"/>
                <w:color w:val="auto"/>
              </w:rPr>
            </w:pPr>
          </w:p>
        </w:tc>
        <w:tc>
          <w:tcPr>
            <w:tcW w:w="1460" w:type="dxa"/>
            <w:vAlign w:val="bottom"/>
            <w:gridSpan w:val="3"/>
          </w:tcPr>
          <w:p>
            <w:pPr>
              <w:jc w:val="center"/>
              <w:ind w:right="100"/>
              <w:spacing w:after="0" w:line="202" w:lineRule="exact"/>
              <w:rPr>
                <w:sz w:val="20"/>
                <w:szCs w:val="20"/>
                <w:color w:val="auto"/>
              </w:rPr>
            </w:pPr>
            <w:r>
              <w:rPr>
                <w:rFonts w:ascii="Arial" w:cs="Arial" w:eastAsia="Arial" w:hAnsi="Arial"/>
                <w:sz w:val="18"/>
                <w:szCs w:val="18"/>
                <w:b w:val="1"/>
                <w:bCs w:val="1"/>
                <w:color w:val="auto"/>
              </w:rPr>
              <w:t>September 30,</w:t>
            </w:r>
          </w:p>
        </w:tc>
        <w:tc>
          <w:tcPr>
            <w:tcW w:w="1340" w:type="dxa"/>
            <w:vAlign w:val="bottom"/>
            <w:gridSpan w:val="2"/>
          </w:tcPr>
          <w:p>
            <w:pPr>
              <w:jc w:val="center"/>
              <w:spacing w:after="0" w:line="202" w:lineRule="exact"/>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25"/>
        </w:trPr>
        <w:tc>
          <w:tcPr>
            <w:tcW w:w="8440" w:type="dxa"/>
            <w:vAlign w:val="bottom"/>
            <w:vMerge w:val="restart"/>
          </w:tcPr>
          <w:p>
            <w:pPr>
              <w:spacing w:after="0"/>
              <w:rPr>
                <w:sz w:val="20"/>
                <w:szCs w:val="20"/>
                <w:color w:val="auto"/>
              </w:rPr>
            </w:pPr>
            <w:r>
              <w:rPr>
                <w:rFonts w:ascii="Arial" w:cs="Arial" w:eastAsia="Arial" w:hAnsi="Arial"/>
                <w:sz w:val="18"/>
                <w:szCs w:val="18"/>
                <w:b w:val="1"/>
                <w:bCs w:val="1"/>
                <w:color w:val="auto"/>
              </w:rPr>
              <w:t>ASSETS</w:t>
            </w:r>
          </w:p>
        </w:tc>
        <w:tc>
          <w:tcPr>
            <w:tcW w:w="1240" w:type="dxa"/>
            <w:vAlign w:val="bottom"/>
            <w:tcBorders>
              <w:bottom w:val="single" w:sz="8" w:color="auto"/>
            </w:tcBorders>
          </w:tcPr>
          <w:p>
            <w:pPr>
              <w:jc w:val="center"/>
              <w:ind w:left="30"/>
              <w:spacing w:after="0"/>
              <w:rPr>
                <w:sz w:val="20"/>
                <w:szCs w:val="20"/>
                <w:color w:val="auto"/>
              </w:rPr>
            </w:pPr>
            <w:r>
              <w:rPr>
                <w:rFonts w:ascii="Arial" w:cs="Arial" w:eastAsia="Arial" w:hAnsi="Arial"/>
                <w:sz w:val="18"/>
                <w:szCs w:val="18"/>
                <w:b w:val="1"/>
                <w:bCs w:val="1"/>
                <w:color w:val="auto"/>
                <w:w w:val="99"/>
              </w:rPr>
              <w:t>2021</w:t>
            </w:r>
          </w:p>
        </w:tc>
        <w:tc>
          <w:tcPr>
            <w:tcW w:w="1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tcBorders>
              <w:bottom w:val="single" w:sz="8" w:color="auto"/>
            </w:tcBorders>
          </w:tcPr>
          <w:p>
            <w:pPr>
              <w:jc w:val="center"/>
              <w:ind w:left="30"/>
              <w:spacing w:after="0"/>
              <w:rPr>
                <w:sz w:val="20"/>
                <w:szCs w:val="20"/>
                <w:color w:val="auto"/>
              </w:rPr>
            </w:pPr>
            <w:r>
              <w:rPr>
                <w:rFonts w:ascii="Arial" w:cs="Arial" w:eastAsia="Arial" w:hAnsi="Arial"/>
                <w:sz w:val="18"/>
                <w:szCs w:val="18"/>
                <w:b w:val="1"/>
                <w:bCs w:val="1"/>
                <w:color w:val="auto"/>
                <w:w w:val="99"/>
              </w:rPr>
              <w:t>2020</w:t>
            </w:r>
          </w:p>
        </w:tc>
        <w:tc>
          <w:tcPr>
            <w:tcW w:w="1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8440" w:type="dxa"/>
            <w:vAlign w:val="bottom"/>
            <w:vMerge w:val="continue"/>
          </w:tcPr>
          <w:p>
            <w:pPr>
              <w:spacing w:after="0"/>
              <w:rPr>
                <w:sz w:val="15"/>
                <w:szCs w:val="15"/>
                <w:color w:val="auto"/>
              </w:rPr>
            </w:pPr>
          </w:p>
        </w:tc>
        <w:tc>
          <w:tcPr>
            <w:tcW w:w="1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5"/>
        </w:trPr>
        <w:tc>
          <w:tcPr>
            <w:tcW w:w="8440" w:type="dxa"/>
            <w:vAlign w:val="bottom"/>
          </w:tcPr>
          <w:p>
            <w:pPr>
              <w:spacing w:after="0"/>
              <w:rPr>
                <w:sz w:val="20"/>
                <w:szCs w:val="20"/>
                <w:color w:val="auto"/>
              </w:rPr>
            </w:pPr>
            <w:r>
              <w:rPr>
                <w:rFonts w:ascii="Arial" w:cs="Arial" w:eastAsia="Arial" w:hAnsi="Arial"/>
                <w:sz w:val="18"/>
                <w:szCs w:val="18"/>
                <w:b w:val="1"/>
                <w:bCs w:val="1"/>
                <w:color w:val="auto"/>
              </w:rPr>
              <w:t>Non-current assets</w:t>
            </w: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8440" w:type="dxa"/>
            <w:vAlign w:val="bottom"/>
            <w:shd w:val="clear" w:color="auto" w:fill="D5EAEA"/>
          </w:tcPr>
          <w:p>
            <w:pPr>
              <w:ind w:left="180"/>
              <w:spacing w:after="0" w:line="202" w:lineRule="exact"/>
              <w:rPr>
                <w:sz w:val="20"/>
                <w:szCs w:val="20"/>
                <w:color w:val="auto"/>
              </w:rPr>
            </w:pPr>
            <w:r>
              <w:rPr>
                <w:rFonts w:ascii="Arial" w:cs="Arial" w:eastAsia="Arial" w:hAnsi="Arial"/>
                <w:sz w:val="18"/>
                <w:szCs w:val="18"/>
                <w:color w:val="auto"/>
              </w:rPr>
              <w:t>Property, plant and equipment</w:t>
            </w:r>
          </w:p>
        </w:tc>
        <w:tc>
          <w:tcPr>
            <w:tcW w:w="1360" w:type="dxa"/>
            <w:vAlign w:val="bottom"/>
            <w:gridSpan w:val="2"/>
            <w:shd w:val="clear" w:color="auto" w:fill="D5EAEA"/>
          </w:tcPr>
          <w:p>
            <w:pPr>
              <w:jc w:val="right"/>
              <w:ind w:right="120"/>
              <w:spacing w:after="0" w:line="202" w:lineRule="exact"/>
              <w:rPr>
                <w:sz w:val="20"/>
                <w:szCs w:val="20"/>
                <w:color w:val="auto"/>
              </w:rPr>
            </w:pPr>
            <w:r>
              <w:rPr>
                <w:rFonts w:ascii="Arial" w:cs="Arial" w:eastAsia="Arial" w:hAnsi="Arial"/>
                <w:sz w:val="18"/>
                <w:szCs w:val="18"/>
                <w:color w:val="auto"/>
              </w:rPr>
              <w:t>5,054</w:t>
            </w:r>
          </w:p>
        </w:tc>
        <w:tc>
          <w:tcPr>
            <w:tcW w:w="100" w:type="dxa"/>
            <w:vAlign w:val="bottom"/>
            <w:shd w:val="clear" w:color="auto" w:fill="D5EAEA"/>
          </w:tcPr>
          <w:p>
            <w:pPr>
              <w:spacing w:after="0"/>
              <w:rPr>
                <w:sz w:val="17"/>
                <w:szCs w:val="17"/>
                <w:color w:val="auto"/>
              </w:rPr>
            </w:pPr>
          </w:p>
        </w:tc>
        <w:tc>
          <w:tcPr>
            <w:tcW w:w="1340" w:type="dxa"/>
            <w:vAlign w:val="bottom"/>
            <w:gridSpan w:val="2"/>
            <w:shd w:val="clear" w:color="auto" w:fill="D5EAEA"/>
          </w:tcPr>
          <w:p>
            <w:pPr>
              <w:jc w:val="right"/>
              <w:ind w:right="100"/>
              <w:spacing w:after="0" w:line="202" w:lineRule="exact"/>
              <w:rPr>
                <w:sz w:val="20"/>
                <w:szCs w:val="20"/>
                <w:color w:val="auto"/>
              </w:rPr>
            </w:pPr>
            <w:r>
              <w:rPr>
                <w:rFonts w:ascii="Arial" w:cs="Arial" w:eastAsia="Arial" w:hAnsi="Arial"/>
                <w:sz w:val="18"/>
                <w:szCs w:val="18"/>
                <w:color w:val="auto"/>
              </w:rPr>
              <w:t>4,416</w:t>
            </w:r>
          </w:p>
        </w:tc>
        <w:tc>
          <w:tcPr>
            <w:tcW w:w="0" w:type="dxa"/>
            <w:vAlign w:val="bottom"/>
          </w:tcPr>
          <w:p>
            <w:pPr>
              <w:spacing w:after="0"/>
              <w:rPr>
                <w:sz w:val="1"/>
                <w:szCs w:val="1"/>
                <w:color w:val="auto"/>
              </w:rPr>
            </w:pPr>
          </w:p>
        </w:tc>
      </w:tr>
      <w:tr>
        <w:trPr>
          <w:trHeight w:val="203"/>
        </w:trPr>
        <w:tc>
          <w:tcPr>
            <w:tcW w:w="8440" w:type="dxa"/>
            <w:vAlign w:val="bottom"/>
          </w:tcPr>
          <w:p>
            <w:pPr>
              <w:ind w:left="180"/>
              <w:spacing w:after="0" w:line="202" w:lineRule="exact"/>
              <w:rPr>
                <w:sz w:val="20"/>
                <w:szCs w:val="20"/>
                <w:color w:val="auto"/>
              </w:rPr>
            </w:pPr>
            <w:r>
              <w:rPr>
                <w:rFonts w:ascii="Arial" w:cs="Arial" w:eastAsia="Arial" w:hAnsi="Arial"/>
                <w:sz w:val="18"/>
                <w:szCs w:val="18"/>
                <w:color w:val="auto"/>
              </w:rPr>
              <w:t>Right-of-use assets</w:t>
            </w:r>
          </w:p>
        </w:tc>
        <w:tc>
          <w:tcPr>
            <w:tcW w:w="136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2,572</w:t>
            </w:r>
          </w:p>
        </w:tc>
        <w:tc>
          <w:tcPr>
            <w:tcW w:w="100" w:type="dxa"/>
            <w:vAlign w:val="bottom"/>
          </w:tcPr>
          <w:p>
            <w:pPr>
              <w:spacing w:after="0"/>
              <w:rPr>
                <w:sz w:val="17"/>
                <w:szCs w:val="17"/>
                <w:color w:val="auto"/>
              </w:rPr>
            </w:pPr>
          </w:p>
        </w:tc>
        <w:tc>
          <w:tcPr>
            <w:tcW w:w="13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2,223</w:t>
            </w:r>
          </w:p>
        </w:tc>
        <w:tc>
          <w:tcPr>
            <w:tcW w:w="0" w:type="dxa"/>
            <w:vAlign w:val="bottom"/>
          </w:tcPr>
          <w:p>
            <w:pPr>
              <w:spacing w:after="0"/>
              <w:rPr>
                <w:sz w:val="1"/>
                <w:szCs w:val="1"/>
                <w:color w:val="auto"/>
              </w:rPr>
            </w:pPr>
          </w:p>
        </w:tc>
      </w:tr>
      <w:tr>
        <w:trPr>
          <w:trHeight w:val="203"/>
        </w:trPr>
        <w:tc>
          <w:tcPr>
            <w:tcW w:w="8440" w:type="dxa"/>
            <w:vAlign w:val="bottom"/>
            <w:shd w:val="clear" w:color="auto" w:fill="D5EAEA"/>
          </w:tcPr>
          <w:p>
            <w:pPr>
              <w:ind w:left="180"/>
              <w:spacing w:after="0" w:line="202" w:lineRule="exact"/>
              <w:rPr>
                <w:sz w:val="20"/>
                <w:szCs w:val="20"/>
                <w:color w:val="auto"/>
              </w:rPr>
            </w:pPr>
            <w:r>
              <w:rPr>
                <w:rFonts w:ascii="Arial" w:cs="Arial" w:eastAsia="Arial" w:hAnsi="Arial"/>
                <w:sz w:val="18"/>
                <w:szCs w:val="18"/>
                <w:color w:val="auto"/>
              </w:rPr>
              <w:t>Long-term accrued income</w:t>
            </w:r>
          </w:p>
        </w:tc>
        <w:tc>
          <w:tcPr>
            <w:tcW w:w="1360" w:type="dxa"/>
            <w:vAlign w:val="bottom"/>
            <w:gridSpan w:val="2"/>
            <w:shd w:val="clear" w:color="auto" w:fill="D5EAEA"/>
          </w:tcPr>
          <w:p>
            <w:pPr>
              <w:jc w:val="right"/>
              <w:ind w:right="120"/>
              <w:spacing w:after="0" w:line="202" w:lineRule="exact"/>
              <w:rPr>
                <w:sz w:val="20"/>
                <w:szCs w:val="20"/>
                <w:color w:val="auto"/>
              </w:rPr>
            </w:pPr>
            <w:r>
              <w:rPr>
                <w:rFonts w:ascii="Arial" w:cs="Arial" w:eastAsia="Arial" w:hAnsi="Arial"/>
                <w:sz w:val="18"/>
                <w:szCs w:val="18"/>
                <w:color w:val="auto"/>
              </w:rPr>
              <w:t>31</w:t>
            </w:r>
          </w:p>
        </w:tc>
        <w:tc>
          <w:tcPr>
            <w:tcW w:w="100" w:type="dxa"/>
            <w:vAlign w:val="bottom"/>
            <w:shd w:val="clear" w:color="auto" w:fill="D5EAEA"/>
          </w:tcPr>
          <w:p>
            <w:pPr>
              <w:spacing w:after="0"/>
              <w:rPr>
                <w:sz w:val="17"/>
                <w:szCs w:val="17"/>
                <w:color w:val="auto"/>
              </w:rPr>
            </w:pPr>
          </w:p>
        </w:tc>
        <w:tc>
          <w:tcPr>
            <w:tcW w:w="1340" w:type="dxa"/>
            <w:vAlign w:val="bottom"/>
            <w:gridSpan w:val="2"/>
            <w:shd w:val="clear" w:color="auto" w:fill="D5EAEA"/>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440" w:type="dxa"/>
            <w:vAlign w:val="bottom"/>
          </w:tcPr>
          <w:p>
            <w:pPr>
              <w:ind w:left="180"/>
              <w:spacing w:after="0"/>
              <w:rPr>
                <w:sz w:val="20"/>
                <w:szCs w:val="20"/>
                <w:color w:val="auto"/>
              </w:rPr>
            </w:pPr>
            <w:r>
              <w:rPr>
                <w:rFonts w:ascii="Arial" w:cs="Arial" w:eastAsia="Arial" w:hAnsi="Arial"/>
                <w:sz w:val="18"/>
                <w:szCs w:val="18"/>
                <w:color w:val="auto"/>
              </w:rPr>
              <w:t>Long-term financial assets</w:t>
            </w:r>
          </w:p>
        </w:tc>
        <w:tc>
          <w:tcPr>
            <w:tcW w:w="1360" w:type="dxa"/>
            <w:vAlign w:val="bottom"/>
            <w:gridSpan w:val="2"/>
          </w:tcPr>
          <w:p>
            <w:pPr>
              <w:jc w:val="right"/>
              <w:ind w:right="120"/>
              <w:spacing w:after="0"/>
              <w:rPr>
                <w:sz w:val="20"/>
                <w:szCs w:val="20"/>
                <w:color w:val="auto"/>
              </w:rPr>
            </w:pPr>
            <w:r>
              <w:rPr>
                <w:rFonts w:ascii="Arial" w:cs="Arial" w:eastAsia="Arial" w:hAnsi="Arial"/>
                <w:sz w:val="18"/>
                <w:szCs w:val="18"/>
                <w:color w:val="auto"/>
              </w:rPr>
              <w:t>363</w:t>
            </w:r>
          </w:p>
        </w:tc>
        <w:tc>
          <w:tcPr>
            <w:tcW w:w="10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334</w:t>
            </w:r>
          </w:p>
        </w:tc>
        <w:tc>
          <w:tcPr>
            <w:tcW w:w="0" w:type="dxa"/>
            <w:vAlign w:val="bottom"/>
          </w:tcPr>
          <w:p>
            <w:pPr>
              <w:spacing w:after="0"/>
              <w:rPr>
                <w:sz w:val="1"/>
                <w:szCs w:val="1"/>
                <w:color w:val="auto"/>
              </w:rPr>
            </w:pPr>
          </w:p>
        </w:tc>
      </w:tr>
      <w:tr>
        <w:trPr>
          <w:trHeight w:val="20"/>
        </w:trPr>
        <w:tc>
          <w:tcPr>
            <w:tcW w:w="8440" w:type="dxa"/>
            <w:vAlign w:val="bottom"/>
            <w:vMerge w:val="restart"/>
            <w:shd w:val="clear" w:color="auto" w:fill="D5EAEA"/>
          </w:tcPr>
          <w:p>
            <w:pPr>
              <w:spacing w:after="0"/>
              <w:rPr>
                <w:sz w:val="20"/>
                <w:szCs w:val="20"/>
                <w:color w:val="auto"/>
              </w:rPr>
            </w:pPr>
            <w:r>
              <w:rPr>
                <w:rFonts w:ascii="Arial" w:cs="Arial" w:eastAsia="Arial" w:hAnsi="Arial"/>
                <w:sz w:val="18"/>
                <w:szCs w:val="18"/>
                <w:b w:val="1"/>
                <w:bCs w:val="1"/>
                <w:color w:val="auto"/>
              </w:rPr>
              <w:t>Total non-current assets</w:t>
            </w:r>
          </w:p>
        </w:tc>
        <w:tc>
          <w:tcPr>
            <w:tcW w:w="1240" w:type="dxa"/>
            <w:vAlign w:val="bottom"/>
            <w:shd w:val="clear" w:color="auto" w:fill="000000"/>
          </w:tcPr>
          <w:p>
            <w:pPr>
              <w:spacing w:after="0" w:line="20" w:lineRule="exact"/>
              <w:rPr>
                <w:sz w:val="1"/>
                <w:szCs w:val="1"/>
                <w:color w:val="auto"/>
              </w:rPr>
            </w:pPr>
          </w:p>
        </w:tc>
        <w:tc>
          <w:tcPr>
            <w:tcW w:w="120" w:type="dxa"/>
            <w:vAlign w:val="bottom"/>
            <w:shd w:val="clear" w:color="auto" w:fill="D5EAEA"/>
          </w:tcPr>
          <w:p>
            <w:pPr>
              <w:spacing w:after="0" w:line="20" w:lineRule="exact"/>
              <w:rPr>
                <w:sz w:val="1"/>
                <w:szCs w:val="1"/>
                <w:color w:val="auto"/>
              </w:rPr>
            </w:pPr>
          </w:p>
        </w:tc>
        <w:tc>
          <w:tcPr>
            <w:tcW w:w="100" w:type="dxa"/>
            <w:vAlign w:val="bottom"/>
            <w:shd w:val="clear" w:color="auto" w:fill="D5EAEA"/>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00" w:type="dxa"/>
            <w:vAlign w:val="bottom"/>
            <w:shd w:val="clear" w:color="auto" w:fill="D5EAEA"/>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440" w:type="dxa"/>
            <w:vAlign w:val="bottom"/>
            <w:vMerge w:val="continue"/>
            <w:shd w:val="clear" w:color="auto" w:fill="D5EAEA"/>
          </w:tcPr>
          <w:p>
            <w:pPr>
              <w:spacing w:after="0"/>
              <w:rPr>
                <w:sz w:val="18"/>
                <w:szCs w:val="18"/>
                <w:color w:val="auto"/>
              </w:rPr>
            </w:pPr>
          </w:p>
        </w:tc>
        <w:tc>
          <w:tcPr>
            <w:tcW w:w="1360" w:type="dxa"/>
            <w:vAlign w:val="bottom"/>
            <w:gridSpan w:val="2"/>
            <w:shd w:val="clear" w:color="auto" w:fill="D5EAEA"/>
          </w:tcPr>
          <w:p>
            <w:pPr>
              <w:jc w:val="right"/>
              <w:ind w:right="120"/>
              <w:spacing w:after="0"/>
              <w:rPr>
                <w:sz w:val="20"/>
                <w:szCs w:val="20"/>
                <w:color w:val="auto"/>
              </w:rPr>
            </w:pPr>
            <w:r>
              <w:rPr>
                <w:rFonts w:ascii="Arial" w:cs="Arial" w:eastAsia="Arial" w:hAnsi="Arial"/>
                <w:sz w:val="18"/>
                <w:szCs w:val="18"/>
                <w:color w:val="auto"/>
              </w:rPr>
              <w:t>8,020</w:t>
            </w:r>
          </w:p>
        </w:tc>
        <w:tc>
          <w:tcPr>
            <w:tcW w:w="100" w:type="dxa"/>
            <w:vAlign w:val="bottom"/>
            <w:shd w:val="clear" w:color="auto" w:fill="D5EAEA"/>
          </w:tcPr>
          <w:p>
            <w:pPr>
              <w:spacing w:after="0"/>
              <w:rPr>
                <w:sz w:val="18"/>
                <w:szCs w:val="18"/>
                <w:color w:val="auto"/>
              </w:rPr>
            </w:pPr>
          </w:p>
        </w:tc>
        <w:tc>
          <w:tcPr>
            <w:tcW w:w="1340" w:type="dxa"/>
            <w:vAlign w:val="bottom"/>
            <w:gridSpan w:val="2"/>
            <w:shd w:val="clear" w:color="auto" w:fill="D5EAEA"/>
          </w:tcPr>
          <w:p>
            <w:pPr>
              <w:jc w:val="right"/>
              <w:ind w:right="100"/>
              <w:spacing w:after="0"/>
              <w:rPr>
                <w:sz w:val="20"/>
                <w:szCs w:val="20"/>
                <w:color w:val="auto"/>
              </w:rPr>
            </w:pPr>
            <w:r>
              <w:rPr>
                <w:rFonts w:ascii="Arial" w:cs="Arial" w:eastAsia="Arial" w:hAnsi="Arial"/>
                <w:sz w:val="18"/>
                <w:szCs w:val="18"/>
                <w:color w:val="auto"/>
              </w:rPr>
              <w:t>6,973</w:t>
            </w:r>
          </w:p>
        </w:tc>
        <w:tc>
          <w:tcPr>
            <w:tcW w:w="0" w:type="dxa"/>
            <w:vAlign w:val="bottom"/>
          </w:tcPr>
          <w:p>
            <w:pPr>
              <w:spacing w:after="0"/>
              <w:rPr>
                <w:sz w:val="1"/>
                <w:szCs w:val="1"/>
                <w:color w:val="auto"/>
              </w:rPr>
            </w:pPr>
          </w:p>
        </w:tc>
      </w:tr>
      <w:tr>
        <w:trPr>
          <w:trHeight w:val="20"/>
        </w:trPr>
        <w:tc>
          <w:tcPr>
            <w:tcW w:w="8440" w:type="dxa"/>
            <w:vAlign w:val="bottom"/>
            <w:tcBorders>
              <w:top w:val="single" w:sz="8" w:color="D5EAEA"/>
              <w:bottom w:val="single" w:sz="8" w:color="D5EAEA"/>
            </w:tcBorders>
            <w:vMerge w:val="restart"/>
          </w:tcPr>
          <w:p>
            <w:pPr>
              <w:spacing w:after="0"/>
              <w:rPr>
                <w:sz w:val="20"/>
                <w:szCs w:val="20"/>
                <w:color w:val="auto"/>
              </w:rPr>
            </w:pPr>
            <w:r>
              <w:rPr>
                <w:rFonts w:ascii="Arial" w:cs="Arial" w:eastAsia="Arial" w:hAnsi="Arial"/>
                <w:sz w:val="18"/>
                <w:szCs w:val="18"/>
                <w:b w:val="1"/>
                <w:bCs w:val="1"/>
                <w:color w:val="auto"/>
              </w:rPr>
              <w:t>Current assets</w:t>
            </w: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D5EAEA"/>
            </w:tcBorders>
          </w:tcPr>
          <w:p>
            <w:pPr>
              <w:spacing w:after="0" w:line="20" w:lineRule="exact"/>
              <w:rPr>
                <w:sz w:val="1"/>
                <w:szCs w:val="1"/>
                <w:color w:val="auto"/>
              </w:rPr>
            </w:pPr>
          </w:p>
        </w:tc>
        <w:tc>
          <w:tcPr>
            <w:tcW w:w="100" w:type="dxa"/>
            <w:vAlign w:val="bottom"/>
            <w:tcBorders>
              <w:top w:val="single" w:sz="8" w:color="D5EAEA"/>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D5EAEA"/>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8440" w:type="dxa"/>
            <w:vAlign w:val="bottom"/>
            <w:vMerge w:val="continue"/>
          </w:tcPr>
          <w:p>
            <w:pPr>
              <w:spacing w:after="0"/>
              <w:rPr>
                <w:sz w:val="15"/>
                <w:szCs w:val="15"/>
                <w:color w:val="auto"/>
              </w:rPr>
            </w:pPr>
          </w:p>
        </w:tc>
        <w:tc>
          <w:tcPr>
            <w:tcW w:w="1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8440" w:type="dxa"/>
            <w:vAlign w:val="bottom"/>
            <w:shd w:val="clear" w:color="auto" w:fill="D5EAEA"/>
          </w:tcPr>
          <w:p>
            <w:pPr>
              <w:ind w:left="180"/>
              <w:spacing w:after="0" w:line="202" w:lineRule="exact"/>
              <w:rPr>
                <w:sz w:val="20"/>
                <w:szCs w:val="20"/>
                <w:color w:val="auto"/>
              </w:rPr>
            </w:pPr>
            <w:r>
              <w:rPr>
                <w:rFonts w:ascii="Arial" w:cs="Arial" w:eastAsia="Arial" w:hAnsi="Arial"/>
                <w:sz w:val="18"/>
                <w:szCs w:val="18"/>
                <w:color w:val="auto"/>
              </w:rPr>
              <w:t>Prepaid expenses</w:t>
            </w:r>
          </w:p>
        </w:tc>
        <w:tc>
          <w:tcPr>
            <w:tcW w:w="1360" w:type="dxa"/>
            <w:vAlign w:val="bottom"/>
            <w:gridSpan w:val="2"/>
            <w:shd w:val="clear" w:color="auto" w:fill="D5EAEA"/>
          </w:tcPr>
          <w:p>
            <w:pPr>
              <w:jc w:val="right"/>
              <w:ind w:right="120"/>
              <w:spacing w:after="0" w:line="202" w:lineRule="exact"/>
              <w:rPr>
                <w:sz w:val="20"/>
                <w:szCs w:val="20"/>
                <w:color w:val="auto"/>
              </w:rPr>
            </w:pPr>
            <w:r>
              <w:rPr>
                <w:rFonts w:ascii="Arial" w:cs="Arial" w:eastAsia="Arial" w:hAnsi="Arial"/>
                <w:sz w:val="18"/>
                <w:szCs w:val="18"/>
                <w:color w:val="auto"/>
              </w:rPr>
              <w:t>1,935</w:t>
            </w:r>
          </w:p>
        </w:tc>
        <w:tc>
          <w:tcPr>
            <w:tcW w:w="100" w:type="dxa"/>
            <w:vAlign w:val="bottom"/>
            <w:shd w:val="clear" w:color="auto" w:fill="D5EAEA"/>
          </w:tcPr>
          <w:p>
            <w:pPr>
              <w:spacing w:after="0"/>
              <w:rPr>
                <w:sz w:val="17"/>
                <w:szCs w:val="17"/>
                <w:color w:val="auto"/>
              </w:rPr>
            </w:pPr>
          </w:p>
        </w:tc>
        <w:tc>
          <w:tcPr>
            <w:tcW w:w="1340" w:type="dxa"/>
            <w:vAlign w:val="bottom"/>
            <w:gridSpan w:val="2"/>
            <w:shd w:val="clear" w:color="auto" w:fill="D5EAEA"/>
          </w:tcPr>
          <w:p>
            <w:pPr>
              <w:jc w:val="right"/>
              <w:ind w:right="100"/>
              <w:spacing w:after="0" w:line="202" w:lineRule="exact"/>
              <w:rPr>
                <w:sz w:val="20"/>
                <w:szCs w:val="20"/>
                <w:color w:val="auto"/>
              </w:rPr>
            </w:pPr>
            <w:r>
              <w:rPr>
                <w:rFonts w:ascii="Arial" w:cs="Arial" w:eastAsia="Arial" w:hAnsi="Arial"/>
                <w:sz w:val="18"/>
                <w:szCs w:val="18"/>
                <w:color w:val="auto"/>
              </w:rPr>
              <w:t>3,954</w:t>
            </w:r>
          </w:p>
        </w:tc>
        <w:tc>
          <w:tcPr>
            <w:tcW w:w="0" w:type="dxa"/>
            <w:vAlign w:val="bottom"/>
          </w:tcPr>
          <w:p>
            <w:pPr>
              <w:spacing w:after="0"/>
              <w:rPr>
                <w:sz w:val="1"/>
                <w:szCs w:val="1"/>
                <w:color w:val="auto"/>
              </w:rPr>
            </w:pPr>
          </w:p>
        </w:tc>
      </w:tr>
      <w:tr>
        <w:trPr>
          <w:trHeight w:val="203"/>
        </w:trPr>
        <w:tc>
          <w:tcPr>
            <w:tcW w:w="8440" w:type="dxa"/>
            <w:vAlign w:val="bottom"/>
          </w:tcPr>
          <w:p>
            <w:pPr>
              <w:ind w:left="180"/>
              <w:spacing w:after="0" w:line="202" w:lineRule="exact"/>
              <w:rPr>
                <w:sz w:val="20"/>
                <w:szCs w:val="20"/>
                <w:color w:val="auto"/>
              </w:rPr>
            </w:pPr>
            <w:r>
              <w:rPr>
                <w:rFonts w:ascii="Arial" w:cs="Arial" w:eastAsia="Arial" w:hAnsi="Arial"/>
                <w:sz w:val="18"/>
                <w:szCs w:val="18"/>
                <w:color w:val="auto"/>
              </w:rPr>
              <w:t>Short-term accrued income</w:t>
            </w:r>
          </w:p>
        </w:tc>
        <w:tc>
          <w:tcPr>
            <w:tcW w:w="136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92</w:t>
            </w:r>
          </w:p>
        </w:tc>
        <w:tc>
          <w:tcPr>
            <w:tcW w:w="100" w:type="dxa"/>
            <w:vAlign w:val="bottom"/>
          </w:tcPr>
          <w:p>
            <w:pPr>
              <w:spacing w:after="0"/>
              <w:rPr>
                <w:sz w:val="17"/>
                <w:szCs w:val="17"/>
                <w:color w:val="auto"/>
              </w:rPr>
            </w:pPr>
          </w:p>
        </w:tc>
        <w:tc>
          <w:tcPr>
            <w:tcW w:w="13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1,591</w:t>
            </w:r>
          </w:p>
        </w:tc>
        <w:tc>
          <w:tcPr>
            <w:tcW w:w="0" w:type="dxa"/>
            <w:vAlign w:val="bottom"/>
          </w:tcPr>
          <w:p>
            <w:pPr>
              <w:spacing w:after="0"/>
              <w:rPr>
                <w:sz w:val="1"/>
                <w:szCs w:val="1"/>
                <w:color w:val="auto"/>
              </w:rPr>
            </w:pPr>
          </w:p>
        </w:tc>
      </w:tr>
      <w:tr>
        <w:trPr>
          <w:trHeight w:val="203"/>
        </w:trPr>
        <w:tc>
          <w:tcPr>
            <w:tcW w:w="8440" w:type="dxa"/>
            <w:vAlign w:val="bottom"/>
            <w:shd w:val="clear" w:color="auto" w:fill="D5EAEA"/>
          </w:tcPr>
          <w:p>
            <w:pPr>
              <w:ind w:left="180"/>
              <w:spacing w:after="0" w:line="202" w:lineRule="exact"/>
              <w:rPr>
                <w:sz w:val="20"/>
                <w:szCs w:val="20"/>
                <w:color w:val="auto"/>
              </w:rPr>
            </w:pPr>
            <w:r>
              <w:rPr>
                <w:rFonts w:ascii="Arial" w:cs="Arial" w:eastAsia="Arial" w:hAnsi="Arial"/>
                <w:sz w:val="18"/>
                <w:szCs w:val="18"/>
                <w:color w:val="auto"/>
              </w:rPr>
              <w:t>Other current receivables</w:t>
            </w:r>
          </w:p>
        </w:tc>
        <w:tc>
          <w:tcPr>
            <w:tcW w:w="1360" w:type="dxa"/>
            <w:vAlign w:val="bottom"/>
            <w:gridSpan w:val="2"/>
            <w:shd w:val="clear" w:color="auto" w:fill="D5EAEA"/>
          </w:tcPr>
          <w:p>
            <w:pPr>
              <w:jc w:val="right"/>
              <w:ind w:right="120"/>
              <w:spacing w:after="0" w:line="202" w:lineRule="exact"/>
              <w:rPr>
                <w:sz w:val="20"/>
                <w:szCs w:val="20"/>
                <w:color w:val="auto"/>
              </w:rPr>
            </w:pPr>
            <w:r>
              <w:rPr>
                <w:rFonts w:ascii="Arial" w:cs="Arial" w:eastAsia="Arial" w:hAnsi="Arial"/>
                <w:sz w:val="18"/>
                <w:szCs w:val="18"/>
                <w:color w:val="auto"/>
              </w:rPr>
              <w:t>341</w:t>
            </w:r>
          </w:p>
        </w:tc>
        <w:tc>
          <w:tcPr>
            <w:tcW w:w="100" w:type="dxa"/>
            <w:vAlign w:val="bottom"/>
            <w:shd w:val="clear" w:color="auto" w:fill="D5EAEA"/>
          </w:tcPr>
          <w:p>
            <w:pPr>
              <w:spacing w:after="0"/>
              <w:rPr>
                <w:sz w:val="17"/>
                <w:szCs w:val="17"/>
                <w:color w:val="auto"/>
              </w:rPr>
            </w:pPr>
          </w:p>
        </w:tc>
        <w:tc>
          <w:tcPr>
            <w:tcW w:w="1340" w:type="dxa"/>
            <w:vAlign w:val="bottom"/>
            <w:gridSpan w:val="2"/>
            <w:shd w:val="clear" w:color="auto" w:fill="D5EAEA"/>
          </w:tcPr>
          <w:p>
            <w:pPr>
              <w:jc w:val="right"/>
              <w:ind w:right="100"/>
              <w:spacing w:after="0" w:line="202" w:lineRule="exact"/>
              <w:rPr>
                <w:sz w:val="20"/>
                <w:szCs w:val="20"/>
                <w:color w:val="auto"/>
              </w:rPr>
            </w:pPr>
            <w:r>
              <w:rPr>
                <w:rFonts w:ascii="Arial" w:cs="Arial" w:eastAsia="Arial" w:hAnsi="Arial"/>
                <w:sz w:val="18"/>
                <w:szCs w:val="18"/>
                <w:color w:val="auto"/>
              </w:rPr>
              <w:t>329</w:t>
            </w:r>
          </w:p>
        </w:tc>
        <w:tc>
          <w:tcPr>
            <w:tcW w:w="0" w:type="dxa"/>
            <w:vAlign w:val="bottom"/>
          </w:tcPr>
          <w:p>
            <w:pPr>
              <w:spacing w:after="0"/>
              <w:rPr>
                <w:sz w:val="1"/>
                <w:szCs w:val="1"/>
                <w:color w:val="auto"/>
              </w:rPr>
            </w:pPr>
          </w:p>
        </w:tc>
      </w:tr>
      <w:tr>
        <w:trPr>
          <w:trHeight w:val="203"/>
        </w:trPr>
        <w:tc>
          <w:tcPr>
            <w:tcW w:w="8440" w:type="dxa"/>
            <w:vAlign w:val="bottom"/>
          </w:tcPr>
          <w:p>
            <w:pPr>
              <w:ind w:left="180"/>
              <w:spacing w:after="0" w:line="202" w:lineRule="exact"/>
              <w:rPr>
                <w:sz w:val="20"/>
                <w:szCs w:val="20"/>
                <w:color w:val="auto"/>
              </w:rPr>
            </w:pPr>
            <w:r>
              <w:rPr>
                <w:rFonts w:ascii="Arial" w:cs="Arial" w:eastAsia="Arial" w:hAnsi="Arial"/>
                <w:sz w:val="18"/>
                <w:szCs w:val="18"/>
                <w:color w:val="auto"/>
              </w:rPr>
              <w:t>Derivative financial assets</w:t>
            </w:r>
          </w:p>
        </w:tc>
        <w:tc>
          <w:tcPr>
            <w:tcW w:w="136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4,424</w:t>
            </w:r>
          </w:p>
        </w:tc>
        <w:tc>
          <w:tcPr>
            <w:tcW w:w="100" w:type="dxa"/>
            <w:vAlign w:val="bottom"/>
          </w:tcPr>
          <w:p>
            <w:pPr>
              <w:spacing w:after="0"/>
              <w:rPr>
                <w:sz w:val="17"/>
                <w:szCs w:val="17"/>
                <w:color w:val="auto"/>
              </w:rPr>
            </w:pPr>
          </w:p>
        </w:tc>
        <w:tc>
          <w:tcPr>
            <w:tcW w:w="134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8440" w:type="dxa"/>
            <w:vAlign w:val="bottom"/>
            <w:shd w:val="clear" w:color="auto" w:fill="D5EAEA"/>
          </w:tcPr>
          <w:p>
            <w:pPr>
              <w:ind w:left="180"/>
              <w:spacing w:after="0" w:line="202" w:lineRule="exact"/>
              <w:rPr>
                <w:sz w:val="20"/>
                <w:szCs w:val="20"/>
                <w:color w:val="auto"/>
              </w:rPr>
            </w:pPr>
            <w:r>
              <w:rPr>
                <w:rFonts w:ascii="Arial" w:cs="Arial" w:eastAsia="Arial" w:hAnsi="Arial"/>
                <w:sz w:val="18"/>
                <w:szCs w:val="18"/>
                <w:color w:val="auto"/>
              </w:rPr>
              <w:t>Short-term financial assets</w:t>
            </w:r>
          </w:p>
        </w:tc>
        <w:tc>
          <w:tcPr>
            <w:tcW w:w="1360" w:type="dxa"/>
            <w:vAlign w:val="bottom"/>
            <w:gridSpan w:val="2"/>
            <w:shd w:val="clear" w:color="auto" w:fill="D5EAEA"/>
          </w:tcPr>
          <w:p>
            <w:pPr>
              <w:jc w:val="right"/>
              <w:ind w:right="120"/>
              <w:spacing w:after="0" w:line="202" w:lineRule="exact"/>
              <w:rPr>
                <w:sz w:val="20"/>
                <w:szCs w:val="20"/>
                <w:color w:val="auto"/>
              </w:rPr>
            </w:pPr>
            <w:r>
              <w:rPr>
                <w:rFonts w:ascii="Arial" w:cs="Arial" w:eastAsia="Arial" w:hAnsi="Arial"/>
                <w:sz w:val="18"/>
                <w:szCs w:val="18"/>
                <w:color w:val="auto"/>
              </w:rPr>
              <w:t>95,000</w:t>
            </w:r>
          </w:p>
        </w:tc>
        <w:tc>
          <w:tcPr>
            <w:tcW w:w="100" w:type="dxa"/>
            <w:vAlign w:val="bottom"/>
            <w:shd w:val="clear" w:color="auto" w:fill="D5EAEA"/>
          </w:tcPr>
          <w:p>
            <w:pPr>
              <w:spacing w:after="0"/>
              <w:rPr>
                <w:sz w:val="17"/>
                <w:szCs w:val="17"/>
                <w:color w:val="auto"/>
              </w:rPr>
            </w:pPr>
          </w:p>
        </w:tc>
        <w:tc>
          <w:tcPr>
            <w:tcW w:w="1340" w:type="dxa"/>
            <w:vAlign w:val="bottom"/>
            <w:gridSpan w:val="2"/>
            <w:shd w:val="clear" w:color="auto" w:fill="D5EAEA"/>
          </w:tcPr>
          <w:p>
            <w:pPr>
              <w:jc w:val="right"/>
              <w:ind w:right="100"/>
              <w:spacing w:after="0" w:line="202" w:lineRule="exact"/>
              <w:rPr>
                <w:sz w:val="20"/>
                <w:szCs w:val="20"/>
                <w:color w:val="auto"/>
              </w:rPr>
            </w:pPr>
            <w:r>
              <w:rPr>
                <w:rFonts w:ascii="Arial" w:cs="Arial" w:eastAsia="Arial" w:hAnsi="Arial"/>
                <w:sz w:val="18"/>
                <w:szCs w:val="18"/>
                <w:color w:val="auto"/>
              </w:rPr>
              <w:t>65,000</w:t>
            </w:r>
          </w:p>
        </w:tc>
        <w:tc>
          <w:tcPr>
            <w:tcW w:w="0" w:type="dxa"/>
            <w:vAlign w:val="bottom"/>
          </w:tcPr>
          <w:p>
            <w:pPr>
              <w:spacing w:after="0"/>
              <w:rPr>
                <w:sz w:val="1"/>
                <w:szCs w:val="1"/>
                <w:color w:val="auto"/>
              </w:rPr>
            </w:pPr>
          </w:p>
        </w:tc>
      </w:tr>
      <w:tr>
        <w:trPr>
          <w:trHeight w:val="216"/>
        </w:trPr>
        <w:tc>
          <w:tcPr>
            <w:tcW w:w="8440" w:type="dxa"/>
            <w:vAlign w:val="bottom"/>
          </w:tcPr>
          <w:p>
            <w:pPr>
              <w:ind w:left="180"/>
              <w:spacing w:after="0"/>
              <w:rPr>
                <w:sz w:val="20"/>
                <w:szCs w:val="20"/>
                <w:color w:val="auto"/>
              </w:rPr>
            </w:pPr>
            <w:r>
              <w:rPr>
                <w:rFonts w:ascii="Arial" w:cs="Arial" w:eastAsia="Arial" w:hAnsi="Arial"/>
                <w:sz w:val="18"/>
                <w:szCs w:val="18"/>
                <w:color w:val="auto"/>
              </w:rPr>
              <w:t>Cash and cash equivalents</w:t>
            </w:r>
          </w:p>
        </w:tc>
        <w:tc>
          <w:tcPr>
            <w:tcW w:w="1360" w:type="dxa"/>
            <w:vAlign w:val="bottom"/>
            <w:gridSpan w:val="2"/>
          </w:tcPr>
          <w:p>
            <w:pPr>
              <w:jc w:val="right"/>
              <w:ind w:right="120"/>
              <w:spacing w:after="0"/>
              <w:rPr>
                <w:sz w:val="20"/>
                <w:szCs w:val="20"/>
                <w:color w:val="auto"/>
              </w:rPr>
            </w:pPr>
            <w:r>
              <w:rPr>
                <w:rFonts w:ascii="Arial" w:cs="Arial" w:eastAsia="Arial" w:hAnsi="Arial"/>
                <w:sz w:val="18"/>
                <w:szCs w:val="18"/>
                <w:color w:val="auto"/>
              </w:rPr>
              <w:t>93,584</w:t>
            </w:r>
          </w:p>
        </w:tc>
        <w:tc>
          <w:tcPr>
            <w:tcW w:w="10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160,893</w:t>
            </w:r>
          </w:p>
        </w:tc>
        <w:tc>
          <w:tcPr>
            <w:tcW w:w="0" w:type="dxa"/>
            <w:vAlign w:val="bottom"/>
          </w:tcPr>
          <w:p>
            <w:pPr>
              <w:spacing w:after="0"/>
              <w:rPr>
                <w:sz w:val="1"/>
                <w:szCs w:val="1"/>
                <w:color w:val="auto"/>
              </w:rPr>
            </w:pPr>
          </w:p>
        </w:tc>
      </w:tr>
      <w:tr>
        <w:trPr>
          <w:trHeight w:val="20"/>
        </w:trPr>
        <w:tc>
          <w:tcPr>
            <w:tcW w:w="8440" w:type="dxa"/>
            <w:vAlign w:val="bottom"/>
            <w:vMerge w:val="restart"/>
            <w:shd w:val="clear" w:color="auto" w:fill="D5EAEA"/>
          </w:tcPr>
          <w:p>
            <w:pPr>
              <w:spacing w:after="0"/>
              <w:rPr>
                <w:sz w:val="20"/>
                <w:szCs w:val="20"/>
                <w:color w:val="auto"/>
              </w:rPr>
            </w:pPr>
            <w:r>
              <w:rPr>
                <w:rFonts w:ascii="Arial" w:cs="Arial" w:eastAsia="Arial" w:hAnsi="Arial"/>
                <w:sz w:val="18"/>
                <w:szCs w:val="18"/>
                <w:b w:val="1"/>
                <w:bCs w:val="1"/>
                <w:color w:val="auto"/>
              </w:rPr>
              <w:t>Total current assets</w:t>
            </w:r>
          </w:p>
        </w:tc>
        <w:tc>
          <w:tcPr>
            <w:tcW w:w="1240" w:type="dxa"/>
            <w:vAlign w:val="bottom"/>
            <w:shd w:val="clear" w:color="auto" w:fill="000000"/>
          </w:tcPr>
          <w:p>
            <w:pPr>
              <w:spacing w:after="0" w:line="20" w:lineRule="exact"/>
              <w:rPr>
                <w:sz w:val="1"/>
                <w:szCs w:val="1"/>
                <w:color w:val="auto"/>
              </w:rPr>
            </w:pPr>
          </w:p>
        </w:tc>
        <w:tc>
          <w:tcPr>
            <w:tcW w:w="120" w:type="dxa"/>
            <w:vAlign w:val="bottom"/>
            <w:shd w:val="clear" w:color="auto" w:fill="D5EAEA"/>
          </w:tcPr>
          <w:p>
            <w:pPr>
              <w:spacing w:after="0" w:line="20" w:lineRule="exact"/>
              <w:rPr>
                <w:sz w:val="1"/>
                <w:szCs w:val="1"/>
                <w:color w:val="auto"/>
              </w:rPr>
            </w:pPr>
          </w:p>
        </w:tc>
        <w:tc>
          <w:tcPr>
            <w:tcW w:w="100" w:type="dxa"/>
            <w:vAlign w:val="bottom"/>
            <w:shd w:val="clear" w:color="auto" w:fill="D5EAEA"/>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00" w:type="dxa"/>
            <w:vAlign w:val="bottom"/>
            <w:shd w:val="clear" w:color="auto" w:fill="D5EAEA"/>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440" w:type="dxa"/>
            <w:vAlign w:val="bottom"/>
            <w:vMerge w:val="continue"/>
            <w:shd w:val="clear" w:color="auto" w:fill="D5EAEA"/>
          </w:tcPr>
          <w:p>
            <w:pPr>
              <w:spacing w:after="0"/>
              <w:rPr>
                <w:sz w:val="18"/>
                <w:szCs w:val="18"/>
                <w:color w:val="auto"/>
              </w:rPr>
            </w:pPr>
          </w:p>
        </w:tc>
        <w:tc>
          <w:tcPr>
            <w:tcW w:w="1360" w:type="dxa"/>
            <w:vAlign w:val="bottom"/>
            <w:gridSpan w:val="2"/>
            <w:shd w:val="clear" w:color="auto" w:fill="D5EAEA"/>
          </w:tcPr>
          <w:p>
            <w:pPr>
              <w:jc w:val="right"/>
              <w:ind w:right="120"/>
              <w:spacing w:after="0"/>
              <w:rPr>
                <w:sz w:val="20"/>
                <w:szCs w:val="20"/>
                <w:color w:val="auto"/>
              </w:rPr>
            </w:pPr>
            <w:r>
              <w:rPr>
                <w:rFonts w:ascii="Arial" w:cs="Arial" w:eastAsia="Arial" w:hAnsi="Arial"/>
                <w:sz w:val="18"/>
                <w:szCs w:val="18"/>
                <w:color w:val="auto"/>
              </w:rPr>
              <w:t>195,376</w:t>
            </w:r>
          </w:p>
        </w:tc>
        <w:tc>
          <w:tcPr>
            <w:tcW w:w="100" w:type="dxa"/>
            <w:vAlign w:val="bottom"/>
            <w:shd w:val="clear" w:color="auto" w:fill="D5EAEA"/>
          </w:tcPr>
          <w:p>
            <w:pPr>
              <w:spacing w:after="0"/>
              <w:rPr>
                <w:sz w:val="18"/>
                <w:szCs w:val="18"/>
                <w:color w:val="auto"/>
              </w:rPr>
            </w:pPr>
          </w:p>
        </w:tc>
        <w:tc>
          <w:tcPr>
            <w:tcW w:w="1340" w:type="dxa"/>
            <w:vAlign w:val="bottom"/>
            <w:gridSpan w:val="2"/>
            <w:shd w:val="clear" w:color="auto" w:fill="D5EAEA"/>
          </w:tcPr>
          <w:p>
            <w:pPr>
              <w:jc w:val="right"/>
              <w:ind w:right="100"/>
              <w:spacing w:after="0"/>
              <w:rPr>
                <w:sz w:val="20"/>
                <w:szCs w:val="20"/>
                <w:color w:val="auto"/>
              </w:rPr>
            </w:pPr>
            <w:r>
              <w:rPr>
                <w:rFonts w:ascii="Arial" w:cs="Arial" w:eastAsia="Arial" w:hAnsi="Arial"/>
                <w:sz w:val="18"/>
                <w:szCs w:val="18"/>
                <w:color w:val="auto"/>
              </w:rPr>
              <w:t>231,767</w:t>
            </w:r>
          </w:p>
        </w:tc>
        <w:tc>
          <w:tcPr>
            <w:tcW w:w="0" w:type="dxa"/>
            <w:vAlign w:val="bottom"/>
          </w:tcPr>
          <w:p>
            <w:pPr>
              <w:spacing w:after="0"/>
              <w:rPr>
                <w:sz w:val="1"/>
                <w:szCs w:val="1"/>
                <w:color w:val="auto"/>
              </w:rPr>
            </w:pPr>
          </w:p>
        </w:tc>
      </w:tr>
      <w:tr>
        <w:trPr>
          <w:trHeight w:val="20"/>
        </w:trPr>
        <w:tc>
          <w:tcPr>
            <w:tcW w:w="8440" w:type="dxa"/>
            <w:vAlign w:val="bottom"/>
            <w:tcBorders>
              <w:top w:val="single" w:sz="8" w:color="D5EAEA"/>
              <w:bottom w:val="single" w:sz="8" w:color="D5EAEA"/>
            </w:tcBorders>
            <w:vMerge w:val="restart"/>
          </w:tcPr>
          <w:p>
            <w:pPr>
              <w:spacing w:after="0"/>
              <w:rPr>
                <w:sz w:val="20"/>
                <w:szCs w:val="20"/>
                <w:color w:val="auto"/>
              </w:rPr>
            </w:pPr>
            <w:r>
              <w:rPr>
                <w:rFonts w:ascii="Arial" w:cs="Arial" w:eastAsia="Arial" w:hAnsi="Arial"/>
                <w:sz w:val="18"/>
                <w:szCs w:val="18"/>
                <w:b w:val="1"/>
                <w:bCs w:val="1"/>
                <w:color w:val="auto"/>
              </w:rPr>
              <w:t>Total assets</w:t>
            </w: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D5EAEA"/>
            </w:tcBorders>
          </w:tcPr>
          <w:p>
            <w:pPr>
              <w:spacing w:after="0" w:line="20" w:lineRule="exact"/>
              <w:rPr>
                <w:sz w:val="1"/>
                <w:szCs w:val="1"/>
                <w:color w:val="auto"/>
              </w:rPr>
            </w:pPr>
          </w:p>
        </w:tc>
        <w:tc>
          <w:tcPr>
            <w:tcW w:w="100" w:type="dxa"/>
            <w:vAlign w:val="bottom"/>
            <w:tcBorders>
              <w:top w:val="single" w:sz="8" w:color="D5EAEA"/>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D5EAEA"/>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8440" w:type="dxa"/>
            <w:vAlign w:val="bottom"/>
            <w:tcBorders>
              <w:bottom w:val="single" w:sz="8" w:color="D5EAEA"/>
            </w:tcBorders>
            <w:vMerge w:val="continue"/>
          </w:tcPr>
          <w:p>
            <w:pPr>
              <w:spacing w:after="0"/>
              <w:rPr>
                <w:sz w:val="19"/>
                <w:szCs w:val="19"/>
                <w:color w:val="auto"/>
              </w:rPr>
            </w:pPr>
          </w:p>
        </w:tc>
        <w:tc>
          <w:tcPr>
            <w:tcW w:w="124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8"/>
                <w:szCs w:val="18"/>
                <w:color w:val="auto"/>
              </w:rPr>
              <w:t>203,396</w:t>
            </w:r>
          </w:p>
        </w:tc>
        <w:tc>
          <w:tcPr>
            <w:tcW w:w="120" w:type="dxa"/>
            <w:vAlign w:val="bottom"/>
            <w:tcBorders>
              <w:bottom w:val="single" w:sz="8" w:color="D5EAEA"/>
            </w:tcBorders>
          </w:tcPr>
          <w:p>
            <w:pPr>
              <w:spacing w:after="0"/>
              <w:rPr>
                <w:sz w:val="19"/>
                <w:szCs w:val="19"/>
                <w:color w:val="auto"/>
              </w:rPr>
            </w:pPr>
          </w:p>
        </w:tc>
        <w:tc>
          <w:tcPr>
            <w:tcW w:w="100" w:type="dxa"/>
            <w:vAlign w:val="bottom"/>
            <w:tcBorders>
              <w:bottom w:val="single" w:sz="8" w:color="D5EAEA"/>
            </w:tcBorders>
          </w:tcPr>
          <w:p>
            <w:pPr>
              <w:spacing w:after="0"/>
              <w:rPr>
                <w:sz w:val="19"/>
                <w:szCs w:val="19"/>
                <w:color w:val="auto"/>
              </w:rPr>
            </w:pPr>
          </w:p>
        </w:tc>
        <w:tc>
          <w:tcPr>
            <w:tcW w:w="124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8"/>
                <w:szCs w:val="18"/>
                <w:color w:val="auto"/>
              </w:rPr>
              <w:t>238,740</w:t>
            </w:r>
          </w:p>
        </w:tc>
        <w:tc>
          <w:tcPr>
            <w:tcW w:w="100" w:type="dxa"/>
            <w:vAlign w:val="bottom"/>
            <w:tcBorders>
              <w:bottom w:val="single" w:sz="8" w:color="D5EAEA"/>
            </w:tcBorders>
          </w:tcPr>
          <w:p>
            <w:pPr>
              <w:spacing w:after="0"/>
              <w:rPr>
                <w:sz w:val="19"/>
                <w:szCs w:val="19"/>
                <w:color w:val="auto"/>
              </w:rPr>
            </w:pPr>
          </w:p>
        </w:tc>
        <w:tc>
          <w:tcPr>
            <w:tcW w:w="0" w:type="dxa"/>
            <w:vAlign w:val="bottom"/>
          </w:tcPr>
          <w:p>
            <w:pPr>
              <w:spacing w:after="0"/>
              <w:rPr>
                <w:sz w:val="1"/>
                <w:szCs w:val="1"/>
                <w:color w:val="auto"/>
              </w:rPr>
            </w:pPr>
          </w:p>
        </w:tc>
      </w:tr>
      <w:tr>
        <w:trPr>
          <w:trHeight w:val="183"/>
        </w:trPr>
        <w:tc>
          <w:tcPr>
            <w:tcW w:w="8440" w:type="dxa"/>
            <w:vAlign w:val="bottom"/>
            <w:shd w:val="clear" w:color="auto" w:fill="D5EAEA"/>
          </w:tcPr>
          <w:p>
            <w:pPr>
              <w:spacing w:after="0"/>
              <w:rPr>
                <w:sz w:val="15"/>
                <w:szCs w:val="15"/>
                <w:color w:val="auto"/>
              </w:rPr>
            </w:pPr>
          </w:p>
        </w:tc>
        <w:tc>
          <w:tcPr>
            <w:tcW w:w="1240" w:type="dxa"/>
            <w:vAlign w:val="bottom"/>
            <w:shd w:val="clear" w:color="auto" w:fill="D5EAEA"/>
          </w:tcPr>
          <w:p>
            <w:pPr>
              <w:spacing w:after="0"/>
              <w:rPr>
                <w:sz w:val="15"/>
                <w:szCs w:val="15"/>
                <w:color w:val="auto"/>
              </w:rPr>
            </w:pPr>
          </w:p>
        </w:tc>
        <w:tc>
          <w:tcPr>
            <w:tcW w:w="120" w:type="dxa"/>
            <w:vAlign w:val="bottom"/>
            <w:shd w:val="clear" w:color="auto" w:fill="D5EAEA"/>
          </w:tcPr>
          <w:p>
            <w:pPr>
              <w:spacing w:after="0"/>
              <w:rPr>
                <w:sz w:val="15"/>
                <w:szCs w:val="15"/>
                <w:color w:val="auto"/>
              </w:rPr>
            </w:pPr>
          </w:p>
        </w:tc>
        <w:tc>
          <w:tcPr>
            <w:tcW w:w="100" w:type="dxa"/>
            <w:vAlign w:val="bottom"/>
            <w:shd w:val="clear" w:color="auto" w:fill="D5EAEA"/>
          </w:tcPr>
          <w:p>
            <w:pPr>
              <w:spacing w:after="0"/>
              <w:rPr>
                <w:sz w:val="15"/>
                <w:szCs w:val="15"/>
                <w:color w:val="auto"/>
              </w:rPr>
            </w:pPr>
          </w:p>
        </w:tc>
        <w:tc>
          <w:tcPr>
            <w:tcW w:w="1240" w:type="dxa"/>
            <w:vAlign w:val="bottom"/>
            <w:shd w:val="clear" w:color="auto" w:fill="D5EAEA"/>
          </w:tcPr>
          <w:p>
            <w:pPr>
              <w:spacing w:after="0"/>
              <w:rPr>
                <w:sz w:val="15"/>
                <w:szCs w:val="15"/>
                <w:color w:val="auto"/>
              </w:rPr>
            </w:pPr>
          </w:p>
        </w:tc>
        <w:tc>
          <w:tcPr>
            <w:tcW w:w="100" w:type="dxa"/>
            <w:vAlign w:val="bottom"/>
            <w:shd w:val="clear" w:color="auto" w:fill="D5EAEA"/>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8440" w:type="dxa"/>
            <w:vAlign w:val="bottom"/>
          </w:tcPr>
          <w:p>
            <w:pPr>
              <w:spacing w:after="0" w:line="202" w:lineRule="exact"/>
              <w:rPr>
                <w:sz w:val="20"/>
                <w:szCs w:val="20"/>
                <w:color w:val="auto"/>
              </w:rPr>
            </w:pPr>
            <w:r>
              <w:rPr>
                <w:rFonts w:ascii="Arial" w:cs="Arial" w:eastAsia="Arial" w:hAnsi="Arial"/>
                <w:sz w:val="18"/>
                <w:szCs w:val="18"/>
                <w:b w:val="1"/>
                <w:bCs w:val="1"/>
                <w:color w:val="auto"/>
              </w:rPr>
              <w:t>SHAREHOLDERS’ EQUITY AND LIABILITIES</w:t>
            </w: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440" w:type="dxa"/>
            <w:vAlign w:val="bottom"/>
            <w:shd w:val="clear" w:color="auto" w:fill="D5EAEA"/>
          </w:tcPr>
          <w:p>
            <w:pPr>
              <w:spacing w:after="0" w:line="202" w:lineRule="exact"/>
              <w:rPr>
                <w:sz w:val="20"/>
                <w:szCs w:val="20"/>
                <w:color w:val="auto"/>
              </w:rPr>
            </w:pPr>
            <w:r>
              <w:rPr>
                <w:rFonts w:ascii="Arial" w:cs="Arial" w:eastAsia="Arial" w:hAnsi="Arial"/>
                <w:sz w:val="18"/>
                <w:szCs w:val="18"/>
                <w:b w:val="1"/>
                <w:bCs w:val="1"/>
                <w:color w:val="auto"/>
              </w:rPr>
              <w:t>Shareholders’ equity</w:t>
            </w:r>
          </w:p>
        </w:tc>
        <w:tc>
          <w:tcPr>
            <w:tcW w:w="1240" w:type="dxa"/>
            <w:vAlign w:val="bottom"/>
            <w:shd w:val="clear" w:color="auto" w:fill="D5EAEA"/>
          </w:tcPr>
          <w:p>
            <w:pPr>
              <w:spacing w:after="0"/>
              <w:rPr>
                <w:sz w:val="17"/>
                <w:szCs w:val="17"/>
                <w:color w:val="auto"/>
              </w:rPr>
            </w:pPr>
          </w:p>
        </w:tc>
        <w:tc>
          <w:tcPr>
            <w:tcW w:w="120" w:type="dxa"/>
            <w:vAlign w:val="bottom"/>
            <w:shd w:val="clear" w:color="auto" w:fill="D5EAEA"/>
          </w:tcPr>
          <w:p>
            <w:pPr>
              <w:spacing w:after="0"/>
              <w:rPr>
                <w:sz w:val="17"/>
                <w:szCs w:val="17"/>
                <w:color w:val="auto"/>
              </w:rPr>
            </w:pPr>
          </w:p>
        </w:tc>
        <w:tc>
          <w:tcPr>
            <w:tcW w:w="100" w:type="dxa"/>
            <w:vAlign w:val="bottom"/>
            <w:shd w:val="clear" w:color="auto" w:fill="D5EAEA"/>
          </w:tcPr>
          <w:p>
            <w:pPr>
              <w:spacing w:after="0"/>
              <w:rPr>
                <w:sz w:val="17"/>
                <w:szCs w:val="17"/>
                <w:color w:val="auto"/>
              </w:rPr>
            </w:pPr>
          </w:p>
        </w:tc>
        <w:tc>
          <w:tcPr>
            <w:tcW w:w="1240" w:type="dxa"/>
            <w:vAlign w:val="bottom"/>
            <w:shd w:val="clear" w:color="auto" w:fill="D5EAEA"/>
          </w:tcPr>
          <w:p>
            <w:pPr>
              <w:spacing w:after="0"/>
              <w:rPr>
                <w:sz w:val="17"/>
                <w:szCs w:val="17"/>
                <w:color w:val="auto"/>
              </w:rPr>
            </w:pPr>
          </w:p>
        </w:tc>
        <w:tc>
          <w:tcPr>
            <w:tcW w:w="100" w:type="dxa"/>
            <w:vAlign w:val="bottom"/>
            <w:shd w:val="clear" w:color="auto" w:fill="D5EAEA"/>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440" w:type="dxa"/>
            <w:vAlign w:val="bottom"/>
          </w:tcPr>
          <w:p>
            <w:pPr>
              <w:ind w:left="180"/>
              <w:spacing w:after="0" w:line="202" w:lineRule="exact"/>
              <w:rPr>
                <w:sz w:val="20"/>
                <w:szCs w:val="20"/>
                <w:color w:val="auto"/>
              </w:rPr>
            </w:pPr>
            <w:r>
              <w:rPr>
                <w:rFonts w:ascii="Arial" w:cs="Arial" w:eastAsia="Arial" w:hAnsi="Arial"/>
                <w:sz w:val="18"/>
                <w:szCs w:val="18"/>
                <w:color w:val="auto"/>
              </w:rPr>
              <w:t>Share capital</w:t>
            </w:r>
          </w:p>
        </w:tc>
        <w:tc>
          <w:tcPr>
            <w:tcW w:w="136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1,589</w:t>
            </w:r>
          </w:p>
        </w:tc>
        <w:tc>
          <w:tcPr>
            <w:tcW w:w="100" w:type="dxa"/>
            <w:vAlign w:val="bottom"/>
          </w:tcPr>
          <w:p>
            <w:pPr>
              <w:spacing w:after="0"/>
              <w:rPr>
                <w:sz w:val="17"/>
                <w:szCs w:val="17"/>
                <w:color w:val="auto"/>
              </w:rPr>
            </w:pPr>
          </w:p>
        </w:tc>
        <w:tc>
          <w:tcPr>
            <w:tcW w:w="13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1,538</w:t>
            </w:r>
          </w:p>
        </w:tc>
        <w:tc>
          <w:tcPr>
            <w:tcW w:w="0" w:type="dxa"/>
            <w:vAlign w:val="bottom"/>
          </w:tcPr>
          <w:p>
            <w:pPr>
              <w:spacing w:after="0"/>
              <w:rPr>
                <w:sz w:val="1"/>
                <w:szCs w:val="1"/>
                <w:color w:val="auto"/>
              </w:rPr>
            </w:pPr>
          </w:p>
        </w:tc>
      </w:tr>
      <w:tr>
        <w:trPr>
          <w:trHeight w:val="203"/>
        </w:trPr>
        <w:tc>
          <w:tcPr>
            <w:tcW w:w="8440" w:type="dxa"/>
            <w:vAlign w:val="bottom"/>
            <w:shd w:val="clear" w:color="auto" w:fill="D5EAEA"/>
          </w:tcPr>
          <w:p>
            <w:pPr>
              <w:ind w:left="180"/>
              <w:spacing w:after="0" w:line="202" w:lineRule="exact"/>
              <w:rPr>
                <w:sz w:val="20"/>
                <w:szCs w:val="20"/>
                <w:color w:val="auto"/>
              </w:rPr>
            </w:pPr>
            <w:r>
              <w:rPr>
                <w:rFonts w:ascii="Arial" w:cs="Arial" w:eastAsia="Arial" w:hAnsi="Arial"/>
                <w:sz w:val="18"/>
                <w:szCs w:val="18"/>
                <w:color w:val="auto"/>
              </w:rPr>
              <w:t>Share premium</w:t>
            </w:r>
          </w:p>
        </w:tc>
        <w:tc>
          <w:tcPr>
            <w:tcW w:w="1360" w:type="dxa"/>
            <w:vAlign w:val="bottom"/>
            <w:gridSpan w:val="2"/>
            <w:shd w:val="clear" w:color="auto" w:fill="D5EAEA"/>
          </w:tcPr>
          <w:p>
            <w:pPr>
              <w:jc w:val="right"/>
              <w:ind w:right="120"/>
              <w:spacing w:after="0" w:line="202" w:lineRule="exact"/>
              <w:rPr>
                <w:sz w:val="20"/>
                <w:szCs w:val="20"/>
                <w:color w:val="auto"/>
              </w:rPr>
            </w:pPr>
            <w:r>
              <w:rPr>
                <w:rFonts w:ascii="Arial" w:cs="Arial" w:eastAsia="Arial" w:hAnsi="Arial"/>
                <w:sz w:val="18"/>
                <w:szCs w:val="18"/>
                <w:color w:val="auto"/>
              </w:rPr>
              <w:t>359,421</w:t>
            </w:r>
          </w:p>
        </w:tc>
        <w:tc>
          <w:tcPr>
            <w:tcW w:w="100" w:type="dxa"/>
            <w:vAlign w:val="bottom"/>
            <w:shd w:val="clear" w:color="auto" w:fill="D5EAEA"/>
          </w:tcPr>
          <w:p>
            <w:pPr>
              <w:spacing w:after="0"/>
              <w:rPr>
                <w:sz w:val="17"/>
                <w:szCs w:val="17"/>
                <w:color w:val="auto"/>
              </w:rPr>
            </w:pPr>
          </w:p>
        </w:tc>
        <w:tc>
          <w:tcPr>
            <w:tcW w:w="1340" w:type="dxa"/>
            <w:vAlign w:val="bottom"/>
            <w:gridSpan w:val="2"/>
            <w:shd w:val="clear" w:color="auto" w:fill="D5EAEA"/>
          </w:tcPr>
          <w:p>
            <w:pPr>
              <w:jc w:val="right"/>
              <w:ind w:right="100"/>
              <w:spacing w:after="0" w:line="202" w:lineRule="exact"/>
              <w:rPr>
                <w:sz w:val="20"/>
                <w:szCs w:val="20"/>
                <w:color w:val="auto"/>
              </w:rPr>
            </w:pPr>
            <w:r>
              <w:rPr>
                <w:rFonts w:ascii="Arial" w:cs="Arial" w:eastAsia="Arial" w:hAnsi="Arial"/>
                <w:sz w:val="18"/>
                <w:szCs w:val="18"/>
                <w:color w:val="auto"/>
              </w:rPr>
              <w:t>346,890</w:t>
            </w:r>
          </w:p>
        </w:tc>
        <w:tc>
          <w:tcPr>
            <w:tcW w:w="0" w:type="dxa"/>
            <w:vAlign w:val="bottom"/>
          </w:tcPr>
          <w:p>
            <w:pPr>
              <w:spacing w:after="0"/>
              <w:rPr>
                <w:sz w:val="1"/>
                <w:szCs w:val="1"/>
                <w:color w:val="auto"/>
              </w:rPr>
            </w:pPr>
          </w:p>
        </w:tc>
      </w:tr>
      <w:tr>
        <w:trPr>
          <w:trHeight w:val="203"/>
        </w:trPr>
        <w:tc>
          <w:tcPr>
            <w:tcW w:w="8440" w:type="dxa"/>
            <w:vAlign w:val="bottom"/>
          </w:tcPr>
          <w:p>
            <w:pPr>
              <w:ind w:left="180"/>
              <w:spacing w:after="0" w:line="202" w:lineRule="exact"/>
              <w:rPr>
                <w:sz w:val="20"/>
                <w:szCs w:val="20"/>
                <w:color w:val="auto"/>
              </w:rPr>
            </w:pPr>
            <w:r>
              <w:rPr>
                <w:rFonts w:ascii="Arial" w:cs="Arial" w:eastAsia="Arial" w:hAnsi="Arial"/>
                <w:sz w:val="18"/>
                <w:szCs w:val="18"/>
                <w:color w:val="auto"/>
              </w:rPr>
              <w:t>Treasury shares</w:t>
            </w:r>
          </w:p>
        </w:tc>
        <w:tc>
          <w:tcPr>
            <w:tcW w:w="136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(124)</w:t>
            </w:r>
          </w:p>
        </w:tc>
        <w:tc>
          <w:tcPr>
            <w:tcW w:w="100" w:type="dxa"/>
            <w:vAlign w:val="bottom"/>
          </w:tcPr>
          <w:p>
            <w:pPr>
              <w:spacing w:after="0"/>
              <w:rPr>
                <w:sz w:val="17"/>
                <w:szCs w:val="17"/>
                <w:color w:val="auto"/>
              </w:rPr>
            </w:pPr>
          </w:p>
        </w:tc>
        <w:tc>
          <w:tcPr>
            <w:tcW w:w="134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8440" w:type="dxa"/>
            <w:vAlign w:val="bottom"/>
            <w:shd w:val="clear" w:color="auto" w:fill="D5EAEA"/>
          </w:tcPr>
          <w:p>
            <w:pPr>
              <w:ind w:left="180"/>
              <w:spacing w:after="0"/>
              <w:rPr>
                <w:sz w:val="20"/>
                <w:szCs w:val="20"/>
                <w:color w:val="auto"/>
              </w:rPr>
            </w:pPr>
            <w:r>
              <w:rPr>
                <w:rFonts w:ascii="Arial" w:cs="Arial" w:eastAsia="Arial" w:hAnsi="Arial"/>
                <w:sz w:val="18"/>
                <w:szCs w:val="18"/>
                <w:color w:val="auto"/>
              </w:rPr>
              <w:t>Accumulated losses</w:t>
            </w:r>
          </w:p>
        </w:tc>
        <w:tc>
          <w:tcPr>
            <w:tcW w:w="1360" w:type="dxa"/>
            <w:vAlign w:val="bottom"/>
            <w:gridSpan w:val="2"/>
            <w:shd w:val="clear" w:color="auto" w:fill="D5EAEA"/>
          </w:tcPr>
          <w:p>
            <w:pPr>
              <w:jc w:val="right"/>
              <w:ind w:right="60"/>
              <w:spacing w:after="0"/>
              <w:rPr>
                <w:sz w:val="20"/>
                <w:szCs w:val="20"/>
                <w:color w:val="auto"/>
              </w:rPr>
            </w:pPr>
            <w:r>
              <w:rPr>
                <w:rFonts w:ascii="Arial" w:cs="Arial" w:eastAsia="Arial" w:hAnsi="Arial"/>
                <w:sz w:val="18"/>
                <w:szCs w:val="18"/>
                <w:color w:val="auto"/>
              </w:rPr>
              <w:t>(181,665)</w:t>
            </w:r>
          </w:p>
        </w:tc>
        <w:tc>
          <w:tcPr>
            <w:tcW w:w="100" w:type="dxa"/>
            <w:vAlign w:val="bottom"/>
            <w:shd w:val="clear" w:color="auto" w:fill="D5EAEA"/>
          </w:tcPr>
          <w:p>
            <w:pPr>
              <w:spacing w:after="0"/>
              <w:rPr>
                <w:sz w:val="18"/>
                <w:szCs w:val="18"/>
                <w:color w:val="auto"/>
              </w:rPr>
            </w:pPr>
          </w:p>
        </w:tc>
        <w:tc>
          <w:tcPr>
            <w:tcW w:w="1340" w:type="dxa"/>
            <w:vAlign w:val="bottom"/>
            <w:gridSpan w:val="2"/>
            <w:shd w:val="clear" w:color="auto" w:fill="D5EAEA"/>
          </w:tcPr>
          <w:p>
            <w:pPr>
              <w:jc w:val="right"/>
              <w:ind w:right="40"/>
              <w:spacing w:after="0"/>
              <w:rPr>
                <w:sz w:val="20"/>
                <w:szCs w:val="20"/>
                <w:color w:val="auto"/>
              </w:rPr>
            </w:pPr>
            <w:r>
              <w:rPr>
                <w:rFonts w:ascii="Arial" w:cs="Arial" w:eastAsia="Arial" w:hAnsi="Arial"/>
                <w:sz w:val="18"/>
                <w:szCs w:val="18"/>
                <w:color w:val="auto"/>
              </w:rPr>
              <w:t>(132,850)</w:t>
            </w:r>
          </w:p>
        </w:tc>
        <w:tc>
          <w:tcPr>
            <w:tcW w:w="0" w:type="dxa"/>
            <w:vAlign w:val="bottom"/>
          </w:tcPr>
          <w:p>
            <w:pPr>
              <w:spacing w:after="0"/>
              <w:rPr>
                <w:sz w:val="1"/>
                <w:szCs w:val="1"/>
                <w:color w:val="auto"/>
              </w:rPr>
            </w:pPr>
          </w:p>
        </w:tc>
      </w:tr>
      <w:tr>
        <w:trPr>
          <w:trHeight w:val="20"/>
        </w:trPr>
        <w:tc>
          <w:tcPr>
            <w:tcW w:w="8440" w:type="dxa"/>
            <w:vAlign w:val="bottom"/>
            <w:vMerge w:val="restart"/>
          </w:tcPr>
          <w:p>
            <w:pPr>
              <w:spacing w:after="0"/>
              <w:rPr>
                <w:sz w:val="20"/>
                <w:szCs w:val="20"/>
                <w:color w:val="auto"/>
              </w:rPr>
            </w:pPr>
            <w:r>
              <w:rPr>
                <w:rFonts w:ascii="Arial" w:cs="Arial" w:eastAsia="Arial" w:hAnsi="Arial"/>
                <w:sz w:val="18"/>
                <w:szCs w:val="18"/>
                <w:b w:val="1"/>
                <w:bCs w:val="1"/>
                <w:color w:val="auto"/>
              </w:rPr>
              <w:t>Total shareholders’ equity</w:t>
            </w:r>
          </w:p>
        </w:tc>
        <w:tc>
          <w:tcPr>
            <w:tcW w:w="12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8440" w:type="dxa"/>
            <w:vAlign w:val="bottom"/>
            <w:vMerge w:val="continue"/>
          </w:tcPr>
          <w:p>
            <w:pPr>
              <w:spacing w:after="0"/>
              <w:rPr>
                <w:sz w:val="21"/>
                <w:szCs w:val="21"/>
                <w:color w:val="auto"/>
              </w:rPr>
            </w:pPr>
          </w:p>
        </w:tc>
        <w:tc>
          <w:tcPr>
            <w:tcW w:w="1360" w:type="dxa"/>
            <w:vAlign w:val="bottom"/>
            <w:gridSpan w:val="2"/>
          </w:tcPr>
          <w:p>
            <w:pPr>
              <w:jc w:val="right"/>
              <w:ind w:right="120"/>
              <w:spacing w:after="0"/>
              <w:rPr>
                <w:sz w:val="20"/>
                <w:szCs w:val="20"/>
                <w:color w:val="auto"/>
              </w:rPr>
            </w:pPr>
            <w:r>
              <w:rPr>
                <w:rFonts w:ascii="Arial" w:cs="Arial" w:eastAsia="Arial" w:hAnsi="Arial"/>
                <w:sz w:val="18"/>
                <w:szCs w:val="18"/>
                <w:color w:val="auto"/>
              </w:rPr>
              <w:t>179,221</w:t>
            </w:r>
          </w:p>
        </w:tc>
        <w:tc>
          <w:tcPr>
            <w:tcW w:w="100" w:type="dxa"/>
            <w:vAlign w:val="bottom"/>
          </w:tcPr>
          <w:p>
            <w:pPr>
              <w:spacing w:after="0"/>
              <w:rPr>
                <w:sz w:val="21"/>
                <w:szCs w:val="21"/>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215,478</w:t>
            </w:r>
          </w:p>
        </w:tc>
        <w:tc>
          <w:tcPr>
            <w:tcW w:w="0" w:type="dxa"/>
            <w:vAlign w:val="bottom"/>
          </w:tcPr>
          <w:p>
            <w:pPr>
              <w:spacing w:after="0"/>
              <w:rPr>
                <w:sz w:val="1"/>
                <w:szCs w:val="1"/>
                <w:color w:val="auto"/>
              </w:rPr>
            </w:pPr>
          </w:p>
        </w:tc>
      </w:tr>
      <w:tr>
        <w:trPr>
          <w:trHeight w:val="183"/>
        </w:trPr>
        <w:tc>
          <w:tcPr>
            <w:tcW w:w="8440" w:type="dxa"/>
            <w:vAlign w:val="bottom"/>
            <w:tcBorders>
              <w:top w:val="single" w:sz="8" w:color="D5EAEA"/>
            </w:tcBorders>
            <w:shd w:val="clear" w:color="auto" w:fill="D5EAEA"/>
          </w:tcPr>
          <w:p>
            <w:pPr>
              <w:spacing w:after="0"/>
              <w:rPr>
                <w:sz w:val="15"/>
                <w:szCs w:val="15"/>
                <w:color w:val="auto"/>
              </w:rPr>
            </w:pPr>
          </w:p>
        </w:tc>
        <w:tc>
          <w:tcPr>
            <w:tcW w:w="1240" w:type="dxa"/>
            <w:vAlign w:val="bottom"/>
            <w:tcBorders>
              <w:top w:val="single" w:sz="8" w:color="auto"/>
            </w:tcBorders>
            <w:shd w:val="clear" w:color="auto" w:fill="D5EAEA"/>
          </w:tcPr>
          <w:p>
            <w:pPr>
              <w:spacing w:after="0"/>
              <w:rPr>
                <w:sz w:val="15"/>
                <w:szCs w:val="15"/>
                <w:color w:val="auto"/>
              </w:rPr>
            </w:pPr>
          </w:p>
        </w:tc>
        <w:tc>
          <w:tcPr>
            <w:tcW w:w="120" w:type="dxa"/>
            <w:vAlign w:val="bottom"/>
            <w:tcBorders>
              <w:top w:val="single" w:sz="8" w:color="D5EAEA"/>
            </w:tcBorders>
            <w:shd w:val="clear" w:color="auto" w:fill="D5EAEA"/>
          </w:tcPr>
          <w:p>
            <w:pPr>
              <w:spacing w:after="0"/>
              <w:rPr>
                <w:sz w:val="15"/>
                <w:szCs w:val="15"/>
                <w:color w:val="auto"/>
              </w:rPr>
            </w:pPr>
          </w:p>
        </w:tc>
        <w:tc>
          <w:tcPr>
            <w:tcW w:w="100" w:type="dxa"/>
            <w:vAlign w:val="bottom"/>
            <w:tcBorders>
              <w:top w:val="single" w:sz="8" w:color="D5EAEA"/>
            </w:tcBorders>
            <w:shd w:val="clear" w:color="auto" w:fill="D5EAEA"/>
          </w:tcPr>
          <w:p>
            <w:pPr>
              <w:spacing w:after="0"/>
              <w:rPr>
                <w:sz w:val="15"/>
                <w:szCs w:val="15"/>
                <w:color w:val="auto"/>
              </w:rPr>
            </w:pPr>
          </w:p>
        </w:tc>
        <w:tc>
          <w:tcPr>
            <w:tcW w:w="1240" w:type="dxa"/>
            <w:vAlign w:val="bottom"/>
            <w:tcBorders>
              <w:top w:val="single" w:sz="8" w:color="auto"/>
            </w:tcBorders>
            <w:shd w:val="clear" w:color="auto" w:fill="D5EAEA"/>
          </w:tcPr>
          <w:p>
            <w:pPr>
              <w:spacing w:after="0"/>
              <w:rPr>
                <w:sz w:val="15"/>
                <w:szCs w:val="15"/>
                <w:color w:val="auto"/>
              </w:rPr>
            </w:pPr>
          </w:p>
        </w:tc>
        <w:tc>
          <w:tcPr>
            <w:tcW w:w="100" w:type="dxa"/>
            <w:vAlign w:val="bottom"/>
            <w:tcBorders>
              <w:top w:val="single" w:sz="8" w:color="D5EAEA"/>
            </w:tcBorders>
            <w:shd w:val="clear" w:color="auto" w:fill="D5EAEA"/>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8440" w:type="dxa"/>
            <w:vAlign w:val="bottom"/>
          </w:tcPr>
          <w:p>
            <w:pPr>
              <w:spacing w:after="0" w:line="202" w:lineRule="exact"/>
              <w:rPr>
                <w:sz w:val="20"/>
                <w:szCs w:val="20"/>
                <w:color w:val="auto"/>
              </w:rPr>
            </w:pPr>
            <w:r>
              <w:rPr>
                <w:rFonts w:ascii="Arial" w:cs="Arial" w:eastAsia="Arial" w:hAnsi="Arial"/>
                <w:sz w:val="18"/>
                <w:szCs w:val="18"/>
                <w:b w:val="1"/>
                <w:bCs w:val="1"/>
                <w:color w:val="auto"/>
              </w:rPr>
              <w:t>Non-current liabilities</w:t>
            </w: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440" w:type="dxa"/>
            <w:vAlign w:val="bottom"/>
            <w:shd w:val="clear" w:color="auto" w:fill="D5EAEA"/>
          </w:tcPr>
          <w:p>
            <w:pPr>
              <w:ind w:left="180"/>
              <w:spacing w:after="0" w:line="202" w:lineRule="exact"/>
              <w:rPr>
                <w:sz w:val="20"/>
                <w:szCs w:val="20"/>
                <w:color w:val="auto"/>
              </w:rPr>
            </w:pPr>
            <w:r>
              <w:rPr>
                <w:rFonts w:ascii="Arial" w:cs="Arial" w:eastAsia="Arial" w:hAnsi="Arial"/>
                <w:sz w:val="18"/>
                <w:szCs w:val="18"/>
                <w:color w:val="auto"/>
              </w:rPr>
              <w:t>Long-term deferred income</w:t>
            </w:r>
          </w:p>
        </w:tc>
        <w:tc>
          <w:tcPr>
            <w:tcW w:w="1360" w:type="dxa"/>
            <w:vAlign w:val="bottom"/>
            <w:gridSpan w:val="2"/>
            <w:shd w:val="clear" w:color="auto" w:fill="D5EAEA"/>
          </w:tcPr>
          <w:p>
            <w:pPr>
              <w:jc w:val="right"/>
              <w:ind w:right="120"/>
              <w:spacing w:after="0" w:line="202" w:lineRule="exact"/>
              <w:rPr>
                <w:sz w:val="20"/>
                <w:szCs w:val="20"/>
                <w:color w:val="auto"/>
              </w:rPr>
            </w:pPr>
            <w:r>
              <w:rPr>
                <w:rFonts w:ascii="Arial" w:cs="Arial" w:eastAsia="Arial" w:hAnsi="Arial"/>
                <w:sz w:val="18"/>
                <w:szCs w:val="18"/>
                <w:color w:val="auto"/>
              </w:rPr>
              <w:t>31</w:t>
            </w:r>
          </w:p>
        </w:tc>
        <w:tc>
          <w:tcPr>
            <w:tcW w:w="100" w:type="dxa"/>
            <w:vAlign w:val="bottom"/>
            <w:shd w:val="clear" w:color="auto" w:fill="D5EAEA"/>
          </w:tcPr>
          <w:p>
            <w:pPr>
              <w:spacing w:after="0"/>
              <w:rPr>
                <w:sz w:val="17"/>
                <w:szCs w:val="17"/>
                <w:color w:val="auto"/>
              </w:rPr>
            </w:pPr>
          </w:p>
        </w:tc>
        <w:tc>
          <w:tcPr>
            <w:tcW w:w="1340" w:type="dxa"/>
            <w:vAlign w:val="bottom"/>
            <w:gridSpan w:val="2"/>
            <w:shd w:val="clear" w:color="auto" w:fill="D5EAEA"/>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8440" w:type="dxa"/>
            <w:vAlign w:val="bottom"/>
          </w:tcPr>
          <w:p>
            <w:pPr>
              <w:ind w:left="180"/>
              <w:spacing w:after="0" w:line="202" w:lineRule="exact"/>
              <w:rPr>
                <w:sz w:val="20"/>
                <w:szCs w:val="20"/>
                <w:color w:val="auto"/>
              </w:rPr>
            </w:pPr>
            <w:r>
              <w:rPr>
                <w:rFonts w:ascii="Arial" w:cs="Arial" w:eastAsia="Arial" w:hAnsi="Arial"/>
                <w:sz w:val="18"/>
                <w:szCs w:val="18"/>
                <w:color w:val="auto"/>
              </w:rPr>
              <w:t>Long-term lease liabilities</w:t>
            </w:r>
          </w:p>
        </w:tc>
        <w:tc>
          <w:tcPr>
            <w:tcW w:w="136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1,992</w:t>
            </w:r>
          </w:p>
        </w:tc>
        <w:tc>
          <w:tcPr>
            <w:tcW w:w="100" w:type="dxa"/>
            <w:vAlign w:val="bottom"/>
          </w:tcPr>
          <w:p>
            <w:pPr>
              <w:spacing w:after="0"/>
              <w:rPr>
                <w:sz w:val="17"/>
                <w:szCs w:val="17"/>
                <w:color w:val="auto"/>
              </w:rPr>
            </w:pPr>
          </w:p>
        </w:tc>
        <w:tc>
          <w:tcPr>
            <w:tcW w:w="13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1,780</w:t>
            </w:r>
          </w:p>
        </w:tc>
        <w:tc>
          <w:tcPr>
            <w:tcW w:w="0" w:type="dxa"/>
            <w:vAlign w:val="bottom"/>
          </w:tcPr>
          <w:p>
            <w:pPr>
              <w:spacing w:after="0"/>
              <w:rPr>
                <w:sz w:val="1"/>
                <w:szCs w:val="1"/>
                <w:color w:val="auto"/>
              </w:rPr>
            </w:pPr>
          </w:p>
        </w:tc>
      </w:tr>
      <w:tr>
        <w:trPr>
          <w:trHeight w:val="216"/>
        </w:trPr>
        <w:tc>
          <w:tcPr>
            <w:tcW w:w="8440" w:type="dxa"/>
            <w:vAlign w:val="bottom"/>
            <w:shd w:val="clear" w:color="auto" w:fill="D5EAEA"/>
          </w:tcPr>
          <w:p>
            <w:pPr>
              <w:ind w:left="180"/>
              <w:spacing w:after="0"/>
              <w:rPr>
                <w:sz w:val="20"/>
                <w:szCs w:val="20"/>
                <w:color w:val="auto"/>
              </w:rPr>
            </w:pPr>
            <w:r>
              <w:rPr>
                <w:rFonts w:ascii="Arial" w:cs="Arial" w:eastAsia="Arial" w:hAnsi="Arial"/>
                <w:sz w:val="18"/>
                <w:szCs w:val="18"/>
                <w:color w:val="auto"/>
              </w:rPr>
              <w:t>Net employee defined-benefit liabilities</w:t>
            </w:r>
          </w:p>
        </w:tc>
        <w:tc>
          <w:tcPr>
            <w:tcW w:w="1360" w:type="dxa"/>
            <w:vAlign w:val="bottom"/>
            <w:gridSpan w:val="2"/>
            <w:shd w:val="clear" w:color="auto" w:fill="D5EAEA"/>
          </w:tcPr>
          <w:p>
            <w:pPr>
              <w:jc w:val="right"/>
              <w:ind w:right="120"/>
              <w:spacing w:after="0"/>
              <w:rPr>
                <w:sz w:val="20"/>
                <w:szCs w:val="20"/>
                <w:color w:val="auto"/>
              </w:rPr>
            </w:pPr>
            <w:r>
              <w:rPr>
                <w:rFonts w:ascii="Arial" w:cs="Arial" w:eastAsia="Arial" w:hAnsi="Arial"/>
                <w:sz w:val="18"/>
                <w:szCs w:val="18"/>
                <w:color w:val="auto"/>
              </w:rPr>
              <w:t>7,929</w:t>
            </w:r>
          </w:p>
        </w:tc>
        <w:tc>
          <w:tcPr>
            <w:tcW w:w="100" w:type="dxa"/>
            <w:vAlign w:val="bottom"/>
            <w:shd w:val="clear" w:color="auto" w:fill="D5EAEA"/>
          </w:tcPr>
          <w:p>
            <w:pPr>
              <w:spacing w:after="0"/>
              <w:rPr>
                <w:sz w:val="18"/>
                <w:szCs w:val="18"/>
                <w:color w:val="auto"/>
              </w:rPr>
            </w:pPr>
          </w:p>
        </w:tc>
        <w:tc>
          <w:tcPr>
            <w:tcW w:w="1340" w:type="dxa"/>
            <w:vAlign w:val="bottom"/>
            <w:gridSpan w:val="2"/>
            <w:shd w:val="clear" w:color="auto" w:fill="D5EAEA"/>
          </w:tcPr>
          <w:p>
            <w:pPr>
              <w:jc w:val="right"/>
              <w:ind w:right="100"/>
              <w:spacing w:after="0"/>
              <w:rPr>
                <w:sz w:val="20"/>
                <w:szCs w:val="20"/>
                <w:color w:val="auto"/>
              </w:rPr>
            </w:pPr>
            <w:r>
              <w:rPr>
                <w:rFonts w:ascii="Arial" w:cs="Arial" w:eastAsia="Arial" w:hAnsi="Arial"/>
                <w:sz w:val="18"/>
                <w:szCs w:val="18"/>
                <w:color w:val="auto"/>
              </w:rPr>
              <w:t>7,464</w:t>
            </w:r>
          </w:p>
        </w:tc>
        <w:tc>
          <w:tcPr>
            <w:tcW w:w="0" w:type="dxa"/>
            <w:vAlign w:val="bottom"/>
          </w:tcPr>
          <w:p>
            <w:pPr>
              <w:spacing w:after="0"/>
              <w:rPr>
                <w:sz w:val="1"/>
                <w:szCs w:val="1"/>
                <w:color w:val="auto"/>
              </w:rPr>
            </w:pPr>
          </w:p>
        </w:tc>
      </w:tr>
      <w:tr>
        <w:trPr>
          <w:trHeight w:val="20"/>
        </w:trPr>
        <w:tc>
          <w:tcPr>
            <w:tcW w:w="8440" w:type="dxa"/>
            <w:vAlign w:val="bottom"/>
            <w:vMerge w:val="restart"/>
          </w:tcPr>
          <w:p>
            <w:pPr>
              <w:spacing w:after="0"/>
              <w:rPr>
                <w:sz w:val="20"/>
                <w:szCs w:val="20"/>
                <w:color w:val="auto"/>
              </w:rPr>
            </w:pPr>
            <w:r>
              <w:rPr>
                <w:rFonts w:ascii="Arial" w:cs="Arial" w:eastAsia="Arial" w:hAnsi="Arial"/>
                <w:sz w:val="18"/>
                <w:szCs w:val="18"/>
                <w:b w:val="1"/>
                <w:bCs w:val="1"/>
                <w:color w:val="auto"/>
              </w:rPr>
              <w:t>Total non-current liabilities</w:t>
            </w:r>
          </w:p>
        </w:tc>
        <w:tc>
          <w:tcPr>
            <w:tcW w:w="12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8440" w:type="dxa"/>
            <w:vAlign w:val="bottom"/>
            <w:vMerge w:val="continue"/>
          </w:tcPr>
          <w:p>
            <w:pPr>
              <w:spacing w:after="0"/>
              <w:rPr>
                <w:sz w:val="21"/>
                <w:szCs w:val="21"/>
                <w:color w:val="auto"/>
              </w:rPr>
            </w:pPr>
          </w:p>
        </w:tc>
        <w:tc>
          <w:tcPr>
            <w:tcW w:w="1360" w:type="dxa"/>
            <w:vAlign w:val="bottom"/>
            <w:gridSpan w:val="2"/>
          </w:tcPr>
          <w:p>
            <w:pPr>
              <w:jc w:val="right"/>
              <w:ind w:right="120"/>
              <w:spacing w:after="0"/>
              <w:rPr>
                <w:sz w:val="20"/>
                <w:szCs w:val="20"/>
                <w:color w:val="auto"/>
              </w:rPr>
            </w:pPr>
            <w:r>
              <w:rPr>
                <w:rFonts w:ascii="Arial" w:cs="Arial" w:eastAsia="Arial" w:hAnsi="Arial"/>
                <w:sz w:val="18"/>
                <w:szCs w:val="18"/>
                <w:color w:val="auto"/>
              </w:rPr>
              <w:t>9,952</w:t>
            </w:r>
          </w:p>
        </w:tc>
        <w:tc>
          <w:tcPr>
            <w:tcW w:w="100" w:type="dxa"/>
            <w:vAlign w:val="bottom"/>
          </w:tcPr>
          <w:p>
            <w:pPr>
              <w:spacing w:after="0"/>
              <w:rPr>
                <w:sz w:val="21"/>
                <w:szCs w:val="21"/>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9,244</w:t>
            </w:r>
          </w:p>
        </w:tc>
        <w:tc>
          <w:tcPr>
            <w:tcW w:w="0" w:type="dxa"/>
            <w:vAlign w:val="bottom"/>
          </w:tcPr>
          <w:p>
            <w:pPr>
              <w:spacing w:after="0"/>
              <w:rPr>
                <w:sz w:val="1"/>
                <w:szCs w:val="1"/>
                <w:color w:val="auto"/>
              </w:rPr>
            </w:pPr>
          </w:p>
        </w:tc>
      </w:tr>
      <w:tr>
        <w:trPr>
          <w:trHeight w:val="183"/>
        </w:trPr>
        <w:tc>
          <w:tcPr>
            <w:tcW w:w="8440" w:type="dxa"/>
            <w:vAlign w:val="bottom"/>
            <w:tcBorders>
              <w:top w:val="single" w:sz="8" w:color="D5EAEA"/>
            </w:tcBorders>
            <w:shd w:val="clear" w:color="auto" w:fill="D5EAEA"/>
          </w:tcPr>
          <w:p>
            <w:pPr>
              <w:spacing w:after="0"/>
              <w:rPr>
                <w:sz w:val="15"/>
                <w:szCs w:val="15"/>
                <w:color w:val="auto"/>
              </w:rPr>
            </w:pPr>
          </w:p>
        </w:tc>
        <w:tc>
          <w:tcPr>
            <w:tcW w:w="1240" w:type="dxa"/>
            <w:vAlign w:val="bottom"/>
            <w:tcBorders>
              <w:top w:val="single" w:sz="8" w:color="auto"/>
            </w:tcBorders>
            <w:shd w:val="clear" w:color="auto" w:fill="D5EAEA"/>
          </w:tcPr>
          <w:p>
            <w:pPr>
              <w:spacing w:after="0"/>
              <w:rPr>
                <w:sz w:val="15"/>
                <w:szCs w:val="15"/>
                <w:color w:val="auto"/>
              </w:rPr>
            </w:pPr>
          </w:p>
        </w:tc>
        <w:tc>
          <w:tcPr>
            <w:tcW w:w="120" w:type="dxa"/>
            <w:vAlign w:val="bottom"/>
            <w:tcBorders>
              <w:top w:val="single" w:sz="8" w:color="D5EAEA"/>
            </w:tcBorders>
            <w:shd w:val="clear" w:color="auto" w:fill="D5EAEA"/>
          </w:tcPr>
          <w:p>
            <w:pPr>
              <w:spacing w:after="0"/>
              <w:rPr>
                <w:sz w:val="15"/>
                <w:szCs w:val="15"/>
                <w:color w:val="auto"/>
              </w:rPr>
            </w:pPr>
          </w:p>
        </w:tc>
        <w:tc>
          <w:tcPr>
            <w:tcW w:w="100" w:type="dxa"/>
            <w:vAlign w:val="bottom"/>
            <w:tcBorders>
              <w:top w:val="single" w:sz="8" w:color="D5EAEA"/>
            </w:tcBorders>
            <w:shd w:val="clear" w:color="auto" w:fill="D5EAEA"/>
          </w:tcPr>
          <w:p>
            <w:pPr>
              <w:spacing w:after="0"/>
              <w:rPr>
                <w:sz w:val="15"/>
                <w:szCs w:val="15"/>
                <w:color w:val="auto"/>
              </w:rPr>
            </w:pPr>
          </w:p>
        </w:tc>
        <w:tc>
          <w:tcPr>
            <w:tcW w:w="1240" w:type="dxa"/>
            <w:vAlign w:val="bottom"/>
            <w:tcBorders>
              <w:top w:val="single" w:sz="8" w:color="auto"/>
            </w:tcBorders>
            <w:shd w:val="clear" w:color="auto" w:fill="D5EAEA"/>
          </w:tcPr>
          <w:p>
            <w:pPr>
              <w:spacing w:after="0"/>
              <w:rPr>
                <w:sz w:val="15"/>
                <w:szCs w:val="15"/>
                <w:color w:val="auto"/>
              </w:rPr>
            </w:pPr>
          </w:p>
        </w:tc>
        <w:tc>
          <w:tcPr>
            <w:tcW w:w="100" w:type="dxa"/>
            <w:vAlign w:val="bottom"/>
            <w:tcBorders>
              <w:top w:val="single" w:sz="8" w:color="D5EAEA"/>
            </w:tcBorders>
            <w:shd w:val="clear" w:color="auto" w:fill="D5EAEA"/>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8440" w:type="dxa"/>
            <w:vAlign w:val="bottom"/>
          </w:tcPr>
          <w:p>
            <w:pPr>
              <w:spacing w:after="0" w:line="202" w:lineRule="exact"/>
              <w:rPr>
                <w:sz w:val="20"/>
                <w:szCs w:val="20"/>
                <w:color w:val="auto"/>
              </w:rPr>
            </w:pPr>
            <w:r>
              <w:rPr>
                <w:rFonts w:ascii="Arial" w:cs="Arial" w:eastAsia="Arial" w:hAnsi="Arial"/>
                <w:sz w:val="18"/>
                <w:szCs w:val="18"/>
                <w:b w:val="1"/>
                <w:bCs w:val="1"/>
                <w:color w:val="auto"/>
              </w:rPr>
              <w:t>Current liabilities</w:t>
            </w: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440" w:type="dxa"/>
            <w:vAlign w:val="bottom"/>
            <w:shd w:val="clear" w:color="auto" w:fill="D5EAEA"/>
          </w:tcPr>
          <w:p>
            <w:pPr>
              <w:ind w:left="180"/>
              <w:spacing w:after="0" w:line="202" w:lineRule="exact"/>
              <w:rPr>
                <w:sz w:val="20"/>
                <w:szCs w:val="20"/>
                <w:color w:val="auto"/>
              </w:rPr>
            </w:pPr>
            <w:r>
              <w:rPr>
                <w:rFonts w:ascii="Arial" w:cs="Arial" w:eastAsia="Arial" w:hAnsi="Arial"/>
                <w:sz w:val="18"/>
                <w:szCs w:val="18"/>
                <w:color w:val="auto"/>
              </w:rPr>
              <w:t>Trade and other payables</w:t>
            </w:r>
          </w:p>
        </w:tc>
        <w:tc>
          <w:tcPr>
            <w:tcW w:w="1360" w:type="dxa"/>
            <w:vAlign w:val="bottom"/>
            <w:gridSpan w:val="2"/>
            <w:shd w:val="clear" w:color="auto" w:fill="D5EAEA"/>
          </w:tcPr>
          <w:p>
            <w:pPr>
              <w:jc w:val="right"/>
              <w:ind w:right="120"/>
              <w:spacing w:after="0" w:line="202" w:lineRule="exact"/>
              <w:rPr>
                <w:sz w:val="20"/>
                <w:szCs w:val="20"/>
                <w:color w:val="auto"/>
              </w:rPr>
            </w:pPr>
            <w:r>
              <w:rPr>
                <w:rFonts w:ascii="Arial" w:cs="Arial" w:eastAsia="Arial" w:hAnsi="Arial"/>
                <w:sz w:val="18"/>
                <w:szCs w:val="18"/>
                <w:color w:val="auto"/>
              </w:rPr>
              <w:t>215</w:t>
            </w:r>
          </w:p>
        </w:tc>
        <w:tc>
          <w:tcPr>
            <w:tcW w:w="100" w:type="dxa"/>
            <w:vAlign w:val="bottom"/>
            <w:shd w:val="clear" w:color="auto" w:fill="D5EAEA"/>
          </w:tcPr>
          <w:p>
            <w:pPr>
              <w:spacing w:after="0"/>
              <w:rPr>
                <w:sz w:val="17"/>
                <w:szCs w:val="17"/>
                <w:color w:val="auto"/>
              </w:rPr>
            </w:pPr>
          </w:p>
        </w:tc>
        <w:tc>
          <w:tcPr>
            <w:tcW w:w="1340" w:type="dxa"/>
            <w:vAlign w:val="bottom"/>
            <w:gridSpan w:val="2"/>
            <w:shd w:val="clear" w:color="auto" w:fill="D5EAEA"/>
          </w:tcPr>
          <w:p>
            <w:pPr>
              <w:jc w:val="right"/>
              <w:ind w:right="100"/>
              <w:spacing w:after="0" w:line="202" w:lineRule="exact"/>
              <w:rPr>
                <w:sz w:val="20"/>
                <w:szCs w:val="20"/>
                <w:color w:val="auto"/>
              </w:rPr>
            </w:pPr>
            <w:r>
              <w:rPr>
                <w:rFonts w:ascii="Arial" w:cs="Arial" w:eastAsia="Arial" w:hAnsi="Arial"/>
                <w:sz w:val="18"/>
                <w:szCs w:val="18"/>
                <w:color w:val="auto"/>
              </w:rPr>
              <w:t>2,184</w:t>
            </w:r>
          </w:p>
        </w:tc>
        <w:tc>
          <w:tcPr>
            <w:tcW w:w="0" w:type="dxa"/>
            <w:vAlign w:val="bottom"/>
          </w:tcPr>
          <w:p>
            <w:pPr>
              <w:spacing w:after="0"/>
              <w:rPr>
                <w:sz w:val="1"/>
                <w:szCs w:val="1"/>
                <w:color w:val="auto"/>
              </w:rPr>
            </w:pPr>
          </w:p>
        </w:tc>
      </w:tr>
      <w:tr>
        <w:trPr>
          <w:trHeight w:val="203"/>
        </w:trPr>
        <w:tc>
          <w:tcPr>
            <w:tcW w:w="8440" w:type="dxa"/>
            <w:vAlign w:val="bottom"/>
          </w:tcPr>
          <w:p>
            <w:pPr>
              <w:ind w:left="180"/>
              <w:spacing w:after="0" w:line="202" w:lineRule="exact"/>
              <w:rPr>
                <w:sz w:val="20"/>
                <w:szCs w:val="20"/>
                <w:color w:val="auto"/>
              </w:rPr>
            </w:pPr>
            <w:r>
              <w:rPr>
                <w:rFonts w:ascii="Arial" w:cs="Arial" w:eastAsia="Arial" w:hAnsi="Arial"/>
                <w:sz w:val="18"/>
                <w:szCs w:val="18"/>
                <w:color w:val="auto"/>
              </w:rPr>
              <w:t>Accrued expenses</w:t>
            </w:r>
          </w:p>
        </w:tc>
        <w:tc>
          <w:tcPr>
            <w:tcW w:w="136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13,308</w:t>
            </w:r>
          </w:p>
        </w:tc>
        <w:tc>
          <w:tcPr>
            <w:tcW w:w="100" w:type="dxa"/>
            <w:vAlign w:val="bottom"/>
          </w:tcPr>
          <w:p>
            <w:pPr>
              <w:spacing w:after="0"/>
              <w:rPr>
                <w:sz w:val="17"/>
                <w:szCs w:val="17"/>
                <w:color w:val="auto"/>
              </w:rPr>
            </w:pPr>
          </w:p>
        </w:tc>
        <w:tc>
          <w:tcPr>
            <w:tcW w:w="13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11,085</w:t>
            </w:r>
          </w:p>
        </w:tc>
        <w:tc>
          <w:tcPr>
            <w:tcW w:w="0" w:type="dxa"/>
            <w:vAlign w:val="bottom"/>
          </w:tcPr>
          <w:p>
            <w:pPr>
              <w:spacing w:after="0"/>
              <w:rPr>
                <w:sz w:val="1"/>
                <w:szCs w:val="1"/>
                <w:color w:val="auto"/>
              </w:rPr>
            </w:pPr>
          </w:p>
        </w:tc>
      </w:tr>
      <w:tr>
        <w:trPr>
          <w:trHeight w:val="203"/>
        </w:trPr>
        <w:tc>
          <w:tcPr>
            <w:tcW w:w="8440" w:type="dxa"/>
            <w:vAlign w:val="bottom"/>
            <w:shd w:val="clear" w:color="auto" w:fill="D5EAEA"/>
          </w:tcPr>
          <w:p>
            <w:pPr>
              <w:ind w:left="180"/>
              <w:spacing w:after="0" w:line="202" w:lineRule="exact"/>
              <w:rPr>
                <w:sz w:val="20"/>
                <w:szCs w:val="20"/>
                <w:color w:val="auto"/>
              </w:rPr>
            </w:pPr>
            <w:r>
              <w:rPr>
                <w:rFonts w:ascii="Arial" w:cs="Arial" w:eastAsia="Arial" w:hAnsi="Arial"/>
                <w:sz w:val="18"/>
                <w:szCs w:val="18"/>
                <w:color w:val="auto"/>
              </w:rPr>
              <w:t>Short-term deferred income</w:t>
            </w:r>
          </w:p>
        </w:tc>
        <w:tc>
          <w:tcPr>
            <w:tcW w:w="1360" w:type="dxa"/>
            <w:vAlign w:val="bottom"/>
            <w:gridSpan w:val="2"/>
            <w:shd w:val="clear" w:color="auto" w:fill="D5EAEA"/>
          </w:tcPr>
          <w:p>
            <w:pPr>
              <w:jc w:val="right"/>
              <w:ind w:right="120"/>
              <w:spacing w:after="0" w:line="202" w:lineRule="exact"/>
              <w:rPr>
                <w:sz w:val="20"/>
                <w:szCs w:val="20"/>
                <w:color w:val="auto"/>
              </w:rPr>
            </w:pPr>
            <w:r>
              <w:rPr>
                <w:rFonts w:ascii="Arial" w:cs="Arial" w:eastAsia="Arial" w:hAnsi="Arial"/>
                <w:sz w:val="18"/>
                <w:szCs w:val="18"/>
                <w:color w:val="auto"/>
              </w:rPr>
              <w:t>123</w:t>
            </w:r>
          </w:p>
        </w:tc>
        <w:tc>
          <w:tcPr>
            <w:tcW w:w="100" w:type="dxa"/>
            <w:vAlign w:val="bottom"/>
            <w:shd w:val="clear" w:color="auto" w:fill="D5EAEA"/>
          </w:tcPr>
          <w:p>
            <w:pPr>
              <w:spacing w:after="0"/>
              <w:rPr>
                <w:sz w:val="17"/>
                <w:szCs w:val="17"/>
                <w:color w:val="auto"/>
              </w:rPr>
            </w:pPr>
          </w:p>
        </w:tc>
        <w:tc>
          <w:tcPr>
            <w:tcW w:w="1340" w:type="dxa"/>
            <w:vAlign w:val="bottom"/>
            <w:gridSpan w:val="2"/>
            <w:shd w:val="clear" w:color="auto" w:fill="D5EAEA"/>
          </w:tcPr>
          <w:p>
            <w:pPr>
              <w:jc w:val="right"/>
              <w:ind w:right="100"/>
              <w:spacing w:after="0" w:line="202" w:lineRule="exact"/>
              <w:rPr>
                <w:sz w:val="20"/>
                <w:szCs w:val="20"/>
                <w:color w:val="auto"/>
              </w:rPr>
            </w:pPr>
            <w:r>
              <w:rPr>
                <w:rFonts w:ascii="Arial" w:cs="Arial" w:eastAsia="Arial" w:hAnsi="Arial"/>
                <w:sz w:val="18"/>
                <w:szCs w:val="18"/>
                <w:color w:val="auto"/>
              </w:rPr>
              <w:t>306</w:t>
            </w:r>
          </w:p>
        </w:tc>
        <w:tc>
          <w:tcPr>
            <w:tcW w:w="0" w:type="dxa"/>
            <w:vAlign w:val="bottom"/>
          </w:tcPr>
          <w:p>
            <w:pPr>
              <w:spacing w:after="0"/>
              <w:rPr>
                <w:sz w:val="1"/>
                <w:szCs w:val="1"/>
                <w:color w:val="auto"/>
              </w:rPr>
            </w:pPr>
          </w:p>
        </w:tc>
      </w:tr>
      <w:tr>
        <w:trPr>
          <w:trHeight w:val="216"/>
        </w:trPr>
        <w:tc>
          <w:tcPr>
            <w:tcW w:w="8440" w:type="dxa"/>
            <w:vAlign w:val="bottom"/>
          </w:tcPr>
          <w:p>
            <w:pPr>
              <w:ind w:left="180"/>
              <w:spacing w:after="0"/>
              <w:rPr>
                <w:sz w:val="20"/>
                <w:szCs w:val="20"/>
                <w:color w:val="auto"/>
              </w:rPr>
            </w:pPr>
            <w:r>
              <w:rPr>
                <w:rFonts w:ascii="Arial" w:cs="Arial" w:eastAsia="Arial" w:hAnsi="Arial"/>
                <w:sz w:val="18"/>
                <w:szCs w:val="18"/>
                <w:color w:val="auto"/>
              </w:rPr>
              <w:t>Short-term lease liabilities</w:t>
            </w:r>
          </w:p>
        </w:tc>
        <w:tc>
          <w:tcPr>
            <w:tcW w:w="1360" w:type="dxa"/>
            <w:vAlign w:val="bottom"/>
            <w:gridSpan w:val="2"/>
          </w:tcPr>
          <w:p>
            <w:pPr>
              <w:jc w:val="right"/>
              <w:ind w:right="120"/>
              <w:spacing w:after="0"/>
              <w:rPr>
                <w:sz w:val="20"/>
                <w:szCs w:val="20"/>
                <w:color w:val="auto"/>
              </w:rPr>
            </w:pPr>
            <w:r>
              <w:rPr>
                <w:rFonts w:ascii="Arial" w:cs="Arial" w:eastAsia="Arial" w:hAnsi="Arial"/>
                <w:sz w:val="18"/>
                <w:szCs w:val="18"/>
                <w:color w:val="auto"/>
              </w:rPr>
              <w:t>577</w:t>
            </w:r>
          </w:p>
        </w:tc>
        <w:tc>
          <w:tcPr>
            <w:tcW w:w="10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443</w:t>
            </w:r>
          </w:p>
        </w:tc>
        <w:tc>
          <w:tcPr>
            <w:tcW w:w="0" w:type="dxa"/>
            <w:vAlign w:val="bottom"/>
          </w:tcPr>
          <w:p>
            <w:pPr>
              <w:spacing w:after="0"/>
              <w:rPr>
                <w:sz w:val="1"/>
                <w:szCs w:val="1"/>
                <w:color w:val="auto"/>
              </w:rPr>
            </w:pPr>
          </w:p>
        </w:tc>
      </w:tr>
      <w:tr>
        <w:trPr>
          <w:trHeight w:val="20"/>
        </w:trPr>
        <w:tc>
          <w:tcPr>
            <w:tcW w:w="8440" w:type="dxa"/>
            <w:vAlign w:val="bottom"/>
            <w:vMerge w:val="restart"/>
            <w:shd w:val="clear" w:color="auto" w:fill="D5EAEA"/>
          </w:tcPr>
          <w:p>
            <w:pPr>
              <w:spacing w:after="0"/>
              <w:rPr>
                <w:sz w:val="20"/>
                <w:szCs w:val="20"/>
                <w:color w:val="auto"/>
              </w:rPr>
            </w:pPr>
            <w:r>
              <w:rPr>
                <w:rFonts w:ascii="Arial" w:cs="Arial" w:eastAsia="Arial" w:hAnsi="Arial"/>
                <w:sz w:val="18"/>
                <w:szCs w:val="18"/>
                <w:b w:val="1"/>
                <w:bCs w:val="1"/>
                <w:color w:val="auto"/>
              </w:rPr>
              <w:t>Total current liabilities</w:t>
            </w:r>
          </w:p>
        </w:tc>
        <w:tc>
          <w:tcPr>
            <w:tcW w:w="1240" w:type="dxa"/>
            <w:vAlign w:val="bottom"/>
            <w:shd w:val="clear" w:color="auto" w:fill="000000"/>
          </w:tcPr>
          <w:p>
            <w:pPr>
              <w:spacing w:after="0" w:line="20" w:lineRule="exact"/>
              <w:rPr>
                <w:sz w:val="1"/>
                <w:szCs w:val="1"/>
                <w:color w:val="auto"/>
              </w:rPr>
            </w:pPr>
          </w:p>
        </w:tc>
        <w:tc>
          <w:tcPr>
            <w:tcW w:w="120" w:type="dxa"/>
            <w:vAlign w:val="bottom"/>
            <w:shd w:val="clear" w:color="auto" w:fill="D5EAEA"/>
          </w:tcPr>
          <w:p>
            <w:pPr>
              <w:spacing w:after="0" w:line="20" w:lineRule="exact"/>
              <w:rPr>
                <w:sz w:val="1"/>
                <w:szCs w:val="1"/>
                <w:color w:val="auto"/>
              </w:rPr>
            </w:pPr>
          </w:p>
        </w:tc>
        <w:tc>
          <w:tcPr>
            <w:tcW w:w="100" w:type="dxa"/>
            <w:vAlign w:val="bottom"/>
            <w:shd w:val="clear" w:color="auto" w:fill="D5EAEA"/>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00" w:type="dxa"/>
            <w:vAlign w:val="bottom"/>
            <w:shd w:val="clear" w:color="auto" w:fill="D5EAEA"/>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440" w:type="dxa"/>
            <w:vAlign w:val="bottom"/>
            <w:vMerge w:val="continue"/>
            <w:shd w:val="clear" w:color="auto" w:fill="D5EAEA"/>
          </w:tcPr>
          <w:p>
            <w:pPr>
              <w:spacing w:after="0"/>
              <w:rPr>
                <w:sz w:val="18"/>
                <w:szCs w:val="18"/>
                <w:color w:val="auto"/>
              </w:rPr>
            </w:pPr>
          </w:p>
        </w:tc>
        <w:tc>
          <w:tcPr>
            <w:tcW w:w="1360" w:type="dxa"/>
            <w:vAlign w:val="bottom"/>
            <w:gridSpan w:val="2"/>
            <w:shd w:val="clear" w:color="auto" w:fill="D5EAEA"/>
          </w:tcPr>
          <w:p>
            <w:pPr>
              <w:jc w:val="right"/>
              <w:ind w:right="120"/>
              <w:spacing w:after="0"/>
              <w:rPr>
                <w:sz w:val="20"/>
                <w:szCs w:val="20"/>
                <w:color w:val="auto"/>
              </w:rPr>
            </w:pPr>
            <w:r>
              <w:rPr>
                <w:rFonts w:ascii="Arial" w:cs="Arial" w:eastAsia="Arial" w:hAnsi="Arial"/>
                <w:sz w:val="18"/>
                <w:szCs w:val="18"/>
                <w:color w:val="auto"/>
              </w:rPr>
              <w:t>14,223</w:t>
            </w:r>
          </w:p>
        </w:tc>
        <w:tc>
          <w:tcPr>
            <w:tcW w:w="100" w:type="dxa"/>
            <w:vAlign w:val="bottom"/>
            <w:shd w:val="clear" w:color="auto" w:fill="D5EAEA"/>
          </w:tcPr>
          <w:p>
            <w:pPr>
              <w:spacing w:after="0"/>
              <w:rPr>
                <w:sz w:val="18"/>
                <w:szCs w:val="18"/>
                <w:color w:val="auto"/>
              </w:rPr>
            </w:pPr>
          </w:p>
        </w:tc>
        <w:tc>
          <w:tcPr>
            <w:tcW w:w="1340" w:type="dxa"/>
            <w:vAlign w:val="bottom"/>
            <w:gridSpan w:val="2"/>
            <w:shd w:val="clear" w:color="auto" w:fill="D5EAEA"/>
          </w:tcPr>
          <w:p>
            <w:pPr>
              <w:jc w:val="right"/>
              <w:ind w:right="100"/>
              <w:spacing w:after="0"/>
              <w:rPr>
                <w:sz w:val="20"/>
                <w:szCs w:val="20"/>
                <w:color w:val="auto"/>
              </w:rPr>
            </w:pPr>
            <w:r>
              <w:rPr>
                <w:rFonts w:ascii="Arial" w:cs="Arial" w:eastAsia="Arial" w:hAnsi="Arial"/>
                <w:sz w:val="18"/>
                <w:szCs w:val="18"/>
                <w:color w:val="auto"/>
              </w:rPr>
              <w:t>14,018</w:t>
            </w:r>
          </w:p>
        </w:tc>
        <w:tc>
          <w:tcPr>
            <w:tcW w:w="0" w:type="dxa"/>
            <w:vAlign w:val="bottom"/>
          </w:tcPr>
          <w:p>
            <w:pPr>
              <w:spacing w:after="0"/>
              <w:rPr>
                <w:sz w:val="1"/>
                <w:szCs w:val="1"/>
                <w:color w:val="auto"/>
              </w:rPr>
            </w:pPr>
          </w:p>
        </w:tc>
      </w:tr>
      <w:tr>
        <w:trPr>
          <w:trHeight w:val="20"/>
        </w:trPr>
        <w:tc>
          <w:tcPr>
            <w:tcW w:w="8440" w:type="dxa"/>
            <w:vAlign w:val="bottom"/>
            <w:tcBorders>
              <w:top w:val="single" w:sz="8" w:color="D5EAEA"/>
              <w:bottom w:val="single" w:sz="8" w:color="D5EAEA"/>
            </w:tcBorders>
            <w:vMerge w:val="restart"/>
          </w:tcPr>
          <w:p>
            <w:pPr>
              <w:spacing w:after="0"/>
              <w:rPr>
                <w:sz w:val="20"/>
                <w:szCs w:val="20"/>
                <w:color w:val="auto"/>
              </w:rPr>
            </w:pPr>
            <w:r>
              <w:rPr>
                <w:rFonts w:ascii="Arial" w:cs="Arial" w:eastAsia="Arial" w:hAnsi="Arial"/>
                <w:sz w:val="18"/>
                <w:szCs w:val="18"/>
                <w:b w:val="1"/>
                <w:bCs w:val="1"/>
                <w:color w:val="auto"/>
              </w:rPr>
              <w:t>Total liabilities</w:t>
            </w: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D5EAEA"/>
            </w:tcBorders>
          </w:tcPr>
          <w:p>
            <w:pPr>
              <w:spacing w:after="0" w:line="20" w:lineRule="exact"/>
              <w:rPr>
                <w:sz w:val="1"/>
                <w:szCs w:val="1"/>
                <w:color w:val="auto"/>
              </w:rPr>
            </w:pPr>
          </w:p>
        </w:tc>
        <w:tc>
          <w:tcPr>
            <w:tcW w:w="100" w:type="dxa"/>
            <w:vAlign w:val="bottom"/>
            <w:tcBorders>
              <w:top w:val="single" w:sz="8" w:color="D5EAEA"/>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D5EAEA"/>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8440" w:type="dxa"/>
            <w:vAlign w:val="bottom"/>
            <w:tcBorders>
              <w:bottom w:val="single" w:sz="8" w:color="D5EAEA"/>
            </w:tcBorders>
            <w:vMerge w:val="continue"/>
          </w:tcPr>
          <w:p>
            <w:pPr>
              <w:spacing w:after="0"/>
              <w:rPr>
                <w:sz w:val="19"/>
                <w:szCs w:val="19"/>
                <w:color w:val="auto"/>
              </w:rPr>
            </w:pPr>
          </w:p>
        </w:tc>
        <w:tc>
          <w:tcPr>
            <w:tcW w:w="124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8"/>
                <w:szCs w:val="18"/>
                <w:color w:val="auto"/>
              </w:rPr>
              <w:t>24,175</w:t>
            </w:r>
          </w:p>
        </w:tc>
        <w:tc>
          <w:tcPr>
            <w:tcW w:w="120" w:type="dxa"/>
            <w:vAlign w:val="bottom"/>
            <w:tcBorders>
              <w:bottom w:val="single" w:sz="8" w:color="D5EAEA"/>
            </w:tcBorders>
          </w:tcPr>
          <w:p>
            <w:pPr>
              <w:spacing w:after="0"/>
              <w:rPr>
                <w:sz w:val="19"/>
                <w:szCs w:val="19"/>
                <w:color w:val="auto"/>
              </w:rPr>
            </w:pPr>
          </w:p>
        </w:tc>
        <w:tc>
          <w:tcPr>
            <w:tcW w:w="100" w:type="dxa"/>
            <w:vAlign w:val="bottom"/>
            <w:tcBorders>
              <w:bottom w:val="single" w:sz="8" w:color="D5EAEA"/>
            </w:tcBorders>
          </w:tcPr>
          <w:p>
            <w:pPr>
              <w:spacing w:after="0"/>
              <w:rPr>
                <w:sz w:val="19"/>
                <w:szCs w:val="19"/>
                <w:color w:val="auto"/>
              </w:rPr>
            </w:pPr>
          </w:p>
        </w:tc>
        <w:tc>
          <w:tcPr>
            <w:tcW w:w="124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8"/>
                <w:szCs w:val="18"/>
                <w:color w:val="auto"/>
              </w:rPr>
              <w:t>23,262</w:t>
            </w:r>
          </w:p>
        </w:tc>
        <w:tc>
          <w:tcPr>
            <w:tcW w:w="100" w:type="dxa"/>
            <w:vAlign w:val="bottom"/>
            <w:tcBorders>
              <w:bottom w:val="single" w:sz="8" w:color="D5EAEA"/>
            </w:tcBorders>
          </w:tcPr>
          <w:p>
            <w:pPr>
              <w:spacing w:after="0"/>
              <w:rPr>
                <w:sz w:val="19"/>
                <w:szCs w:val="19"/>
                <w:color w:val="auto"/>
              </w:rPr>
            </w:pPr>
          </w:p>
        </w:tc>
        <w:tc>
          <w:tcPr>
            <w:tcW w:w="0" w:type="dxa"/>
            <w:vAlign w:val="bottom"/>
          </w:tcPr>
          <w:p>
            <w:pPr>
              <w:spacing w:after="0"/>
              <w:rPr>
                <w:sz w:val="1"/>
                <w:szCs w:val="1"/>
                <w:color w:val="auto"/>
              </w:rPr>
            </w:pPr>
          </w:p>
        </w:tc>
      </w:tr>
      <w:tr>
        <w:trPr>
          <w:trHeight w:val="183"/>
        </w:trPr>
        <w:tc>
          <w:tcPr>
            <w:tcW w:w="8440" w:type="dxa"/>
            <w:vAlign w:val="bottom"/>
            <w:tcBorders>
              <w:bottom w:val="single" w:sz="8" w:color="D5EAEA"/>
            </w:tcBorders>
            <w:shd w:val="clear" w:color="auto" w:fill="D5EAEA"/>
          </w:tcPr>
          <w:p>
            <w:pPr>
              <w:spacing w:after="0" w:line="183" w:lineRule="exact"/>
              <w:rPr>
                <w:sz w:val="20"/>
                <w:szCs w:val="20"/>
                <w:color w:val="auto"/>
              </w:rPr>
            </w:pPr>
            <w:r>
              <w:rPr>
                <w:rFonts w:ascii="Arial" w:cs="Arial" w:eastAsia="Arial" w:hAnsi="Arial"/>
                <w:sz w:val="18"/>
                <w:szCs w:val="18"/>
                <w:b w:val="1"/>
                <w:bCs w:val="1"/>
                <w:color w:val="auto"/>
              </w:rPr>
              <w:t>Total shareholders’ equity and liabilities</w:t>
            </w:r>
          </w:p>
        </w:tc>
        <w:tc>
          <w:tcPr>
            <w:tcW w:w="1240" w:type="dxa"/>
            <w:vAlign w:val="bottom"/>
            <w:tcBorders>
              <w:bottom w:val="single" w:sz="8" w:color="auto"/>
            </w:tcBorders>
            <w:shd w:val="clear" w:color="auto" w:fill="D5EAEA"/>
          </w:tcPr>
          <w:p>
            <w:pPr>
              <w:jc w:val="right"/>
              <w:spacing w:after="0" w:line="183" w:lineRule="exact"/>
              <w:rPr>
                <w:sz w:val="20"/>
                <w:szCs w:val="20"/>
                <w:color w:val="auto"/>
              </w:rPr>
            </w:pPr>
            <w:r>
              <w:rPr>
                <w:rFonts w:ascii="Arial" w:cs="Arial" w:eastAsia="Arial" w:hAnsi="Arial"/>
                <w:sz w:val="18"/>
                <w:szCs w:val="18"/>
                <w:color w:val="auto"/>
              </w:rPr>
              <w:t>203,396</w:t>
            </w:r>
          </w:p>
        </w:tc>
        <w:tc>
          <w:tcPr>
            <w:tcW w:w="120" w:type="dxa"/>
            <w:vAlign w:val="bottom"/>
            <w:tcBorders>
              <w:bottom w:val="single" w:sz="8" w:color="D5EAEA"/>
            </w:tcBorders>
            <w:shd w:val="clear" w:color="auto" w:fill="D5EAEA"/>
          </w:tcPr>
          <w:p>
            <w:pPr>
              <w:spacing w:after="0"/>
              <w:rPr>
                <w:sz w:val="15"/>
                <w:szCs w:val="15"/>
                <w:color w:val="auto"/>
              </w:rPr>
            </w:pPr>
          </w:p>
        </w:tc>
        <w:tc>
          <w:tcPr>
            <w:tcW w:w="100" w:type="dxa"/>
            <w:vAlign w:val="bottom"/>
            <w:tcBorders>
              <w:bottom w:val="single" w:sz="8" w:color="D5EAEA"/>
            </w:tcBorders>
            <w:shd w:val="clear" w:color="auto" w:fill="D5EAEA"/>
          </w:tcPr>
          <w:p>
            <w:pPr>
              <w:spacing w:after="0"/>
              <w:rPr>
                <w:sz w:val="15"/>
                <w:szCs w:val="15"/>
                <w:color w:val="auto"/>
              </w:rPr>
            </w:pPr>
          </w:p>
        </w:tc>
        <w:tc>
          <w:tcPr>
            <w:tcW w:w="1240" w:type="dxa"/>
            <w:vAlign w:val="bottom"/>
            <w:tcBorders>
              <w:bottom w:val="single" w:sz="8" w:color="auto"/>
            </w:tcBorders>
            <w:shd w:val="clear" w:color="auto" w:fill="D5EAEA"/>
          </w:tcPr>
          <w:p>
            <w:pPr>
              <w:jc w:val="right"/>
              <w:spacing w:after="0" w:line="183" w:lineRule="exact"/>
              <w:rPr>
                <w:sz w:val="20"/>
                <w:szCs w:val="20"/>
                <w:color w:val="auto"/>
              </w:rPr>
            </w:pPr>
            <w:r>
              <w:rPr>
                <w:rFonts w:ascii="Arial" w:cs="Arial" w:eastAsia="Arial" w:hAnsi="Arial"/>
                <w:sz w:val="18"/>
                <w:szCs w:val="18"/>
                <w:color w:val="auto"/>
              </w:rPr>
              <w:t>238,740</w:t>
            </w:r>
          </w:p>
        </w:tc>
        <w:tc>
          <w:tcPr>
            <w:tcW w:w="100" w:type="dxa"/>
            <w:vAlign w:val="bottom"/>
            <w:tcBorders>
              <w:bottom w:val="single" w:sz="8" w:color="D5EAEA"/>
            </w:tcBorders>
            <w:shd w:val="clear" w:color="auto" w:fill="D5EAEA"/>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844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844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bl>
    <w:p>
      <w:pPr>
        <w:sectPr>
          <w:pgSz w:w="11900" w:h="16838" w:orient="portrait"/>
          <w:cols w:equalWidth="0" w:num="1">
            <w:col w:w="11240"/>
          </w:cols>
          <w:pgMar w:left="320" w:top="544" w:right="339" w:bottom="1440" w:gutter="0" w:footer="0" w:header="0"/>
        </w:sectPr>
      </w:pPr>
    </w:p>
    <w:bookmarkStart w:id="37" w:name="page38"/>
    <w:bookmarkEnd w:id="37"/>
    <w:p>
      <w:pPr>
        <w:jc w:val="center"/>
        <w:ind w:right="40"/>
        <w:spacing w:after="0"/>
        <w:rPr>
          <w:sz w:val="20"/>
          <w:szCs w:val="20"/>
          <w:color w:val="auto"/>
        </w:rPr>
      </w:pPr>
      <w:r>
        <w:rPr>
          <w:rFonts w:ascii="Arial" w:cs="Arial" w:eastAsia="Arial" w:hAnsi="Arial"/>
          <w:sz w:val="20"/>
          <w:szCs w:val="20"/>
          <w:b w:val="1"/>
          <w:bCs w:val="1"/>
          <w:color w:val="auto"/>
        </w:rPr>
        <w:t>Statements of Income/(Loss)</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In CHF thousands, except for per-share data)</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520" w:type="dxa"/>
            <w:vAlign w:val="bottom"/>
          </w:tcPr>
          <w:p>
            <w:pPr>
              <w:spacing w:after="0"/>
              <w:rPr>
                <w:sz w:val="17"/>
                <w:szCs w:val="17"/>
                <w:color w:val="auto"/>
              </w:rPr>
            </w:pPr>
          </w:p>
        </w:tc>
        <w:tc>
          <w:tcPr>
            <w:tcW w:w="2940" w:type="dxa"/>
            <w:vAlign w:val="bottom"/>
            <w:gridSpan w:val="6"/>
          </w:tcPr>
          <w:p>
            <w:pPr>
              <w:jc w:val="center"/>
              <w:ind w:right="140"/>
              <w:spacing w:after="0"/>
              <w:rPr>
                <w:sz w:val="20"/>
                <w:szCs w:val="20"/>
                <w:color w:val="auto"/>
              </w:rPr>
            </w:pPr>
            <w:r>
              <w:rPr>
                <w:rFonts w:ascii="Arial" w:cs="Arial" w:eastAsia="Arial" w:hAnsi="Arial"/>
                <w:sz w:val="18"/>
                <w:szCs w:val="18"/>
                <w:b w:val="1"/>
                <w:bCs w:val="1"/>
                <w:color w:val="auto"/>
                <w:w w:val="99"/>
              </w:rPr>
              <w:t>For the Three Months</w:t>
            </w:r>
          </w:p>
        </w:tc>
        <w:tc>
          <w:tcPr>
            <w:tcW w:w="2780" w:type="dxa"/>
            <w:vAlign w:val="bottom"/>
            <w:gridSpan w:val="5"/>
          </w:tcPr>
          <w:p>
            <w:pPr>
              <w:jc w:val="right"/>
              <w:ind w:right="461"/>
              <w:spacing w:after="0"/>
              <w:rPr>
                <w:sz w:val="20"/>
                <w:szCs w:val="20"/>
                <w:color w:val="auto"/>
              </w:rPr>
            </w:pPr>
            <w:r>
              <w:rPr>
                <w:rFonts w:ascii="Arial" w:cs="Arial" w:eastAsia="Arial" w:hAnsi="Arial"/>
                <w:sz w:val="18"/>
                <w:szCs w:val="18"/>
                <w:b w:val="1"/>
                <w:bCs w:val="1"/>
                <w:color w:val="auto"/>
              </w:rPr>
              <w:t>For the Nine Months</w:t>
            </w:r>
          </w:p>
        </w:tc>
        <w:tc>
          <w:tcPr>
            <w:tcW w:w="0" w:type="dxa"/>
            <w:vAlign w:val="bottom"/>
          </w:tcPr>
          <w:p>
            <w:pPr>
              <w:spacing w:after="0"/>
              <w:rPr>
                <w:sz w:val="1"/>
                <w:szCs w:val="1"/>
                <w:color w:val="auto"/>
              </w:rPr>
            </w:pPr>
          </w:p>
        </w:tc>
      </w:tr>
      <w:tr>
        <w:trPr>
          <w:trHeight w:val="225"/>
        </w:trPr>
        <w:tc>
          <w:tcPr>
            <w:tcW w:w="5520" w:type="dxa"/>
            <w:vAlign w:val="bottom"/>
          </w:tcPr>
          <w:p>
            <w:pPr>
              <w:spacing w:after="0"/>
              <w:rPr>
                <w:sz w:val="19"/>
                <w:szCs w:val="19"/>
                <w:color w:val="auto"/>
              </w:rPr>
            </w:pPr>
          </w:p>
        </w:tc>
        <w:tc>
          <w:tcPr>
            <w:tcW w:w="2940" w:type="dxa"/>
            <w:vAlign w:val="bottom"/>
            <w:gridSpan w:val="6"/>
          </w:tcPr>
          <w:p>
            <w:pPr>
              <w:jc w:val="center"/>
              <w:ind w:right="100"/>
              <w:spacing w:after="0"/>
              <w:rPr>
                <w:sz w:val="20"/>
                <w:szCs w:val="20"/>
                <w:color w:val="auto"/>
              </w:rPr>
            </w:pPr>
            <w:r>
              <w:rPr>
                <w:rFonts w:ascii="Arial" w:cs="Arial" w:eastAsia="Arial" w:hAnsi="Arial"/>
                <w:sz w:val="18"/>
                <w:szCs w:val="18"/>
                <w:b w:val="1"/>
                <w:bCs w:val="1"/>
                <w:color w:val="auto"/>
              </w:rPr>
              <w:t>Ended September 30,</w:t>
            </w:r>
          </w:p>
        </w:tc>
        <w:tc>
          <w:tcPr>
            <w:tcW w:w="2780" w:type="dxa"/>
            <w:vAlign w:val="bottom"/>
            <w:gridSpan w:val="5"/>
          </w:tcPr>
          <w:p>
            <w:pPr>
              <w:jc w:val="right"/>
              <w:ind w:right="401"/>
              <w:spacing w:after="0"/>
              <w:rPr>
                <w:sz w:val="20"/>
                <w:szCs w:val="20"/>
                <w:color w:val="auto"/>
              </w:rPr>
            </w:pPr>
            <w:r>
              <w:rPr>
                <w:rFonts w:ascii="Arial" w:cs="Arial" w:eastAsia="Arial" w:hAnsi="Arial"/>
                <w:sz w:val="18"/>
                <w:szCs w:val="18"/>
                <w:b w:val="1"/>
                <w:bCs w:val="1"/>
                <w:color w:val="auto"/>
              </w:rPr>
              <w:t>Ended September 30,</w:t>
            </w:r>
          </w:p>
        </w:tc>
        <w:tc>
          <w:tcPr>
            <w:tcW w:w="0" w:type="dxa"/>
            <w:vAlign w:val="bottom"/>
          </w:tcPr>
          <w:p>
            <w:pPr>
              <w:spacing w:after="0"/>
              <w:rPr>
                <w:sz w:val="1"/>
                <w:szCs w:val="1"/>
                <w:color w:val="auto"/>
              </w:rPr>
            </w:pPr>
          </w:p>
        </w:tc>
      </w:tr>
      <w:tr>
        <w:trPr>
          <w:trHeight w:val="210"/>
        </w:trPr>
        <w:tc>
          <w:tcPr>
            <w:tcW w:w="5520" w:type="dxa"/>
            <w:vAlign w:val="bottom"/>
            <w:vMerge w:val="restart"/>
          </w:tcPr>
          <w:p>
            <w:pPr>
              <w:spacing w:after="0"/>
              <w:rPr>
                <w:sz w:val="20"/>
                <w:szCs w:val="20"/>
                <w:color w:val="auto"/>
              </w:rPr>
            </w:pPr>
            <w:r>
              <w:rPr>
                <w:rFonts w:ascii="Arial" w:cs="Arial" w:eastAsia="Arial" w:hAnsi="Arial"/>
                <w:sz w:val="18"/>
                <w:szCs w:val="18"/>
                <w:b w:val="1"/>
                <w:bCs w:val="1"/>
                <w:color w:val="auto"/>
              </w:rPr>
              <w:t>Revenue</w:t>
            </w:r>
          </w:p>
        </w:tc>
        <w:tc>
          <w:tcPr>
            <w:tcW w:w="126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2021</w:t>
            </w:r>
          </w:p>
        </w:tc>
        <w:tc>
          <w:tcPr>
            <w:tcW w:w="12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2020</w:t>
            </w:r>
          </w:p>
        </w:tc>
        <w:tc>
          <w:tcPr>
            <w:tcW w:w="120" w:type="dxa"/>
            <w:vAlign w:val="bottom"/>
            <w:tcBorders>
              <w:top w:val="single" w:sz="8" w:color="auto"/>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2021</w:t>
            </w:r>
          </w:p>
        </w:tc>
        <w:tc>
          <w:tcPr>
            <w:tcW w:w="12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24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top w:val="single" w:sz="8" w:color="auto"/>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5520" w:type="dxa"/>
            <w:vAlign w:val="bottom"/>
            <w:vMerge w:val="continue"/>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520" w:type="dxa"/>
            <w:vAlign w:val="bottom"/>
            <w:shd w:val="clear" w:color="auto" w:fill="D5EAEA"/>
          </w:tcPr>
          <w:p>
            <w:pPr>
              <w:ind w:left="180"/>
              <w:spacing w:after="0"/>
              <w:rPr>
                <w:sz w:val="20"/>
                <w:szCs w:val="20"/>
                <w:color w:val="auto"/>
              </w:rPr>
            </w:pPr>
            <w:r>
              <w:rPr>
                <w:rFonts w:ascii="Arial" w:cs="Arial" w:eastAsia="Arial" w:hAnsi="Arial"/>
                <w:sz w:val="18"/>
                <w:szCs w:val="18"/>
                <w:color w:val="auto"/>
              </w:rPr>
              <w:t>Contract revenue</w:t>
            </w:r>
          </w:p>
        </w:tc>
        <w:tc>
          <w:tcPr>
            <w:tcW w:w="126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D5EAEA"/>
          </w:tcPr>
          <w:p>
            <w:pPr>
              <w:spacing w:after="0"/>
              <w:rPr>
                <w:sz w:val="18"/>
                <w:szCs w:val="18"/>
                <w:color w:val="auto"/>
              </w:rPr>
            </w:pPr>
          </w:p>
        </w:tc>
        <w:tc>
          <w:tcPr>
            <w:tcW w:w="1340" w:type="dxa"/>
            <w:vAlign w:val="bottom"/>
            <w:gridSpan w:val="2"/>
            <w:shd w:val="clear" w:color="auto" w:fill="D5EAEA"/>
          </w:tcPr>
          <w:p>
            <w:pPr>
              <w:jc w:val="right"/>
              <w:ind w:right="41"/>
              <w:spacing w:after="0"/>
              <w:rPr>
                <w:sz w:val="20"/>
                <w:szCs w:val="20"/>
                <w:color w:val="auto"/>
              </w:rPr>
            </w:pPr>
            <w:r>
              <w:rPr>
                <w:rFonts w:ascii="Arial" w:cs="Arial" w:eastAsia="Arial" w:hAnsi="Arial"/>
                <w:sz w:val="18"/>
                <w:szCs w:val="18"/>
                <w:color w:val="auto"/>
              </w:rPr>
              <w:t>1,123</w:t>
            </w:r>
          </w:p>
        </w:tc>
        <w:tc>
          <w:tcPr>
            <w:tcW w:w="100" w:type="dxa"/>
            <w:vAlign w:val="bottom"/>
            <w:shd w:val="clear" w:color="auto" w:fill="D5EAEA"/>
          </w:tcPr>
          <w:p>
            <w:pPr>
              <w:spacing w:after="0"/>
              <w:rPr>
                <w:sz w:val="18"/>
                <w:szCs w:val="18"/>
                <w:color w:val="auto"/>
              </w:rPr>
            </w:pPr>
          </w:p>
        </w:tc>
        <w:tc>
          <w:tcPr>
            <w:tcW w:w="1440" w:type="dxa"/>
            <w:vAlign w:val="bottom"/>
            <w:gridSpan w:val="3"/>
            <w:shd w:val="clear" w:color="auto" w:fill="D5EAEA"/>
          </w:tcPr>
          <w:p>
            <w:pPr>
              <w:ind w:left="94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D5EAEA"/>
          </w:tcPr>
          <w:p>
            <w:pPr>
              <w:jc w:val="right"/>
              <w:ind w:right="21"/>
              <w:spacing w:after="0"/>
              <w:rPr>
                <w:sz w:val="20"/>
                <w:szCs w:val="20"/>
                <w:color w:val="auto"/>
              </w:rPr>
            </w:pPr>
            <w:r>
              <w:rPr>
                <w:rFonts w:ascii="Arial" w:cs="Arial" w:eastAsia="Arial" w:hAnsi="Arial"/>
                <w:sz w:val="18"/>
                <w:szCs w:val="18"/>
                <w:color w:val="auto"/>
              </w:rPr>
              <w:t>14,487</w:t>
            </w:r>
          </w:p>
        </w:tc>
        <w:tc>
          <w:tcPr>
            <w:tcW w:w="0" w:type="dxa"/>
            <w:vAlign w:val="bottom"/>
          </w:tcPr>
          <w:p>
            <w:pPr>
              <w:spacing w:after="0"/>
              <w:rPr>
                <w:sz w:val="1"/>
                <w:szCs w:val="1"/>
                <w:color w:val="auto"/>
              </w:rPr>
            </w:pPr>
          </w:p>
        </w:tc>
      </w:tr>
      <w:tr>
        <w:trPr>
          <w:trHeight w:val="20"/>
        </w:trPr>
        <w:tc>
          <w:tcPr>
            <w:tcW w:w="5520" w:type="dxa"/>
            <w:vAlign w:val="bottom"/>
            <w:vMerge w:val="restart"/>
          </w:tcPr>
          <w:p>
            <w:pPr>
              <w:spacing w:after="0"/>
              <w:rPr>
                <w:sz w:val="20"/>
                <w:szCs w:val="20"/>
                <w:color w:val="auto"/>
              </w:rPr>
            </w:pPr>
            <w:r>
              <w:rPr>
                <w:rFonts w:ascii="Arial" w:cs="Arial" w:eastAsia="Arial" w:hAnsi="Arial"/>
                <w:sz w:val="18"/>
                <w:szCs w:val="18"/>
                <w:b w:val="1"/>
                <w:bCs w:val="1"/>
                <w:color w:val="auto"/>
              </w:rPr>
              <w:t>Total revenue</w:t>
            </w:r>
          </w:p>
        </w:tc>
        <w:tc>
          <w:tcPr>
            <w:tcW w:w="12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5520" w:type="dxa"/>
            <w:vAlign w:val="bottom"/>
            <w:vMerge w:val="continue"/>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40" w:type="dxa"/>
            <w:vAlign w:val="bottom"/>
            <w:gridSpan w:val="2"/>
          </w:tcPr>
          <w:p>
            <w:pPr>
              <w:spacing w:after="0"/>
              <w:rPr>
                <w:sz w:val="21"/>
                <w:szCs w:val="21"/>
                <w:color w:val="auto"/>
              </w:rPr>
            </w:pPr>
          </w:p>
        </w:tc>
        <w:tc>
          <w:tcPr>
            <w:tcW w:w="1340" w:type="dxa"/>
            <w:vAlign w:val="bottom"/>
            <w:gridSpan w:val="2"/>
          </w:tcPr>
          <w:p>
            <w:pPr>
              <w:jc w:val="right"/>
              <w:ind w:right="41"/>
              <w:spacing w:after="0"/>
              <w:rPr>
                <w:sz w:val="20"/>
                <w:szCs w:val="20"/>
                <w:color w:val="auto"/>
              </w:rPr>
            </w:pPr>
            <w:r>
              <w:rPr>
                <w:rFonts w:ascii="Arial" w:cs="Arial" w:eastAsia="Arial" w:hAnsi="Arial"/>
                <w:sz w:val="18"/>
                <w:szCs w:val="18"/>
                <w:color w:val="auto"/>
              </w:rPr>
              <w:t>1,123</w:t>
            </w:r>
          </w:p>
        </w:tc>
        <w:tc>
          <w:tcPr>
            <w:tcW w:w="100" w:type="dxa"/>
            <w:vAlign w:val="bottom"/>
          </w:tcPr>
          <w:p>
            <w:pPr>
              <w:spacing w:after="0"/>
              <w:rPr>
                <w:sz w:val="21"/>
                <w:szCs w:val="21"/>
                <w:color w:val="auto"/>
              </w:rPr>
            </w:pPr>
          </w:p>
        </w:tc>
        <w:tc>
          <w:tcPr>
            <w:tcW w:w="1440" w:type="dxa"/>
            <w:vAlign w:val="bottom"/>
            <w:gridSpan w:val="3"/>
          </w:tcPr>
          <w:p>
            <w:pPr>
              <w:ind w:left="94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21"/>
              <w:spacing w:after="0"/>
              <w:rPr>
                <w:sz w:val="20"/>
                <w:szCs w:val="20"/>
                <w:color w:val="auto"/>
              </w:rPr>
            </w:pPr>
            <w:r>
              <w:rPr>
                <w:rFonts w:ascii="Arial" w:cs="Arial" w:eastAsia="Arial" w:hAnsi="Arial"/>
                <w:sz w:val="18"/>
                <w:szCs w:val="18"/>
                <w:color w:val="auto"/>
              </w:rPr>
              <w:t>14,487</w:t>
            </w:r>
          </w:p>
        </w:tc>
        <w:tc>
          <w:tcPr>
            <w:tcW w:w="0" w:type="dxa"/>
            <w:vAlign w:val="bottom"/>
          </w:tcPr>
          <w:p>
            <w:pPr>
              <w:spacing w:after="0"/>
              <w:rPr>
                <w:sz w:val="1"/>
                <w:szCs w:val="1"/>
                <w:color w:val="auto"/>
              </w:rPr>
            </w:pPr>
          </w:p>
        </w:tc>
      </w:tr>
      <w:tr>
        <w:trPr>
          <w:trHeight w:val="183"/>
        </w:trPr>
        <w:tc>
          <w:tcPr>
            <w:tcW w:w="5520" w:type="dxa"/>
            <w:vAlign w:val="bottom"/>
            <w:tcBorders>
              <w:top w:val="single" w:sz="8" w:color="D5EAEA"/>
            </w:tcBorders>
            <w:shd w:val="clear" w:color="auto" w:fill="D5EAEA"/>
          </w:tcPr>
          <w:p>
            <w:pPr>
              <w:spacing w:after="0"/>
              <w:rPr>
                <w:sz w:val="15"/>
                <w:szCs w:val="15"/>
                <w:color w:val="auto"/>
              </w:rPr>
            </w:pPr>
          </w:p>
        </w:tc>
        <w:tc>
          <w:tcPr>
            <w:tcW w:w="1260" w:type="dxa"/>
            <w:vAlign w:val="bottom"/>
            <w:tcBorders>
              <w:top w:val="single" w:sz="8" w:color="auto"/>
            </w:tcBorders>
            <w:shd w:val="clear" w:color="auto" w:fill="D5EAEA"/>
          </w:tcPr>
          <w:p>
            <w:pPr>
              <w:spacing w:after="0"/>
              <w:rPr>
                <w:sz w:val="15"/>
                <w:szCs w:val="15"/>
                <w:color w:val="auto"/>
              </w:rPr>
            </w:pPr>
          </w:p>
        </w:tc>
        <w:tc>
          <w:tcPr>
            <w:tcW w:w="120" w:type="dxa"/>
            <w:vAlign w:val="bottom"/>
            <w:tcBorders>
              <w:top w:val="single" w:sz="8" w:color="D5EAEA"/>
            </w:tcBorders>
            <w:shd w:val="clear" w:color="auto" w:fill="D5EAEA"/>
          </w:tcPr>
          <w:p>
            <w:pPr>
              <w:spacing w:after="0"/>
              <w:rPr>
                <w:sz w:val="15"/>
                <w:szCs w:val="15"/>
                <w:color w:val="auto"/>
              </w:rPr>
            </w:pPr>
          </w:p>
        </w:tc>
        <w:tc>
          <w:tcPr>
            <w:tcW w:w="120" w:type="dxa"/>
            <w:vAlign w:val="bottom"/>
            <w:tcBorders>
              <w:top w:val="single" w:sz="8" w:color="D5EAEA"/>
            </w:tcBorders>
            <w:shd w:val="clear" w:color="auto" w:fill="D5EAEA"/>
          </w:tcPr>
          <w:p>
            <w:pPr>
              <w:spacing w:after="0"/>
              <w:rPr>
                <w:sz w:val="15"/>
                <w:szCs w:val="15"/>
                <w:color w:val="auto"/>
              </w:rPr>
            </w:pPr>
          </w:p>
        </w:tc>
        <w:tc>
          <w:tcPr>
            <w:tcW w:w="1220" w:type="dxa"/>
            <w:vAlign w:val="bottom"/>
            <w:tcBorders>
              <w:top w:val="single" w:sz="8" w:color="auto"/>
            </w:tcBorders>
            <w:shd w:val="clear" w:color="auto" w:fill="D5EAEA"/>
          </w:tcPr>
          <w:p>
            <w:pPr>
              <w:spacing w:after="0"/>
              <w:rPr>
                <w:sz w:val="15"/>
                <w:szCs w:val="15"/>
                <w:color w:val="auto"/>
              </w:rPr>
            </w:pPr>
          </w:p>
        </w:tc>
        <w:tc>
          <w:tcPr>
            <w:tcW w:w="120" w:type="dxa"/>
            <w:vAlign w:val="bottom"/>
            <w:tcBorders>
              <w:top w:val="single" w:sz="8" w:color="D5EAEA"/>
            </w:tcBorders>
            <w:shd w:val="clear" w:color="auto" w:fill="D5EAEA"/>
          </w:tcPr>
          <w:p>
            <w:pPr>
              <w:spacing w:after="0"/>
              <w:rPr>
                <w:sz w:val="15"/>
                <w:szCs w:val="15"/>
                <w:color w:val="auto"/>
              </w:rPr>
            </w:pPr>
          </w:p>
        </w:tc>
        <w:tc>
          <w:tcPr>
            <w:tcW w:w="100" w:type="dxa"/>
            <w:vAlign w:val="bottom"/>
            <w:tcBorders>
              <w:top w:val="single" w:sz="8" w:color="D5EAEA"/>
            </w:tcBorders>
            <w:shd w:val="clear" w:color="auto" w:fill="D5EAEA"/>
          </w:tcPr>
          <w:p>
            <w:pPr>
              <w:spacing w:after="0"/>
              <w:rPr>
                <w:sz w:val="15"/>
                <w:szCs w:val="15"/>
                <w:color w:val="auto"/>
              </w:rPr>
            </w:pPr>
          </w:p>
        </w:tc>
        <w:tc>
          <w:tcPr>
            <w:tcW w:w="1220" w:type="dxa"/>
            <w:vAlign w:val="bottom"/>
            <w:tcBorders>
              <w:top w:val="single" w:sz="8" w:color="auto"/>
            </w:tcBorders>
            <w:shd w:val="clear" w:color="auto" w:fill="D5EAEA"/>
          </w:tcPr>
          <w:p>
            <w:pPr>
              <w:spacing w:after="0"/>
              <w:rPr>
                <w:sz w:val="15"/>
                <w:szCs w:val="15"/>
                <w:color w:val="auto"/>
              </w:rPr>
            </w:pPr>
          </w:p>
        </w:tc>
        <w:tc>
          <w:tcPr>
            <w:tcW w:w="120" w:type="dxa"/>
            <w:vAlign w:val="bottom"/>
            <w:tcBorders>
              <w:top w:val="single" w:sz="8" w:color="D5EAEA"/>
            </w:tcBorders>
            <w:shd w:val="clear" w:color="auto" w:fill="D5EAEA"/>
          </w:tcPr>
          <w:p>
            <w:pPr>
              <w:spacing w:after="0"/>
              <w:rPr>
                <w:sz w:val="15"/>
                <w:szCs w:val="15"/>
                <w:color w:val="auto"/>
              </w:rPr>
            </w:pPr>
          </w:p>
        </w:tc>
        <w:tc>
          <w:tcPr>
            <w:tcW w:w="100" w:type="dxa"/>
            <w:vAlign w:val="bottom"/>
            <w:tcBorders>
              <w:top w:val="single" w:sz="8" w:color="D5EAEA"/>
            </w:tcBorders>
            <w:shd w:val="clear" w:color="auto" w:fill="D5EAEA"/>
          </w:tcPr>
          <w:p>
            <w:pPr>
              <w:spacing w:after="0"/>
              <w:rPr>
                <w:sz w:val="15"/>
                <w:szCs w:val="15"/>
                <w:color w:val="auto"/>
              </w:rPr>
            </w:pPr>
          </w:p>
        </w:tc>
        <w:tc>
          <w:tcPr>
            <w:tcW w:w="1240" w:type="dxa"/>
            <w:vAlign w:val="bottom"/>
            <w:tcBorders>
              <w:top w:val="single" w:sz="8" w:color="auto"/>
            </w:tcBorders>
            <w:shd w:val="clear" w:color="auto" w:fill="D5EAEA"/>
          </w:tcPr>
          <w:p>
            <w:pPr>
              <w:spacing w:after="0"/>
              <w:rPr>
                <w:sz w:val="15"/>
                <w:szCs w:val="15"/>
                <w:color w:val="auto"/>
              </w:rPr>
            </w:pPr>
          </w:p>
        </w:tc>
        <w:tc>
          <w:tcPr>
            <w:tcW w:w="100" w:type="dxa"/>
            <w:vAlign w:val="bottom"/>
            <w:tcBorders>
              <w:top w:val="single" w:sz="8" w:color="D5EAEA"/>
            </w:tcBorders>
            <w:shd w:val="clear" w:color="auto" w:fill="D5EAEA"/>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5520" w:type="dxa"/>
            <w:vAlign w:val="bottom"/>
          </w:tcPr>
          <w:p>
            <w:pPr>
              <w:spacing w:after="0" w:line="202" w:lineRule="exact"/>
              <w:rPr>
                <w:sz w:val="20"/>
                <w:szCs w:val="20"/>
                <w:color w:val="auto"/>
              </w:rPr>
            </w:pPr>
            <w:r>
              <w:rPr>
                <w:rFonts w:ascii="Arial" w:cs="Arial" w:eastAsia="Arial" w:hAnsi="Arial"/>
                <w:sz w:val="18"/>
                <w:szCs w:val="18"/>
                <w:b w:val="1"/>
                <w:bCs w:val="1"/>
                <w:color w:val="auto"/>
              </w:rPr>
              <w:t>Operating expenses</w:t>
            </w: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520" w:type="dxa"/>
            <w:vAlign w:val="bottom"/>
            <w:shd w:val="clear" w:color="auto" w:fill="D5EAEA"/>
          </w:tcPr>
          <w:p>
            <w:pPr>
              <w:ind w:left="180"/>
              <w:spacing w:after="0" w:line="202" w:lineRule="exact"/>
              <w:rPr>
                <w:sz w:val="20"/>
                <w:szCs w:val="20"/>
                <w:color w:val="auto"/>
              </w:rPr>
            </w:pPr>
            <w:r>
              <w:rPr>
                <w:rFonts w:ascii="Arial" w:cs="Arial" w:eastAsia="Arial" w:hAnsi="Arial"/>
                <w:sz w:val="18"/>
                <w:szCs w:val="18"/>
                <w:color w:val="auto"/>
              </w:rPr>
              <w:t>Research &amp; development expenses</w:t>
            </w:r>
          </w:p>
        </w:tc>
        <w:tc>
          <w:tcPr>
            <w:tcW w:w="1380" w:type="dxa"/>
            <w:vAlign w:val="bottom"/>
            <w:gridSpan w:val="2"/>
            <w:shd w:val="clear" w:color="auto" w:fill="D5EAEA"/>
          </w:tcPr>
          <w:p>
            <w:pPr>
              <w:jc w:val="right"/>
              <w:spacing w:after="0" w:line="202" w:lineRule="exact"/>
              <w:rPr>
                <w:sz w:val="20"/>
                <w:szCs w:val="20"/>
                <w:color w:val="auto"/>
              </w:rPr>
            </w:pPr>
            <w:r>
              <w:rPr>
                <w:rFonts w:ascii="Arial" w:cs="Arial" w:eastAsia="Arial" w:hAnsi="Arial"/>
                <w:sz w:val="18"/>
                <w:szCs w:val="18"/>
                <w:color w:val="auto"/>
              </w:rPr>
              <w:t>(15,118)</w:t>
            </w:r>
          </w:p>
        </w:tc>
        <w:tc>
          <w:tcPr>
            <w:tcW w:w="120" w:type="dxa"/>
            <w:vAlign w:val="bottom"/>
            <w:shd w:val="clear" w:color="auto" w:fill="D5EAEA"/>
          </w:tcPr>
          <w:p>
            <w:pPr>
              <w:spacing w:after="0"/>
              <w:rPr>
                <w:sz w:val="17"/>
                <w:szCs w:val="17"/>
                <w:color w:val="auto"/>
              </w:rPr>
            </w:pPr>
          </w:p>
        </w:tc>
        <w:tc>
          <w:tcPr>
            <w:tcW w:w="1340" w:type="dxa"/>
            <w:vAlign w:val="bottom"/>
            <w:gridSpan w:val="2"/>
            <w:shd w:val="clear" w:color="auto" w:fill="D5EAEA"/>
          </w:tcPr>
          <w:p>
            <w:pPr>
              <w:jc w:val="right"/>
              <w:spacing w:after="0" w:line="202" w:lineRule="exact"/>
              <w:rPr>
                <w:sz w:val="20"/>
                <w:szCs w:val="20"/>
                <w:color w:val="auto"/>
              </w:rPr>
            </w:pPr>
            <w:r>
              <w:rPr>
                <w:rFonts w:ascii="Arial" w:cs="Arial" w:eastAsia="Arial" w:hAnsi="Arial"/>
                <w:sz w:val="18"/>
                <w:szCs w:val="18"/>
                <w:color w:val="auto"/>
              </w:rPr>
              <w:t>(15,518)</w:t>
            </w:r>
          </w:p>
        </w:tc>
        <w:tc>
          <w:tcPr>
            <w:tcW w:w="100" w:type="dxa"/>
            <w:vAlign w:val="bottom"/>
            <w:shd w:val="clear" w:color="auto" w:fill="D5EAEA"/>
          </w:tcPr>
          <w:p>
            <w:pPr>
              <w:spacing w:after="0"/>
              <w:rPr>
                <w:sz w:val="17"/>
                <w:szCs w:val="17"/>
                <w:color w:val="auto"/>
              </w:rPr>
            </w:pPr>
          </w:p>
        </w:tc>
        <w:tc>
          <w:tcPr>
            <w:tcW w:w="1340" w:type="dxa"/>
            <w:vAlign w:val="bottom"/>
            <w:gridSpan w:val="2"/>
            <w:shd w:val="clear" w:color="auto" w:fill="D5EAEA"/>
          </w:tcPr>
          <w:p>
            <w:pPr>
              <w:jc w:val="right"/>
              <w:spacing w:after="0" w:line="202" w:lineRule="exact"/>
              <w:rPr>
                <w:sz w:val="20"/>
                <w:szCs w:val="20"/>
                <w:color w:val="auto"/>
              </w:rPr>
            </w:pPr>
            <w:r>
              <w:rPr>
                <w:rFonts w:ascii="Arial" w:cs="Arial" w:eastAsia="Arial" w:hAnsi="Arial"/>
                <w:sz w:val="18"/>
                <w:szCs w:val="18"/>
                <w:color w:val="auto"/>
              </w:rPr>
              <w:t>(42,158)</w:t>
            </w:r>
          </w:p>
        </w:tc>
        <w:tc>
          <w:tcPr>
            <w:tcW w:w="100" w:type="dxa"/>
            <w:vAlign w:val="bottom"/>
            <w:shd w:val="clear" w:color="auto" w:fill="D5EAEA"/>
          </w:tcPr>
          <w:p>
            <w:pPr>
              <w:spacing w:after="0"/>
              <w:rPr>
                <w:sz w:val="17"/>
                <w:szCs w:val="17"/>
                <w:color w:val="auto"/>
              </w:rPr>
            </w:pPr>
          </w:p>
        </w:tc>
        <w:tc>
          <w:tcPr>
            <w:tcW w:w="1340" w:type="dxa"/>
            <w:vAlign w:val="bottom"/>
            <w:gridSpan w:val="2"/>
            <w:shd w:val="clear" w:color="auto" w:fill="D5EAEA"/>
          </w:tcPr>
          <w:p>
            <w:pPr>
              <w:jc w:val="right"/>
              <w:spacing w:after="0" w:line="202" w:lineRule="exact"/>
              <w:rPr>
                <w:sz w:val="20"/>
                <w:szCs w:val="20"/>
                <w:color w:val="auto"/>
              </w:rPr>
            </w:pPr>
            <w:r>
              <w:rPr>
                <w:rFonts w:ascii="Arial" w:cs="Arial" w:eastAsia="Arial" w:hAnsi="Arial"/>
                <w:sz w:val="18"/>
                <w:szCs w:val="18"/>
                <w:color w:val="auto"/>
              </w:rPr>
              <w:t>(43,536)</w:t>
            </w:r>
          </w:p>
        </w:tc>
        <w:tc>
          <w:tcPr>
            <w:tcW w:w="0" w:type="dxa"/>
            <w:vAlign w:val="bottom"/>
          </w:tcPr>
          <w:p>
            <w:pPr>
              <w:spacing w:after="0"/>
              <w:rPr>
                <w:sz w:val="1"/>
                <w:szCs w:val="1"/>
                <w:color w:val="auto"/>
              </w:rPr>
            </w:pPr>
          </w:p>
        </w:tc>
      </w:tr>
      <w:tr>
        <w:trPr>
          <w:trHeight w:val="203"/>
        </w:trPr>
        <w:tc>
          <w:tcPr>
            <w:tcW w:w="5520" w:type="dxa"/>
            <w:vAlign w:val="bottom"/>
          </w:tcPr>
          <w:p>
            <w:pPr>
              <w:ind w:left="180"/>
              <w:spacing w:after="0" w:line="202" w:lineRule="exact"/>
              <w:rPr>
                <w:sz w:val="20"/>
                <w:szCs w:val="20"/>
                <w:color w:val="auto"/>
              </w:rPr>
            </w:pPr>
            <w:r>
              <w:rPr>
                <w:rFonts w:ascii="Arial" w:cs="Arial" w:eastAsia="Arial" w:hAnsi="Arial"/>
                <w:sz w:val="18"/>
                <w:szCs w:val="18"/>
                <w:color w:val="auto"/>
              </w:rPr>
              <w:t>General &amp; administrative expenses</w:t>
            </w:r>
          </w:p>
        </w:tc>
        <w:tc>
          <w:tcPr>
            <w:tcW w:w="13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(5,420)</w:t>
            </w:r>
          </w:p>
        </w:tc>
        <w:tc>
          <w:tcPr>
            <w:tcW w:w="120" w:type="dxa"/>
            <w:vAlign w:val="bottom"/>
          </w:tcPr>
          <w:p>
            <w:pPr>
              <w:spacing w:after="0"/>
              <w:rPr>
                <w:sz w:val="17"/>
                <w:szCs w:val="17"/>
                <w:color w:val="auto"/>
              </w:rPr>
            </w:pPr>
          </w:p>
        </w:tc>
        <w:tc>
          <w:tcPr>
            <w:tcW w:w="13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(4,892)</w:t>
            </w:r>
          </w:p>
        </w:tc>
        <w:tc>
          <w:tcPr>
            <w:tcW w:w="100" w:type="dxa"/>
            <w:vAlign w:val="bottom"/>
          </w:tcPr>
          <w:p>
            <w:pPr>
              <w:spacing w:after="0"/>
              <w:rPr>
                <w:sz w:val="17"/>
                <w:szCs w:val="17"/>
                <w:color w:val="auto"/>
              </w:rPr>
            </w:pPr>
          </w:p>
        </w:tc>
        <w:tc>
          <w:tcPr>
            <w:tcW w:w="13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(14,993)</w:t>
            </w:r>
          </w:p>
        </w:tc>
        <w:tc>
          <w:tcPr>
            <w:tcW w:w="100" w:type="dxa"/>
            <w:vAlign w:val="bottom"/>
          </w:tcPr>
          <w:p>
            <w:pPr>
              <w:spacing w:after="0"/>
              <w:rPr>
                <w:sz w:val="17"/>
                <w:szCs w:val="17"/>
                <w:color w:val="auto"/>
              </w:rPr>
            </w:pPr>
          </w:p>
        </w:tc>
        <w:tc>
          <w:tcPr>
            <w:tcW w:w="13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(13,553)</w:t>
            </w:r>
          </w:p>
        </w:tc>
        <w:tc>
          <w:tcPr>
            <w:tcW w:w="0" w:type="dxa"/>
            <w:vAlign w:val="bottom"/>
          </w:tcPr>
          <w:p>
            <w:pPr>
              <w:spacing w:after="0"/>
              <w:rPr>
                <w:sz w:val="1"/>
                <w:szCs w:val="1"/>
                <w:color w:val="auto"/>
              </w:rPr>
            </w:pPr>
          </w:p>
        </w:tc>
      </w:tr>
      <w:tr>
        <w:trPr>
          <w:trHeight w:val="216"/>
        </w:trPr>
        <w:tc>
          <w:tcPr>
            <w:tcW w:w="5520" w:type="dxa"/>
            <w:vAlign w:val="bottom"/>
            <w:shd w:val="clear" w:color="auto" w:fill="D5EAEA"/>
          </w:tcPr>
          <w:p>
            <w:pPr>
              <w:ind w:left="180"/>
              <w:spacing w:after="0"/>
              <w:rPr>
                <w:sz w:val="20"/>
                <w:szCs w:val="20"/>
                <w:color w:val="auto"/>
              </w:rPr>
            </w:pPr>
            <w:r>
              <w:rPr>
                <w:rFonts w:ascii="Arial" w:cs="Arial" w:eastAsia="Arial" w:hAnsi="Arial"/>
                <w:sz w:val="18"/>
                <w:szCs w:val="18"/>
                <w:color w:val="auto"/>
              </w:rPr>
              <w:t>Other operating income/(expense)</w:t>
            </w:r>
          </w:p>
        </w:tc>
        <w:tc>
          <w:tcPr>
            <w:tcW w:w="1380" w:type="dxa"/>
            <w:vAlign w:val="bottom"/>
            <w:gridSpan w:val="2"/>
            <w:shd w:val="clear" w:color="auto" w:fill="D5EAEA"/>
          </w:tcPr>
          <w:p>
            <w:pPr>
              <w:jc w:val="right"/>
              <w:ind w:right="41"/>
              <w:spacing w:after="0"/>
              <w:rPr>
                <w:sz w:val="20"/>
                <w:szCs w:val="20"/>
                <w:color w:val="auto"/>
              </w:rPr>
            </w:pPr>
            <w:r>
              <w:rPr>
                <w:rFonts w:ascii="Arial" w:cs="Arial" w:eastAsia="Arial" w:hAnsi="Arial"/>
                <w:sz w:val="18"/>
                <w:szCs w:val="18"/>
                <w:color w:val="auto"/>
              </w:rPr>
              <w:t>255</w:t>
            </w:r>
          </w:p>
        </w:tc>
        <w:tc>
          <w:tcPr>
            <w:tcW w:w="120" w:type="dxa"/>
            <w:vAlign w:val="bottom"/>
            <w:shd w:val="clear" w:color="auto" w:fill="D5EAEA"/>
          </w:tcPr>
          <w:p>
            <w:pPr>
              <w:spacing w:after="0"/>
              <w:rPr>
                <w:sz w:val="18"/>
                <w:szCs w:val="18"/>
                <w:color w:val="auto"/>
              </w:rPr>
            </w:pPr>
          </w:p>
        </w:tc>
        <w:tc>
          <w:tcPr>
            <w:tcW w:w="1340" w:type="dxa"/>
            <w:vAlign w:val="bottom"/>
            <w:gridSpan w:val="2"/>
            <w:shd w:val="clear" w:color="auto" w:fill="D5EAEA"/>
          </w:tcPr>
          <w:p>
            <w:pPr>
              <w:jc w:val="right"/>
              <w:ind w:right="41"/>
              <w:spacing w:after="0"/>
              <w:rPr>
                <w:sz w:val="20"/>
                <w:szCs w:val="20"/>
                <w:color w:val="auto"/>
              </w:rPr>
            </w:pPr>
            <w:r>
              <w:rPr>
                <w:rFonts w:ascii="Arial" w:cs="Arial" w:eastAsia="Arial" w:hAnsi="Arial"/>
                <w:sz w:val="18"/>
                <w:szCs w:val="18"/>
                <w:color w:val="auto"/>
              </w:rPr>
              <w:t>482</w:t>
            </w:r>
          </w:p>
        </w:tc>
        <w:tc>
          <w:tcPr>
            <w:tcW w:w="100" w:type="dxa"/>
            <w:vAlign w:val="bottom"/>
            <w:shd w:val="clear" w:color="auto" w:fill="D5EAEA"/>
          </w:tcPr>
          <w:p>
            <w:pPr>
              <w:spacing w:after="0"/>
              <w:rPr>
                <w:sz w:val="18"/>
                <w:szCs w:val="18"/>
                <w:color w:val="auto"/>
              </w:rPr>
            </w:pPr>
          </w:p>
        </w:tc>
        <w:tc>
          <w:tcPr>
            <w:tcW w:w="1340" w:type="dxa"/>
            <w:vAlign w:val="bottom"/>
            <w:gridSpan w:val="2"/>
            <w:shd w:val="clear" w:color="auto" w:fill="D5EAEA"/>
          </w:tcPr>
          <w:p>
            <w:pPr>
              <w:jc w:val="right"/>
              <w:ind w:right="41"/>
              <w:spacing w:after="0"/>
              <w:rPr>
                <w:sz w:val="20"/>
                <w:szCs w:val="20"/>
                <w:color w:val="auto"/>
              </w:rPr>
            </w:pPr>
            <w:r>
              <w:rPr>
                <w:rFonts w:ascii="Arial" w:cs="Arial" w:eastAsia="Arial" w:hAnsi="Arial"/>
                <w:sz w:val="18"/>
                <w:szCs w:val="18"/>
                <w:color w:val="auto"/>
              </w:rPr>
              <w:t>928</w:t>
            </w:r>
          </w:p>
        </w:tc>
        <w:tc>
          <w:tcPr>
            <w:tcW w:w="100" w:type="dxa"/>
            <w:vAlign w:val="bottom"/>
            <w:shd w:val="clear" w:color="auto" w:fill="D5EAEA"/>
          </w:tcPr>
          <w:p>
            <w:pPr>
              <w:spacing w:after="0"/>
              <w:rPr>
                <w:sz w:val="18"/>
                <w:szCs w:val="18"/>
                <w:color w:val="auto"/>
              </w:rPr>
            </w:pPr>
          </w:p>
        </w:tc>
        <w:tc>
          <w:tcPr>
            <w:tcW w:w="1340" w:type="dxa"/>
            <w:vAlign w:val="bottom"/>
            <w:gridSpan w:val="2"/>
            <w:shd w:val="clear" w:color="auto" w:fill="D5EAEA"/>
          </w:tcPr>
          <w:p>
            <w:pPr>
              <w:jc w:val="right"/>
              <w:ind w:right="21"/>
              <w:spacing w:after="0"/>
              <w:rPr>
                <w:sz w:val="20"/>
                <w:szCs w:val="20"/>
                <w:color w:val="auto"/>
              </w:rPr>
            </w:pPr>
            <w:r>
              <w:rPr>
                <w:rFonts w:ascii="Arial" w:cs="Arial" w:eastAsia="Arial" w:hAnsi="Arial"/>
                <w:sz w:val="18"/>
                <w:szCs w:val="18"/>
                <w:color w:val="auto"/>
              </w:rPr>
              <w:t>807</w:t>
            </w:r>
          </w:p>
        </w:tc>
        <w:tc>
          <w:tcPr>
            <w:tcW w:w="0" w:type="dxa"/>
            <w:vAlign w:val="bottom"/>
          </w:tcPr>
          <w:p>
            <w:pPr>
              <w:spacing w:after="0"/>
              <w:rPr>
                <w:sz w:val="1"/>
                <w:szCs w:val="1"/>
                <w:color w:val="auto"/>
              </w:rPr>
            </w:pPr>
          </w:p>
        </w:tc>
      </w:tr>
      <w:tr>
        <w:trPr>
          <w:trHeight w:val="249"/>
        </w:trPr>
        <w:tc>
          <w:tcPr>
            <w:tcW w:w="5520" w:type="dxa"/>
            <w:vAlign w:val="bottom"/>
            <w:tcBorders>
              <w:bottom w:val="single" w:sz="8" w:color="D5EAEA"/>
            </w:tcBorders>
          </w:tcPr>
          <w:p>
            <w:pPr>
              <w:spacing w:after="0"/>
              <w:rPr>
                <w:sz w:val="20"/>
                <w:szCs w:val="20"/>
                <w:color w:val="auto"/>
              </w:rPr>
            </w:pPr>
            <w:r>
              <w:rPr>
                <w:rFonts w:ascii="Arial" w:cs="Arial" w:eastAsia="Arial" w:hAnsi="Arial"/>
                <w:sz w:val="18"/>
                <w:szCs w:val="18"/>
                <w:b w:val="1"/>
                <w:bCs w:val="1"/>
                <w:color w:val="auto"/>
              </w:rPr>
              <w:t>Total operating expenses</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(20,283</w:t>
            </w:r>
          </w:p>
        </w:tc>
        <w:tc>
          <w:tcPr>
            <w:tcW w:w="120" w:type="dxa"/>
            <w:vAlign w:val="bottom"/>
            <w:tcBorders>
              <w:bottom w:val="single" w:sz="8" w:color="D5EAEA"/>
            </w:tcBorders>
          </w:tcPr>
          <w:p>
            <w:pPr>
              <w:jc w:val="right"/>
              <w:spacing w:after="0"/>
              <w:rPr>
                <w:sz w:val="20"/>
                <w:szCs w:val="20"/>
                <w:color w:val="auto"/>
              </w:rPr>
            </w:pPr>
            <w:r>
              <w:rPr>
                <w:rFonts w:ascii="Arial" w:cs="Arial" w:eastAsia="Arial" w:hAnsi="Arial"/>
                <w:sz w:val="16"/>
                <w:szCs w:val="16"/>
                <w:color w:val="auto"/>
                <w:w w:val="74"/>
              </w:rPr>
              <w:t>)</w:t>
            </w:r>
          </w:p>
        </w:tc>
        <w:tc>
          <w:tcPr>
            <w:tcW w:w="120" w:type="dxa"/>
            <w:vAlign w:val="bottom"/>
            <w:tcBorders>
              <w:bottom w:val="single" w:sz="8" w:color="D5EAEA"/>
            </w:tcBorders>
          </w:tcPr>
          <w:p>
            <w:pPr>
              <w:spacing w:after="0"/>
              <w:rPr>
                <w:sz w:val="21"/>
                <w:szCs w:val="21"/>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(19,928</w:t>
            </w:r>
          </w:p>
        </w:tc>
        <w:tc>
          <w:tcPr>
            <w:tcW w:w="120" w:type="dxa"/>
            <w:vAlign w:val="bottom"/>
            <w:tcBorders>
              <w:bottom w:val="single" w:sz="8" w:color="D5EAEA"/>
            </w:tcBorders>
          </w:tcPr>
          <w:p>
            <w:pPr>
              <w:jc w:val="right"/>
              <w:spacing w:after="0"/>
              <w:rPr>
                <w:sz w:val="20"/>
                <w:szCs w:val="20"/>
                <w:color w:val="auto"/>
              </w:rPr>
            </w:pPr>
            <w:r>
              <w:rPr>
                <w:rFonts w:ascii="Arial" w:cs="Arial" w:eastAsia="Arial" w:hAnsi="Arial"/>
                <w:sz w:val="16"/>
                <w:szCs w:val="16"/>
                <w:color w:val="auto"/>
                <w:w w:val="74"/>
              </w:rPr>
              <w:t>)</w:t>
            </w:r>
          </w:p>
        </w:tc>
        <w:tc>
          <w:tcPr>
            <w:tcW w:w="100" w:type="dxa"/>
            <w:vAlign w:val="bottom"/>
            <w:tcBorders>
              <w:bottom w:val="single" w:sz="8" w:color="D5EAEA"/>
            </w:tcBorders>
          </w:tcPr>
          <w:p>
            <w:pPr>
              <w:spacing w:after="0"/>
              <w:rPr>
                <w:sz w:val="21"/>
                <w:szCs w:val="21"/>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(56,223</w:t>
            </w:r>
          </w:p>
        </w:tc>
        <w:tc>
          <w:tcPr>
            <w:tcW w:w="120" w:type="dxa"/>
            <w:vAlign w:val="bottom"/>
            <w:tcBorders>
              <w:bottom w:val="single" w:sz="8" w:color="D5EAEA"/>
            </w:tcBorders>
          </w:tcPr>
          <w:p>
            <w:pPr>
              <w:jc w:val="right"/>
              <w:spacing w:after="0"/>
              <w:rPr>
                <w:sz w:val="20"/>
                <w:szCs w:val="20"/>
                <w:color w:val="auto"/>
              </w:rPr>
            </w:pPr>
            <w:r>
              <w:rPr>
                <w:rFonts w:ascii="Arial" w:cs="Arial" w:eastAsia="Arial" w:hAnsi="Arial"/>
                <w:sz w:val="16"/>
                <w:szCs w:val="16"/>
                <w:color w:val="auto"/>
                <w:w w:val="74"/>
              </w:rPr>
              <w:t>)</w:t>
            </w:r>
          </w:p>
        </w:tc>
        <w:tc>
          <w:tcPr>
            <w:tcW w:w="100" w:type="dxa"/>
            <w:vAlign w:val="bottom"/>
            <w:tcBorders>
              <w:bottom w:val="single" w:sz="8" w:color="D5EAEA"/>
            </w:tcBorders>
          </w:tcPr>
          <w:p>
            <w:pPr>
              <w:spacing w:after="0"/>
              <w:rPr>
                <w:sz w:val="21"/>
                <w:szCs w:val="21"/>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(56,282</w:t>
            </w:r>
          </w:p>
        </w:tc>
        <w:tc>
          <w:tcPr>
            <w:tcW w:w="100" w:type="dxa"/>
            <w:vAlign w:val="bottom"/>
            <w:tcBorders>
              <w:bottom w:val="single" w:sz="8" w:color="D5EAEA"/>
            </w:tcBorders>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183"/>
        </w:trPr>
        <w:tc>
          <w:tcPr>
            <w:tcW w:w="5520" w:type="dxa"/>
            <w:vAlign w:val="bottom"/>
            <w:tcBorders>
              <w:bottom w:val="single" w:sz="8" w:color="D5EAEA"/>
            </w:tcBorders>
            <w:shd w:val="clear" w:color="auto" w:fill="D5EAEA"/>
          </w:tcPr>
          <w:p>
            <w:pPr>
              <w:spacing w:after="0" w:line="183" w:lineRule="exact"/>
              <w:rPr>
                <w:sz w:val="20"/>
                <w:szCs w:val="20"/>
                <w:color w:val="auto"/>
              </w:rPr>
            </w:pPr>
            <w:r>
              <w:rPr>
                <w:rFonts w:ascii="Arial" w:cs="Arial" w:eastAsia="Arial" w:hAnsi="Arial"/>
                <w:sz w:val="18"/>
                <w:szCs w:val="18"/>
                <w:b w:val="1"/>
                <w:bCs w:val="1"/>
                <w:color w:val="auto"/>
              </w:rPr>
              <w:t>Operating loss</w:t>
            </w:r>
          </w:p>
        </w:tc>
        <w:tc>
          <w:tcPr>
            <w:tcW w:w="1260" w:type="dxa"/>
            <w:vAlign w:val="bottom"/>
            <w:tcBorders>
              <w:bottom w:val="single" w:sz="8" w:color="auto"/>
            </w:tcBorders>
            <w:shd w:val="clear" w:color="auto" w:fill="D5EAEA"/>
          </w:tcPr>
          <w:p>
            <w:pPr>
              <w:jc w:val="right"/>
              <w:spacing w:after="0" w:line="183" w:lineRule="exact"/>
              <w:rPr>
                <w:sz w:val="20"/>
                <w:szCs w:val="20"/>
                <w:color w:val="auto"/>
              </w:rPr>
            </w:pPr>
            <w:r>
              <w:rPr>
                <w:rFonts w:ascii="Arial" w:cs="Arial" w:eastAsia="Arial" w:hAnsi="Arial"/>
                <w:sz w:val="18"/>
                <w:szCs w:val="18"/>
                <w:color w:val="auto"/>
              </w:rPr>
              <w:t>(20,283</w:t>
            </w:r>
          </w:p>
        </w:tc>
        <w:tc>
          <w:tcPr>
            <w:tcW w:w="120" w:type="dxa"/>
            <w:vAlign w:val="bottom"/>
            <w:tcBorders>
              <w:bottom w:val="single" w:sz="8" w:color="D5EAEA"/>
            </w:tcBorders>
            <w:shd w:val="clear" w:color="auto" w:fill="D5EAEA"/>
          </w:tcPr>
          <w:p>
            <w:pPr>
              <w:jc w:val="right"/>
              <w:spacing w:after="0" w:line="177" w:lineRule="exact"/>
              <w:rPr>
                <w:sz w:val="20"/>
                <w:szCs w:val="20"/>
                <w:color w:val="auto"/>
              </w:rPr>
            </w:pPr>
            <w:r>
              <w:rPr>
                <w:rFonts w:ascii="Arial" w:cs="Arial" w:eastAsia="Arial" w:hAnsi="Arial"/>
                <w:sz w:val="16"/>
                <w:szCs w:val="16"/>
                <w:color w:val="auto"/>
                <w:w w:val="74"/>
              </w:rPr>
              <w:t>)</w:t>
            </w:r>
          </w:p>
        </w:tc>
        <w:tc>
          <w:tcPr>
            <w:tcW w:w="120" w:type="dxa"/>
            <w:vAlign w:val="bottom"/>
            <w:tcBorders>
              <w:bottom w:val="single" w:sz="8" w:color="D5EAEA"/>
            </w:tcBorders>
            <w:shd w:val="clear" w:color="auto" w:fill="D5EAEA"/>
          </w:tcPr>
          <w:p>
            <w:pPr>
              <w:spacing w:after="0"/>
              <w:rPr>
                <w:sz w:val="15"/>
                <w:szCs w:val="15"/>
                <w:color w:val="auto"/>
              </w:rPr>
            </w:pPr>
          </w:p>
        </w:tc>
        <w:tc>
          <w:tcPr>
            <w:tcW w:w="1220" w:type="dxa"/>
            <w:vAlign w:val="bottom"/>
            <w:tcBorders>
              <w:bottom w:val="single" w:sz="8" w:color="auto"/>
            </w:tcBorders>
            <w:shd w:val="clear" w:color="auto" w:fill="D5EAEA"/>
          </w:tcPr>
          <w:p>
            <w:pPr>
              <w:jc w:val="right"/>
              <w:spacing w:after="0" w:line="183" w:lineRule="exact"/>
              <w:rPr>
                <w:sz w:val="20"/>
                <w:szCs w:val="20"/>
                <w:color w:val="auto"/>
              </w:rPr>
            </w:pPr>
            <w:r>
              <w:rPr>
                <w:rFonts w:ascii="Arial" w:cs="Arial" w:eastAsia="Arial" w:hAnsi="Arial"/>
                <w:sz w:val="18"/>
                <w:szCs w:val="18"/>
                <w:color w:val="auto"/>
              </w:rPr>
              <w:t>(18,805</w:t>
            </w:r>
          </w:p>
        </w:tc>
        <w:tc>
          <w:tcPr>
            <w:tcW w:w="120" w:type="dxa"/>
            <w:vAlign w:val="bottom"/>
            <w:tcBorders>
              <w:bottom w:val="single" w:sz="8" w:color="D5EAEA"/>
            </w:tcBorders>
            <w:shd w:val="clear" w:color="auto" w:fill="D5EAEA"/>
          </w:tcPr>
          <w:p>
            <w:pPr>
              <w:jc w:val="right"/>
              <w:spacing w:after="0" w:line="177" w:lineRule="exact"/>
              <w:rPr>
                <w:sz w:val="20"/>
                <w:szCs w:val="20"/>
                <w:color w:val="auto"/>
              </w:rPr>
            </w:pPr>
            <w:r>
              <w:rPr>
                <w:rFonts w:ascii="Arial" w:cs="Arial" w:eastAsia="Arial" w:hAnsi="Arial"/>
                <w:sz w:val="16"/>
                <w:szCs w:val="16"/>
                <w:color w:val="auto"/>
                <w:w w:val="74"/>
              </w:rPr>
              <w:t>)</w:t>
            </w:r>
          </w:p>
        </w:tc>
        <w:tc>
          <w:tcPr>
            <w:tcW w:w="100" w:type="dxa"/>
            <w:vAlign w:val="bottom"/>
            <w:tcBorders>
              <w:bottom w:val="single" w:sz="8" w:color="D5EAEA"/>
            </w:tcBorders>
            <w:shd w:val="clear" w:color="auto" w:fill="D5EAEA"/>
          </w:tcPr>
          <w:p>
            <w:pPr>
              <w:spacing w:after="0"/>
              <w:rPr>
                <w:sz w:val="15"/>
                <w:szCs w:val="15"/>
                <w:color w:val="auto"/>
              </w:rPr>
            </w:pPr>
          </w:p>
        </w:tc>
        <w:tc>
          <w:tcPr>
            <w:tcW w:w="1220" w:type="dxa"/>
            <w:vAlign w:val="bottom"/>
            <w:tcBorders>
              <w:bottom w:val="single" w:sz="8" w:color="auto"/>
            </w:tcBorders>
            <w:shd w:val="clear" w:color="auto" w:fill="D5EAEA"/>
          </w:tcPr>
          <w:p>
            <w:pPr>
              <w:jc w:val="right"/>
              <w:spacing w:after="0" w:line="183" w:lineRule="exact"/>
              <w:rPr>
                <w:sz w:val="20"/>
                <w:szCs w:val="20"/>
                <w:color w:val="auto"/>
              </w:rPr>
            </w:pPr>
            <w:r>
              <w:rPr>
                <w:rFonts w:ascii="Arial" w:cs="Arial" w:eastAsia="Arial" w:hAnsi="Arial"/>
                <w:sz w:val="18"/>
                <w:szCs w:val="18"/>
                <w:color w:val="auto"/>
              </w:rPr>
              <w:t>(56,223</w:t>
            </w:r>
          </w:p>
        </w:tc>
        <w:tc>
          <w:tcPr>
            <w:tcW w:w="120" w:type="dxa"/>
            <w:vAlign w:val="bottom"/>
            <w:tcBorders>
              <w:bottom w:val="single" w:sz="8" w:color="D5EAEA"/>
            </w:tcBorders>
            <w:shd w:val="clear" w:color="auto" w:fill="D5EAEA"/>
          </w:tcPr>
          <w:p>
            <w:pPr>
              <w:jc w:val="right"/>
              <w:spacing w:after="0" w:line="177" w:lineRule="exact"/>
              <w:rPr>
                <w:sz w:val="20"/>
                <w:szCs w:val="20"/>
                <w:color w:val="auto"/>
              </w:rPr>
            </w:pPr>
            <w:r>
              <w:rPr>
                <w:rFonts w:ascii="Arial" w:cs="Arial" w:eastAsia="Arial" w:hAnsi="Arial"/>
                <w:sz w:val="16"/>
                <w:szCs w:val="16"/>
                <w:color w:val="auto"/>
                <w:w w:val="74"/>
              </w:rPr>
              <w:t>)</w:t>
            </w:r>
          </w:p>
        </w:tc>
        <w:tc>
          <w:tcPr>
            <w:tcW w:w="100" w:type="dxa"/>
            <w:vAlign w:val="bottom"/>
            <w:tcBorders>
              <w:bottom w:val="single" w:sz="8" w:color="D5EAEA"/>
            </w:tcBorders>
            <w:shd w:val="clear" w:color="auto" w:fill="D5EAEA"/>
          </w:tcPr>
          <w:p>
            <w:pPr>
              <w:spacing w:after="0"/>
              <w:rPr>
                <w:sz w:val="15"/>
                <w:szCs w:val="15"/>
                <w:color w:val="auto"/>
              </w:rPr>
            </w:pPr>
          </w:p>
        </w:tc>
        <w:tc>
          <w:tcPr>
            <w:tcW w:w="1240" w:type="dxa"/>
            <w:vAlign w:val="bottom"/>
            <w:tcBorders>
              <w:bottom w:val="single" w:sz="8" w:color="auto"/>
            </w:tcBorders>
            <w:shd w:val="clear" w:color="auto" w:fill="D5EAEA"/>
          </w:tcPr>
          <w:p>
            <w:pPr>
              <w:jc w:val="right"/>
              <w:spacing w:after="0" w:line="183" w:lineRule="exact"/>
              <w:rPr>
                <w:sz w:val="20"/>
                <w:szCs w:val="20"/>
                <w:color w:val="auto"/>
              </w:rPr>
            </w:pPr>
            <w:r>
              <w:rPr>
                <w:rFonts w:ascii="Arial" w:cs="Arial" w:eastAsia="Arial" w:hAnsi="Arial"/>
                <w:sz w:val="18"/>
                <w:szCs w:val="18"/>
                <w:color w:val="auto"/>
              </w:rPr>
              <w:t>(41,795</w:t>
            </w:r>
          </w:p>
        </w:tc>
        <w:tc>
          <w:tcPr>
            <w:tcW w:w="100" w:type="dxa"/>
            <w:vAlign w:val="bottom"/>
            <w:tcBorders>
              <w:bottom w:val="single" w:sz="8" w:color="D5EAEA"/>
            </w:tcBorders>
            <w:shd w:val="clear" w:color="auto" w:fill="D5EAEA"/>
          </w:tcPr>
          <w:p>
            <w:pPr>
              <w:jc w:val="right"/>
              <w:spacing w:after="0" w:line="177" w:lineRule="exact"/>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552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55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5520" w:type="dxa"/>
            <w:vAlign w:val="bottom"/>
            <w:shd w:val="clear" w:color="auto" w:fill="D5EAEA"/>
          </w:tcPr>
          <w:p>
            <w:pPr>
              <w:ind w:left="180"/>
              <w:spacing w:after="0" w:line="202" w:lineRule="exact"/>
              <w:rPr>
                <w:sz w:val="20"/>
                <w:szCs w:val="20"/>
                <w:color w:val="auto"/>
              </w:rPr>
            </w:pPr>
            <w:r>
              <w:rPr>
                <w:rFonts w:ascii="Arial" w:cs="Arial" w:eastAsia="Arial" w:hAnsi="Arial"/>
                <w:sz w:val="18"/>
                <w:szCs w:val="18"/>
                <w:color w:val="auto"/>
              </w:rPr>
              <w:t>Financial income</w:t>
            </w:r>
          </w:p>
        </w:tc>
        <w:tc>
          <w:tcPr>
            <w:tcW w:w="1380" w:type="dxa"/>
            <w:vAlign w:val="bottom"/>
            <w:gridSpan w:val="2"/>
            <w:shd w:val="clear" w:color="auto" w:fill="D5EAEA"/>
          </w:tcPr>
          <w:p>
            <w:pPr>
              <w:jc w:val="right"/>
              <w:ind w:right="41"/>
              <w:spacing w:after="0" w:line="202" w:lineRule="exact"/>
              <w:rPr>
                <w:sz w:val="20"/>
                <w:szCs w:val="20"/>
                <w:color w:val="auto"/>
              </w:rPr>
            </w:pPr>
            <w:r>
              <w:rPr>
                <w:rFonts w:ascii="Arial" w:cs="Arial" w:eastAsia="Arial" w:hAnsi="Arial"/>
                <w:sz w:val="18"/>
                <w:szCs w:val="18"/>
                <w:color w:val="auto"/>
              </w:rPr>
              <w:t>4,424</w:t>
            </w:r>
          </w:p>
        </w:tc>
        <w:tc>
          <w:tcPr>
            <w:tcW w:w="120" w:type="dxa"/>
            <w:vAlign w:val="bottom"/>
            <w:shd w:val="clear" w:color="auto" w:fill="D5EAEA"/>
          </w:tcPr>
          <w:p>
            <w:pPr>
              <w:spacing w:after="0"/>
              <w:rPr>
                <w:sz w:val="17"/>
                <w:szCs w:val="17"/>
                <w:color w:val="auto"/>
              </w:rPr>
            </w:pPr>
          </w:p>
        </w:tc>
        <w:tc>
          <w:tcPr>
            <w:tcW w:w="1440" w:type="dxa"/>
            <w:vAlign w:val="bottom"/>
            <w:gridSpan w:val="3"/>
            <w:shd w:val="clear" w:color="auto" w:fill="D5EAEA"/>
          </w:tcPr>
          <w:p>
            <w:pPr>
              <w:ind w:left="940"/>
              <w:spacing w:after="0" w:line="202" w:lineRule="exact"/>
              <w:rPr>
                <w:sz w:val="20"/>
                <w:szCs w:val="20"/>
                <w:color w:val="auto"/>
              </w:rPr>
            </w:pPr>
            <w:r>
              <w:rPr>
                <w:rFonts w:ascii="Arial" w:cs="Arial" w:eastAsia="Arial" w:hAnsi="Arial"/>
                <w:sz w:val="18"/>
                <w:szCs w:val="18"/>
                <w:color w:val="auto"/>
              </w:rPr>
              <w:t>—</w:t>
            </w:r>
          </w:p>
        </w:tc>
        <w:tc>
          <w:tcPr>
            <w:tcW w:w="1340" w:type="dxa"/>
            <w:vAlign w:val="bottom"/>
            <w:gridSpan w:val="2"/>
            <w:shd w:val="clear" w:color="auto" w:fill="D5EAEA"/>
          </w:tcPr>
          <w:p>
            <w:pPr>
              <w:jc w:val="right"/>
              <w:ind w:right="41"/>
              <w:spacing w:after="0" w:line="202" w:lineRule="exact"/>
              <w:rPr>
                <w:sz w:val="20"/>
                <w:szCs w:val="20"/>
                <w:color w:val="auto"/>
              </w:rPr>
            </w:pPr>
            <w:r>
              <w:rPr>
                <w:rFonts w:ascii="Arial" w:cs="Arial" w:eastAsia="Arial" w:hAnsi="Arial"/>
                <w:sz w:val="18"/>
                <w:szCs w:val="18"/>
                <w:color w:val="auto"/>
              </w:rPr>
              <w:t>4,424</w:t>
            </w:r>
          </w:p>
        </w:tc>
        <w:tc>
          <w:tcPr>
            <w:tcW w:w="100" w:type="dxa"/>
            <w:vAlign w:val="bottom"/>
            <w:shd w:val="clear" w:color="auto" w:fill="D5EAEA"/>
          </w:tcPr>
          <w:p>
            <w:pPr>
              <w:spacing w:after="0"/>
              <w:rPr>
                <w:sz w:val="17"/>
                <w:szCs w:val="17"/>
                <w:color w:val="auto"/>
              </w:rPr>
            </w:pPr>
          </w:p>
        </w:tc>
        <w:tc>
          <w:tcPr>
            <w:tcW w:w="1340" w:type="dxa"/>
            <w:vAlign w:val="bottom"/>
            <w:gridSpan w:val="2"/>
            <w:shd w:val="clear" w:color="auto" w:fill="D5EAEA"/>
          </w:tcPr>
          <w:p>
            <w:pPr>
              <w:jc w:val="right"/>
              <w:ind w:right="21"/>
              <w:spacing w:after="0" w:line="202" w:lineRule="exact"/>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03"/>
        </w:trPr>
        <w:tc>
          <w:tcPr>
            <w:tcW w:w="5520" w:type="dxa"/>
            <w:vAlign w:val="bottom"/>
          </w:tcPr>
          <w:p>
            <w:pPr>
              <w:ind w:left="180"/>
              <w:spacing w:after="0" w:line="202" w:lineRule="exact"/>
              <w:rPr>
                <w:sz w:val="20"/>
                <w:szCs w:val="20"/>
                <w:color w:val="auto"/>
              </w:rPr>
            </w:pPr>
            <w:r>
              <w:rPr>
                <w:rFonts w:ascii="Arial" w:cs="Arial" w:eastAsia="Arial" w:hAnsi="Arial"/>
                <w:sz w:val="18"/>
                <w:szCs w:val="18"/>
                <w:color w:val="auto"/>
              </w:rPr>
              <w:t>Financial expense</w:t>
            </w:r>
          </w:p>
        </w:tc>
        <w:tc>
          <w:tcPr>
            <w:tcW w:w="13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(181)</w:t>
            </w:r>
          </w:p>
        </w:tc>
        <w:tc>
          <w:tcPr>
            <w:tcW w:w="120" w:type="dxa"/>
            <w:vAlign w:val="bottom"/>
          </w:tcPr>
          <w:p>
            <w:pPr>
              <w:spacing w:after="0"/>
              <w:rPr>
                <w:sz w:val="17"/>
                <w:szCs w:val="17"/>
                <w:color w:val="auto"/>
              </w:rPr>
            </w:pPr>
          </w:p>
        </w:tc>
        <w:tc>
          <w:tcPr>
            <w:tcW w:w="13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(46)</w:t>
            </w:r>
          </w:p>
        </w:tc>
        <w:tc>
          <w:tcPr>
            <w:tcW w:w="100" w:type="dxa"/>
            <w:vAlign w:val="bottom"/>
          </w:tcPr>
          <w:p>
            <w:pPr>
              <w:spacing w:after="0"/>
              <w:rPr>
                <w:sz w:val="17"/>
                <w:szCs w:val="17"/>
                <w:color w:val="auto"/>
              </w:rPr>
            </w:pPr>
          </w:p>
        </w:tc>
        <w:tc>
          <w:tcPr>
            <w:tcW w:w="13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(408)</w:t>
            </w:r>
          </w:p>
        </w:tc>
        <w:tc>
          <w:tcPr>
            <w:tcW w:w="100" w:type="dxa"/>
            <w:vAlign w:val="bottom"/>
          </w:tcPr>
          <w:p>
            <w:pPr>
              <w:spacing w:after="0"/>
              <w:rPr>
                <w:sz w:val="17"/>
                <w:szCs w:val="17"/>
                <w:color w:val="auto"/>
              </w:rPr>
            </w:pPr>
          </w:p>
        </w:tc>
        <w:tc>
          <w:tcPr>
            <w:tcW w:w="13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(159)</w:t>
            </w:r>
          </w:p>
        </w:tc>
        <w:tc>
          <w:tcPr>
            <w:tcW w:w="0" w:type="dxa"/>
            <w:vAlign w:val="bottom"/>
          </w:tcPr>
          <w:p>
            <w:pPr>
              <w:spacing w:after="0"/>
              <w:rPr>
                <w:sz w:val="1"/>
                <w:szCs w:val="1"/>
                <w:color w:val="auto"/>
              </w:rPr>
            </w:pPr>
          </w:p>
        </w:tc>
      </w:tr>
      <w:tr>
        <w:trPr>
          <w:trHeight w:val="216"/>
        </w:trPr>
        <w:tc>
          <w:tcPr>
            <w:tcW w:w="5520" w:type="dxa"/>
            <w:vAlign w:val="bottom"/>
            <w:shd w:val="clear" w:color="auto" w:fill="D5EAEA"/>
          </w:tcPr>
          <w:p>
            <w:pPr>
              <w:ind w:left="180"/>
              <w:spacing w:after="0"/>
              <w:rPr>
                <w:sz w:val="20"/>
                <w:szCs w:val="20"/>
                <w:color w:val="auto"/>
              </w:rPr>
            </w:pPr>
            <w:r>
              <w:rPr>
                <w:rFonts w:ascii="Arial" w:cs="Arial" w:eastAsia="Arial" w:hAnsi="Arial"/>
                <w:sz w:val="18"/>
                <w:szCs w:val="18"/>
                <w:color w:val="auto"/>
              </w:rPr>
              <w:t>Exchange differences</w:t>
            </w:r>
          </w:p>
        </w:tc>
        <w:tc>
          <w:tcPr>
            <w:tcW w:w="1380" w:type="dxa"/>
            <w:vAlign w:val="bottom"/>
            <w:gridSpan w:val="2"/>
            <w:shd w:val="clear" w:color="auto" w:fill="D5EAEA"/>
          </w:tcPr>
          <w:p>
            <w:pPr>
              <w:jc w:val="right"/>
              <w:ind w:right="41"/>
              <w:spacing w:after="0"/>
              <w:rPr>
                <w:sz w:val="20"/>
                <w:szCs w:val="20"/>
                <w:color w:val="auto"/>
              </w:rPr>
            </w:pPr>
            <w:r>
              <w:rPr>
                <w:rFonts w:ascii="Arial" w:cs="Arial" w:eastAsia="Arial" w:hAnsi="Arial"/>
                <w:sz w:val="18"/>
                <w:szCs w:val="18"/>
                <w:color w:val="auto"/>
              </w:rPr>
              <w:t>122</w:t>
            </w:r>
          </w:p>
        </w:tc>
        <w:tc>
          <w:tcPr>
            <w:tcW w:w="120" w:type="dxa"/>
            <w:vAlign w:val="bottom"/>
            <w:shd w:val="clear" w:color="auto" w:fill="D5EAEA"/>
          </w:tcPr>
          <w:p>
            <w:pPr>
              <w:spacing w:after="0"/>
              <w:rPr>
                <w:sz w:val="18"/>
                <w:szCs w:val="18"/>
                <w:color w:val="auto"/>
              </w:rPr>
            </w:pPr>
          </w:p>
        </w:tc>
        <w:tc>
          <w:tcPr>
            <w:tcW w:w="1340" w:type="dxa"/>
            <w:vAlign w:val="bottom"/>
            <w:gridSpan w:val="2"/>
            <w:shd w:val="clear" w:color="auto" w:fill="D5EAEA"/>
          </w:tcPr>
          <w:p>
            <w:pPr>
              <w:jc w:val="right"/>
              <w:spacing w:after="0"/>
              <w:rPr>
                <w:sz w:val="20"/>
                <w:szCs w:val="20"/>
                <w:color w:val="auto"/>
              </w:rPr>
            </w:pPr>
            <w:r>
              <w:rPr>
                <w:rFonts w:ascii="Arial" w:cs="Arial" w:eastAsia="Arial" w:hAnsi="Arial"/>
                <w:sz w:val="18"/>
                <w:szCs w:val="18"/>
                <w:color w:val="auto"/>
              </w:rPr>
              <w:t>(143)</w:t>
            </w:r>
          </w:p>
        </w:tc>
        <w:tc>
          <w:tcPr>
            <w:tcW w:w="100" w:type="dxa"/>
            <w:vAlign w:val="bottom"/>
            <w:shd w:val="clear" w:color="auto" w:fill="D5EAEA"/>
          </w:tcPr>
          <w:p>
            <w:pPr>
              <w:spacing w:after="0"/>
              <w:rPr>
                <w:sz w:val="18"/>
                <w:szCs w:val="18"/>
                <w:color w:val="auto"/>
              </w:rPr>
            </w:pPr>
          </w:p>
        </w:tc>
        <w:tc>
          <w:tcPr>
            <w:tcW w:w="1340" w:type="dxa"/>
            <w:vAlign w:val="bottom"/>
            <w:gridSpan w:val="2"/>
            <w:shd w:val="clear" w:color="auto" w:fill="D5EAEA"/>
          </w:tcPr>
          <w:p>
            <w:pPr>
              <w:jc w:val="right"/>
              <w:ind w:right="41"/>
              <w:spacing w:after="0"/>
              <w:rPr>
                <w:sz w:val="20"/>
                <w:szCs w:val="20"/>
                <w:color w:val="auto"/>
              </w:rPr>
            </w:pPr>
            <w:r>
              <w:rPr>
                <w:rFonts w:ascii="Arial" w:cs="Arial" w:eastAsia="Arial" w:hAnsi="Arial"/>
                <w:sz w:val="18"/>
                <w:szCs w:val="18"/>
                <w:color w:val="auto"/>
              </w:rPr>
              <w:t>487</w:t>
            </w:r>
          </w:p>
        </w:tc>
        <w:tc>
          <w:tcPr>
            <w:tcW w:w="100" w:type="dxa"/>
            <w:vAlign w:val="bottom"/>
            <w:shd w:val="clear" w:color="auto" w:fill="D5EAEA"/>
          </w:tcPr>
          <w:p>
            <w:pPr>
              <w:spacing w:after="0"/>
              <w:rPr>
                <w:sz w:val="18"/>
                <w:szCs w:val="18"/>
                <w:color w:val="auto"/>
              </w:rPr>
            </w:pPr>
          </w:p>
        </w:tc>
        <w:tc>
          <w:tcPr>
            <w:tcW w:w="1340" w:type="dxa"/>
            <w:vAlign w:val="bottom"/>
            <w:gridSpan w:val="2"/>
            <w:shd w:val="clear" w:color="auto" w:fill="D5EAEA"/>
          </w:tcPr>
          <w:p>
            <w:pPr>
              <w:jc w:val="right"/>
              <w:spacing w:after="0"/>
              <w:rPr>
                <w:sz w:val="20"/>
                <w:szCs w:val="20"/>
                <w:color w:val="auto"/>
              </w:rPr>
            </w:pPr>
            <w:r>
              <w:rPr>
                <w:rFonts w:ascii="Arial" w:cs="Arial" w:eastAsia="Arial" w:hAnsi="Arial"/>
                <w:sz w:val="18"/>
                <w:szCs w:val="18"/>
                <w:color w:val="auto"/>
              </w:rPr>
              <w:t>(545)</w:t>
            </w:r>
          </w:p>
        </w:tc>
        <w:tc>
          <w:tcPr>
            <w:tcW w:w="0" w:type="dxa"/>
            <w:vAlign w:val="bottom"/>
          </w:tcPr>
          <w:p>
            <w:pPr>
              <w:spacing w:after="0"/>
              <w:rPr>
                <w:sz w:val="1"/>
                <w:szCs w:val="1"/>
                <w:color w:val="auto"/>
              </w:rPr>
            </w:pPr>
          </w:p>
        </w:tc>
      </w:tr>
      <w:tr>
        <w:trPr>
          <w:trHeight w:val="20"/>
        </w:trPr>
        <w:tc>
          <w:tcPr>
            <w:tcW w:w="5520" w:type="dxa"/>
            <w:vAlign w:val="bottom"/>
            <w:vMerge w:val="restart"/>
          </w:tcPr>
          <w:p>
            <w:pPr>
              <w:spacing w:after="0"/>
              <w:rPr>
                <w:sz w:val="20"/>
                <w:szCs w:val="20"/>
                <w:color w:val="auto"/>
              </w:rPr>
            </w:pPr>
            <w:r>
              <w:rPr>
                <w:rFonts w:ascii="Arial" w:cs="Arial" w:eastAsia="Arial" w:hAnsi="Arial"/>
                <w:sz w:val="18"/>
                <w:szCs w:val="18"/>
                <w:b w:val="1"/>
                <w:bCs w:val="1"/>
                <w:color w:val="auto"/>
              </w:rPr>
              <w:t>Finance result, net</w:t>
            </w:r>
          </w:p>
        </w:tc>
        <w:tc>
          <w:tcPr>
            <w:tcW w:w="12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20" w:type="dxa"/>
            <w:vAlign w:val="bottom"/>
            <w:vMerge w:val="restart"/>
          </w:tcPr>
          <w:p>
            <w:pPr>
              <w:jc w:val="right"/>
              <w:spacing w:after="0"/>
              <w:rPr>
                <w:sz w:val="20"/>
                <w:szCs w:val="20"/>
                <w:color w:val="auto"/>
              </w:rPr>
            </w:pPr>
            <w:r>
              <w:rPr>
                <w:rFonts w:ascii="Arial" w:cs="Arial" w:eastAsia="Arial" w:hAnsi="Arial"/>
                <w:sz w:val="16"/>
                <w:szCs w:val="16"/>
                <w:color w:val="auto"/>
                <w:w w:val="74"/>
              </w:rPr>
              <w:t>)</w:t>
            </w:r>
          </w:p>
        </w:tc>
        <w:tc>
          <w:tcPr>
            <w:tcW w:w="100" w:type="dxa"/>
            <w:vAlign w:val="bottom"/>
            <w:vMerge w:val="restart"/>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00" w:type="dxa"/>
            <w:vAlign w:val="bottom"/>
            <w:vMerge w:val="restart"/>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line="20" w:lineRule="exact"/>
              <w:rPr>
                <w:sz w:val="1"/>
                <w:szCs w:val="1"/>
                <w:color w:val="auto"/>
              </w:rPr>
            </w:pPr>
          </w:p>
        </w:tc>
      </w:tr>
      <w:tr>
        <w:trPr>
          <w:trHeight w:val="249"/>
        </w:trPr>
        <w:tc>
          <w:tcPr>
            <w:tcW w:w="5520" w:type="dxa"/>
            <w:vAlign w:val="bottom"/>
            <w:vMerge w:val="continue"/>
          </w:tcPr>
          <w:p>
            <w:pPr>
              <w:spacing w:after="0"/>
              <w:rPr>
                <w:sz w:val="21"/>
                <w:szCs w:val="21"/>
                <w:color w:val="auto"/>
              </w:rPr>
            </w:pPr>
          </w:p>
        </w:tc>
        <w:tc>
          <w:tcPr>
            <w:tcW w:w="1380" w:type="dxa"/>
            <w:vAlign w:val="bottom"/>
            <w:gridSpan w:val="2"/>
          </w:tcPr>
          <w:p>
            <w:pPr>
              <w:jc w:val="right"/>
              <w:ind w:right="41"/>
              <w:spacing w:after="0"/>
              <w:rPr>
                <w:sz w:val="20"/>
                <w:szCs w:val="20"/>
                <w:color w:val="auto"/>
              </w:rPr>
            </w:pPr>
            <w:r>
              <w:rPr>
                <w:rFonts w:ascii="Arial" w:cs="Arial" w:eastAsia="Arial" w:hAnsi="Arial"/>
                <w:sz w:val="18"/>
                <w:szCs w:val="18"/>
                <w:color w:val="auto"/>
              </w:rPr>
              <w:t>4,365</w:t>
            </w:r>
          </w:p>
        </w:tc>
        <w:tc>
          <w:tcPr>
            <w:tcW w:w="1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(189</w:t>
            </w:r>
          </w:p>
        </w:tc>
        <w:tc>
          <w:tcPr>
            <w:tcW w:w="120" w:type="dxa"/>
            <w:vAlign w:val="bottom"/>
            <w:vMerge w:val="continue"/>
          </w:tcPr>
          <w:p>
            <w:pPr>
              <w:spacing w:after="0"/>
              <w:rPr>
                <w:sz w:val="21"/>
                <w:szCs w:val="21"/>
                <w:color w:val="auto"/>
              </w:rPr>
            </w:pPr>
          </w:p>
        </w:tc>
        <w:tc>
          <w:tcPr>
            <w:tcW w:w="100" w:type="dxa"/>
            <w:vAlign w:val="bottom"/>
            <w:vMerge w:val="continue"/>
          </w:tcPr>
          <w:p>
            <w:pPr>
              <w:spacing w:after="0"/>
              <w:rPr>
                <w:sz w:val="21"/>
                <w:szCs w:val="21"/>
                <w:color w:val="auto"/>
              </w:rPr>
            </w:pPr>
          </w:p>
        </w:tc>
        <w:tc>
          <w:tcPr>
            <w:tcW w:w="1340" w:type="dxa"/>
            <w:vAlign w:val="bottom"/>
            <w:gridSpan w:val="2"/>
          </w:tcPr>
          <w:p>
            <w:pPr>
              <w:jc w:val="right"/>
              <w:ind w:right="41"/>
              <w:spacing w:after="0"/>
              <w:rPr>
                <w:sz w:val="20"/>
                <w:szCs w:val="20"/>
                <w:color w:val="auto"/>
              </w:rPr>
            </w:pPr>
            <w:r>
              <w:rPr>
                <w:rFonts w:ascii="Arial" w:cs="Arial" w:eastAsia="Arial" w:hAnsi="Arial"/>
                <w:sz w:val="18"/>
                <w:szCs w:val="18"/>
                <w:color w:val="auto"/>
              </w:rPr>
              <w:t>4,503</w:t>
            </w:r>
          </w:p>
        </w:tc>
        <w:tc>
          <w:tcPr>
            <w:tcW w:w="1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(626</w:t>
            </w:r>
          </w:p>
        </w:tc>
        <w:tc>
          <w:tcPr>
            <w:tcW w:w="1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83"/>
        </w:trPr>
        <w:tc>
          <w:tcPr>
            <w:tcW w:w="5520" w:type="dxa"/>
            <w:vAlign w:val="bottom"/>
            <w:tcBorders>
              <w:top w:val="single" w:sz="8" w:color="D5EAEA"/>
            </w:tcBorders>
            <w:shd w:val="clear" w:color="auto" w:fill="D5EAEA"/>
          </w:tcPr>
          <w:p>
            <w:pPr>
              <w:spacing w:after="0" w:line="183" w:lineRule="exact"/>
              <w:rPr>
                <w:sz w:val="20"/>
                <w:szCs w:val="20"/>
                <w:color w:val="auto"/>
              </w:rPr>
            </w:pPr>
            <w:r>
              <w:rPr>
                <w:rFonts w:ascii="Arial" w:cs="Arial" w:eastAsia="Arial" w:hAnsi="Arial"/>
                <w:sz w:val="18"/>
                <w:szCs w:val="18"/>
                <w:b w:val="1"/>
                <w:bCs w:val="1"/>
                <w:color w:val="auto"/>
              </w:rPr>
              <w:t>Loss before tax</w:t>
            </w:r>
          </w:p>
        </w:tc>
        <w:tc>
          <w:tcPr>
            <w:tcW w:w="1260" w:type="dxa"/>
            <w:vAlign w:val="bottom"/>
            <w:tcBorders>
              <w:top w:val="single" w:sz="8" w:color="auto"/>
            </w:tcBorders>
            <w:shd w:val="clear" w:color="auto" w:fill="D5EAEA"/>
          </w:tcPr>
          <w:p>
            <w:pPr>
              <w:jc w:val="right"/>
              <w:spacing w:after="0" w:line="183" w:lineRule="exact"/>
              <w:rPr>
                <w:sz w:val="20"/>
                <w:szCs w:val="20"/>
                <w:color w:val="auto"/>
              </w:rPr>
            </w:pPr>
            <w:r>
              <w:rPr>
                <w:rFonts w:ascii="Arial" w:cs="Arial" w:eastAsia="Arial" w:hAnsi="Arial"/>
                <w:sz w:val="18"/>
                <w:szCs w:val="18"/>
                <w:color w:val="auto"/>
              </w:rPr>
              <w:t>(15,918)</w:t>
            </w:r>
          </w:p>
        </w:tc>
        <w:tc>
          <w:tcPr>
            <w:tcW w:w="120" w:type="dxa"/>
            <w:vAlign w:val="bottom"/>
            <w:tcBorders>
              <w:top w:val="single" w:sz="8" w:color="D5EAEA"/>
            </w:tcBorders>
            <w:shd w:val="clear" w:color="auto" w:fill="D5EAEA"/>
          </w:tcPr>
          <w:p>
            <w:pPr>
              <w:spacing w:after="0"/>
              <w:rPr>
                <w:sz w:val="15"/>
                <w:szCs w:val="15"/>
                <w:color w:val="auto"/>
              </w:rPr>
            </w:pPr>
          </w:p>
        </w:tc>
        <w:tc>
          <w:tcPr>
            <w:tcW w:w="120" w:type="dxa"/>
            <w:vAlign w:val="bottom"/>
            <w:tcBorders>
              <w:top w:val="single" w:sz="8" w:color="D5EAEA"/>
            </w:tcBorders>
            <w:shd w:val="clear" w:color="auto" w:fill="D5EAEA"/>
          </w:tcPr>
          <w:p>
            <w:pPr>
              <w:spacing w:after="0"/>
              <w:rPr>
                <w:sz w:val="15"/>
                <w:szCs w:val="15"/>
                <w:color w:val="auto"/>
              </w:rPr>
            </w:pPr>
          </w:p>
        </w:tc>
        <w:tc>
          <w:tcPr>
            <w:tcW w:w="1220" w:type="dxa"/>
            <w:vAlign w:val="bottom"/>
            <w:tcBorders>
              <w:top w:val="single" w:sz="8" w:color="auto"/>
            </w:tcBorders>
            <w:shd w:val="clear" w:color="auto" w:fill="D5EAEA"/>
          </w:tcPr>
          <w:p>
            <w:pPr>
              <w:jc w:val="right"/>
              <w:spacing w:after="0" w:line="183" w:lineRule="exact"/>
              <w:rPr>
                <w:sz w:val="20"/>
                <w:szCs w:val="20"/>
                <w:color w:val="auto"/>
              </w:rPr>
            </w:pPr>
            <w:r>
              <w:rPr>
                <w:rFonts w:ascii="Arial" w:cs="Arial" w:eastAsia="Arial" w:hAnsi="Arial"/>
                <w:sz w:val="18"/>
                <w:szCs w:val="18"/>
                <w:color w:val="auto"/>
              </w:rPr>
              <w:t>(18,994)</w:t>
            </w:r>
          </w:p>
        </w:tc>
        <w:tc>
          <w:tcPr>
            <w:tcW w:w="120" w:type="dxa"/>
            <w:vAlign w:val="bottom"/>
            <w:tcBorders>
              <w:top w:val="single" w:sz="8" w:color="D5EAEA"/>
            </w:tcBorders>
            <w:shd w:val="clear" w:color="auto" w:fill="D5EAEA"/>
          </w:tcPr>
          <w:p>
            <w:pPr>
              <w:spacing w:after="0"/>
              <w:rPr>
                <w:sz w:val="15"/>
                <w:szCs w:val="15"/>
                <w:color w:val="auto"/>
              </w:rPr>
            </w:pPr>
          </w:p>
        </w:tc>
        <w:tc>
          <w:tcPr>
            <w:tcW w:w="100" w:type="dxa"/>
            <w:vAlign w:val="bottom"/>
            <w:tcBorders>
              <w:top w:val="single" w:sz="8" w:color="D5EAEA"/>
            </w:tcBorders>
            <w:shd w:val="clear" w:color="auto" w:fill="D5EAEA"/>
          </w:tcPr>
          <w:p>
            <w:pPr>
              <w:spacing w:after="0"/>
              <w:rPr>
                <w:sz w:val="15"/>
                <w:szCs w:val="15"/>
                <w:color w:val="auto"/>
              </w:rPr>
            </w:pPr>
          </w:p>
        </w:tc>
        <w:tc>
          <w:tcPr>
            <w:tcW w:w="1220" w:type="dxa"/>
            <w:vAlign w:val="bottom"/>
            <w:tcBorders>
              <w:top w:val="single" w:sz="8" w:color="auto"/>
            </w:tcBorders>
            <w:shd w:val="clear" w:color="auto" w:fill="D5EAEA"/>
          </w:tcPr>
          <w:p>
            <w:pPr>
              <w:jc w:val="right"/>
              <w:spacing w:after="0" w:line="183" w:lineRule="exact"/>
              <w:rPr>
                <w:sz w:val="20"/>
                <w:szCs w:val="20"/>
                <w:color w:val="auto"/>
              </w:rPr>
            </w:pPr>
            <w:r>
              <w:rPr>
                <w:rFonts w:ascii="Arial" w:cs="Arial" w:eastAsia="Arial" w:hAnsi="Arial"/>
                <w:sz w:val="18"/>
                <w:szCs w:val="18"/>
                <w:color w:val="auto"/>
              </w:rPr>
              <w:t>(51,720)</w:t>
            </w:r>
          </w:p>
        </w:tc>
        <w:tc>
          <w:tcPr>
            <w:tcW w:w="120" w:type="dxa"/>
            <w:vAlign w:val="bottom"/>
            <w:tcBorders>
              <w:top w:val="single" w:sz="8" w:color="D5EAEA"/>
            </w:tcBorders>
            <w:shd w:val="clear" w:color="auto" w:fill="D5EAEA"/>
          </w:tcPr>
          <w:p>
            <w:pPr>
              <w:spacing w:after="0"/>
              <w:rPr>
                <w:sz w:val="15"/>
                <w:szCs w:val="15"/>
                <w:color w:val="auto"/>
              </w:rPr>
            </w:pPr>
          </w:p>
        </w:tc>
        <w:tc>
          <w:tcPr>
            <w:tcW w:w="100" w:type="dxa"/>
            <w:vAlign w:val="bottom"/>
            <w:tcBorders>
              <w:top w:val="single" w:sz="8" w:color="D5EAEA"/>
            </w:tcBorders>
            <w:shd w:val="clear" w:color="auto" w:fill="D5EAEA"/>
          </w:tcPr>
          <w:p>
            <w:pPr>
              <w:spacing w:after="0"/>
              <w:rPr>
                <w:sz w:val="15"/>
                <w:szCs w:val="15"/>
                <w:color w:val="auto"/>
              </w:rPr>
            </w:pPr>
          </w:p>
        </w:tc>
        <w:tc>
          <w:tcPr>
            <w:tcW w:w="1240" w:type="dxa"/>
            <w:vAlign w:val="bottom"/>
            <w:tcBorders>
              <w:top w:val="single" w:sz="8" w:color="auto"/>
            </w:tcBorders>
            <w:shd w:val="clear" w:color="auto" w:fill="D5EAEA"/>
          </w:tcPr>
          <w:p>
            <w:pPr>
              <w:jc w:val="right"/>
              <w:spacing w:after="0" w:line="183" w:lineRule="exact"/>
              <w:rPr>
                <w:sz w:val="20"/>
                <w:szCs w:val="20"/>
                <w:color w:val="auto"/>
              </w:rPr>
            </w:pPr>
            <w:r>
              <w:rPr>
                <w:rFonts w:ascii="Arial" w:cs="Arial" w:eastAsia="Arial" w:hAnsi="Arial"/>
                <w:sz w:val="18"/>
                <w:szCs w:val="18"/>
                <w:color w:val="auto"/>
              </w:rPr>
              <w:t>(42,421)</w:t>
            </w:r>
          </w:p>
        </w:tc>
        <w:tc>
          <w:tcPr>
            <w:tcW w:w="100" w:type="dxa"/>
            <w:vAlign w:val="bottom"/>
            <w:tcBorders>
              <w:top w:val="single" w:sz="8" w:color="D5EAEA"/>
            </w:tcBorders>
            <w:shd w:val="clear" w:color="auto" w:fill="D5EAEA"/>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5520" w:type="dxa"/>
            <w:vAlign w:val="bottom"/>
          </w:tcPr>
          <w:p>
            <w:pPr>
              <w:spacing w:after="0"/>
              <w:rPr>
                <w:sz w:val="20"/>
                <w:szCs w:val="20"/>
                <w:color w:val="auto"/>
              </w:rPr>
            </w:pPr>
            <w:r>
              <w:rPr>
                <w:rFonts w:ascii="Arial" w:cs="Arial" w:eastAsia="Arial" w:hAnsi="Arial"/>
                <w:sz w:val="18"/>
                <w:szCs w:val="18"/>
                <w:color w:val="auto"/>
              </w:rPr>
              <w:t>Income tax expense</w:t>
            </w:r>
          </w:p>
        </w:tc>
        <w:tc>
          <w:tcPr>
            <w:tcW w:w="1500" w:type="dxa"/>
            <w:vAlign w:val="bottom"/>
            <w:gridSpan w:val="3"/>
          </w:tcPr>
          <w:p>
            <w:pPr>
              <w:jc w:val="right"/>
              <w:ind w:right="340"/>
              <w:spacing w:after="0"/>
              <w:rPr>
                <w:sz w:val="20"/>
                <w:szCs w:val="20"/>
                <w:color w:val="auto"/>
              </w:rPr>
            </w:pPr>
            <w:r>
              <w:rPr>
                <w:rFonts w:ascii="Arial" w:cs="Arial" w:eastAsia="Arial" w:hAnsi="Arial"/>
                <w:sz w:val="18"/>
                <w:szCs w:val="18"/>
                <w:color w:val="auto"/>
              </w:rPr>
              <w:t>—</w:t>
            </w:r>
          </w:p>
        </w:tc>
        <w:tc>
          <w:tcPr>
            <w:tcW w:w="1440" w:type="dxa"/>
            <w:vAlign w:val="bottom"/>
            <w:gridSpan w:val="3"/>
          </w:tcPr>
          <w:p>
            <w:pPr>
              <w:ind w:left="940"/>
              <w:spacing w:after="0"/>
              <w:rPr>
                <w:sz w:val="20"/>
                <w:szCs w:val="20"/>
                <w:color w:val="auto"/>
              </w:rPr>
            </w:pPr>
            <w:r>
              <w:rPr>
                <w:rFonts w:ascii="Arial" w:cs="Arial" w:eastAsia="Arial" w:hAnsi="Arial"/>
                <w:sz w:val="18"/>
                <w:szCs w:val="18"/>
                <w:color w:val="auto"/>
              </w:rPr>
              <w:t>—</w:t>
            </w:r>
          </w:p>
        </w:tc>
        <w:tc>
          <w:tcPr>
            <w:tcW w:w="1440" w:type="dxa"/>
            <w:vAlign w:val="bottom"/>
            <w:gridSpan w:val="3"/>
          </w:tcPr>
          <w:p>
            <w:pPr>
              <w:ind w:left="94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12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5520" w:type="dxa"/>
            <w:vAlign w:val="bottom"/>
            <w:tcBorders>
              <w:top w:val="single" w:sz="8" w:color="D5EAEA"/>
              <w:bottom w:val="single" w:sz="8" w:color="D5EAEA"/>
            </w:tcBorders>
            <w:shd w:val="clear" w:color="auto" w:fill="D5EAEA"/>
          </w:tcPr>
          <w:p>
            <w:pPr>
              <w:spacing w:after="0"/>
              <w:rPr>
                <w:sz w:val="20"/>
                <w:szCs w:val="20"/>
                <w:color w:val="auto"/>
              </w:rPr>
            </w:pPr>
            <w:r>
              <w:rPr>
                <w:rFonts w:ascii="Arial" w:cs="Arial" w:eastAsia="Arial" w:hAnsi="Arial"/>
                <w:sz w:val="18"/>
                <w:szCs w:val="18"/>
                <w:b w:val="1"/>
                <w:bCs w:val="1"/>
                <w:color w:val="auto"/>
              </w:rPr>
              <w:t>Loss for the period</w:t>
            </w:r>
          </w:p>
        </w:tc>
        <w:tc>
          <w:tcPr>
            <w:tcW w:w="1260" w:type="dxa"/>
            <w:vAlign w:val="bottom"/>
            <w:tcBorders>
              <w:top w:val="single" w:sz="8" w:color="auto"/>
              <w:bottom w:val="single" w:sz="8" w:color="auto"/>
            </w:tcBorders>
            <w:shd w:val="clear" w:color="auto" w:fill="D5EAEA"/>
          </w:tcPr>
          <w:p>
            <w:pPr>
              <w:jc w:val="right"/>
              <w:spacing w:after="0"/>
              <w:rPr>
                <w:sz w:val="20"/>
                <w:szCs w:val="20"/>
                <w:color w:val="auto"/>
              </w:rPr>
            </w:pPr>
            <w:r>
              <w:rPr>
                <w:rFonts w:ascii="Arial" w:cs="Arial" w:eastAsia="Arial" w:hAnsi="Arial"/>
                <w:sz w:val="18"/>
                <w:szCs w:val="18"/>
                <w:color w:val="auto"/>
              </w:rPr>
              <w:t>(15,918</w:t>
            </w:r>
          </w:p>
        </w:tc>
        <w:tc>
          <w:tcPr>
            <w:tcW w:w="120" w:type="dxa"/>
            <w:vAlign w:val="bottom"/>
            <w:tcBorders>
              <w:top w:val="single" w:sz="8" w:color="D5EAEA"/>
              <w:bottom w:val="single" w:sz="8" w:color="D5EAEA"/>
            </w:tcBorders>
            <w:shd w:val="clear" w:color="auto" w:fill="D5EAEA"/>
          </w:tcPr>
          <w:p>
            <w:pPr>
              <w:jc w:val="right"/>
              <w:spacing w:after="0"/>
              <w:rPr>
                <w:sz w:val="20"/>
                <w:szCs w:val="20"/>
                <w:color w:val="auto"/>
              </w:rPr>
            </w:pPr>
            <w:r>
              <w:rPr>
                <w:rFonts w:ascii="Arial" w:cs="Arial" w:eastAsia="Arial" w:hAnsi="Arial"/>
                <w:sz w:val="16"/>
                <w:szCs w:val="16"/>
                <w:color w:val="auto"/>
                <w:w w:val="74"/>
              </w:rPr>
              <w:t>)</w:t>
            </w:r>
          </w:p>
        </w:tc>
        <w:tc>
          <w:tcPr>
            <w:tcW w:w="120" w:type="dxa"/>
            <w:vAlign w:val="bottom"/>
            <w:tcBorders>
              <w:top w:val="single" w:sz="8" w:color="D5EAEA"/>
              <w:bottom w:val="single" w:sz="8" w:color="D5EAEA"/>
            </w:tcBorders>
            <w:shd w:val="clear" w:color="auto" w:fill="D5EAEA"/>
          </w:tcPr>
          <w:p>
            <w:pPr>
              <w:spacing w:after="0"/>
              <w:rPr>
                <w:sz w:val="18"/>
                <w:szCs w:val="18"/>
                <w:color w:val="auto"/>
              </w:rPr>
            </w:pPr>
          </w:p>
        </w:tc>
        <w:tc>
          <w:tcPr>
            <w:tcW w:w="1220" w:type="dxa"/>
            <w:vAlign w:val="bottom"/>
            <w:tcBorders>
              <w:top w:val="single" w:sz="8" w:color="auto"/>
              <w:bottom w:val="single" w:sz="8" w:color="auto"/>
            </w:tcBorders>
            <w:shd w:val="clear" w:color="auto" w:fill="D5EAEA"/>
          </w:tcPr>
          <w:p>
            <w:pPr>
              <w:jc w:val="right"/>
              <w:spacing w:after="0"/>
              <w:rPr>
                <w:sz w:val="20"/>
                <w:szCs w:val="20"/>
                <w:color w:val="auto"/>
              </w:rPr>
            </w:pPr>
            <w:r>
              <w:rPr>
                <w:rFonts w:ascii="Arial" w:cs="Arial" w:eastAsia="Arial" w:hAnsi="Arial"/>
                <w:sz w:val="18"/>
                <w:szCs w:val="18"/>
                <w:color w:val="auto"/>
              </w:rPr>
              <w:t>(18,994</w:t>
            </w:r>
          </w:p>
        </w:tc>
        <w:tc>
          <w:tcPr>
            <w:tcW w:w="120" w:type="dxa"/>
            <w:vAlign w:val="bottom"/>
            <w:tcBorders>
              <w:top w:val="single" w:sz="8" w:color="D5EAEA"/>
              <w:bottom w:val="single" w:sz="8" w:color="D5EAEA"/>
            </w:tcBorders>
            <w:shd w:val="clear" w:color="auto" w:fill="D5EAEA"/>
          </w:tcPr>
          <w:p>
            <w:pPr>
              <w:jc w:val="right"/>
              <w:spacing w:after="0"/>
              <w:rPr>
                <w:sz w:val="20"/>
                <w:szCs w:val="20"/>
                <w:color w:val="auto"/>
              </w:rPr>
            </w:pPr>
            <w:r>
              <w:rPr>
                <w:rFonts w:ascii="Arial" w:cs="Arial" w:eastAsia="Arial" w:hAnsi="Arial"/>
                <w:sz w:val="16"/>
                <w:szCs w:val="16"/>
                <w:color w:val="auto"/>
                <w:w w:val="74"/>
              </w:rPr>
              <w:t>)</w:t>
            </w:r>
          </w:p>
        </w:tc>
        <w:tc>
          <w:tcPr>
            <w:tcW w:w="100" w:type="dxa"/>
            <w:vAlign w:val="bottom"/>
            <w:tcBorders>
              <w:top w:val="single" w:sz="8" w:color="D5EAEA"/>
              <w:bottom w:val="single" w:sz="8" w:color="D5EAEA"/>
            </w:tcBorders>
            <w:shd w:val="clear" w:color="auto" w:fill="D5EAEA"/>
          </w:tcPr>
          <w:p>
            <w:pPr>
              <w:spacing w:after="0"/>
              <w:rPr>
                <w:sz w:val="18"/>
                <w:szCs w:val="18"/>
                <w:color w:val="auto"/>
              </w:rPr>
            </w:pPr>
          </w:p>
        </w:tc>
        <w:tc>
          <w:tcPr>
            <w:tcW w:w="1220" w:type="dxa"/>
            <w:vAlign w:val="bottom"/>
            <w:tcBorders>
              <w:top w:val="single" w:sz="8" w:color="auto"/>
              <w:bottom w:val="single" w:sz="8" w:color="auto"/>
            </w:tcBorders>
            <w:shd w:val="clear" w:color="auto" w:fill="D5EAEA"/>
          </w:tcPr>
          <w:p>
            <w:pPr>
              <w:jc w:val="right"/>
              <w:spacing w:after="0"/>
              <w:rPr>
                <w:sz w:val="20"/>
                <w:szCs w:val="20"/>
                <w:color w:val="auto"/>
              </w:rPr>
            </w:pPr>
            <w:r>
              <w:rPr>
                <w:rFonts w:ascii="Arial" w:cs="Arial" w:eastAsia="Arial" w:hAnsi="Arial"/>
                <w:sz w:val="18"/>
                <w:szCs w:val="18"/>
                <w:color w:val="auto"/>
              </w:rPr>
              <w:t>(51,720</w:t>
            </w:r>
          </w:p>
        </w:tc>
        <w:tc>
          <w:tcPr>
            <w:tcW w:w="120" w:type="dxa"/>
            <w:vAlign w:val="bottom"/>
            <w:tcBorders>
              <w:top w:val="single" w:sz="8" w:color="D5EAEA"/>
              <w:bottom w:val="single" w:sz="8" w:color="D5EAEA"/>
            </w:tcBorders>
            <w:shd w:val="clear" w:color="auto" w:fill="D5EAEA"/>
          </w:tcPr>
          <w:p>
            <w:pPr>
              <w:jc w:val="right"/>
              <w:spacing w:after="0"/>
              <w:rPr>
                <w:sz w:val="20"/>
                <w:szCs w:val="20"/>
                <w:color w:val="auto"/>
              </w:rPr>
            </w:pPr>
            <w:r>
              <w:rPr>
                <w:rFonts w:ascii="Arial" w:cs="Arial" w:eastAsia="Arial" w:hAnsi="Arial"/>
                <w:sz w:val="16"/>
                <w:szCs w:val="16"/>
                <w:color w:val="auto"/>
                <w:w w:val="74"/>
              </w:rPr>
              <w:t>)</w:t>
            </w:r>
          </w:p>
        </w:tc>
        <w:tc>
          <w:tcPr>
            <w:tcW w:w="100" w:type="dxa"/>
            <w:vAlign w:val="bottom"/>
            <w:tcBorders>
              <w:top w:val="single" w:sz="8" w:color="D5EAEA"/>
              <w:bottom w:val="single" w:sz="8" w:color="D5EAEA"/>
            </w:tcBorders>
            <w:shd w:val="clear" w:color="auto" w:fill="D5EAEA"/>
          </w:tcPr>
          <w:p>
            <w:pPr>
              <w:spacing w:after="0"/>
              <w:rPr>
                <w:sz w:val="18"/>
                <w:szCs w:val="18"/>
                <w:color w:val="auto"/>
              </w:rPr>
            </w:pPr>
          </w:p>
        </w:tc>
        <w:tc>
          <w:tcPr>
            <w:tcW w:w="1240" w:type="dxa"/>
            <w:vAlign w:val="bottom"/>
            <w:tcBorders>
              <w:top w:val="single" w:sz="8" w:color="auto"/>
              <w:bottom w:val="single" w:sz="8" w:color="auto"/>
            </w:tcBorders>
            <w:shd w:val="clear" w:color="auto" w:fill="D5EAEA"/>
          </w:tcPr>
          <w:p>
            <w:pPr>
              <w:jc w:val="right"/>
              <w:spacing w:after="0"/>
              <w:rPr>
                <w:sz w:val="20"/>
                <w:szCs w:val="20"/>
                <w:color w:val="auto"/>
              </w:rPr>
            </w:pPr>
            <w:r>
              <w:rPr>
                <w:rFonts w:ascii="Arial" w:cs="Arial" w:eastAsia="Arial" w:hAnsi="Arial"/>
                <w:sz w:val="18"/>
                <w:szCs w:val="18"/>
                <w:color w:val="auto"/>
              </w:rPr>
              <w:t>(42,421</w:t>
            </w:r>
          </w:p>
        </w:tc>
        <w:tc>
          <w:tcPr>
            <w:tcW w:w="100" w:type="dxa"/>
            <w:vAlign w:val="bottom"/>
            <w:tcBorders>
              <w:top w:val="single" w:sz="8" w:color="D5EAEA"/>
              <w:bottom w:val="single" w:sz="8" w:color="D5EAEA"/>
            </w:tcBorders>
            <w:shd w:val="clear" w:color="auto" w:fill="D5EAEA"/>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5520" w:type="dxa"/>
            <w:vAlign w:val="bottom"/>
            <w:vMerge w:val="restart"/>
          </w:tcPr>
          <w:p>
            <w:pPr>
              <w:spacing w:after="0"/>
              <w:rPr>
                <w:sz w:val="20"/>
                <w:szCs w:val="20"/>
                <w:color w:val="auto"/>
              </w:rPr>
            </w:pPr>
            <w:r>
              <w:rPr>
                <w:rFonts w:ascii="Arial" w:cs="Arial" w:eastAsia="Arial" w:hAnsi="Arial"/>
                <w:sz w:val="18"/>
                <w:szCs w:val="18"/>
                <w:color w:val="auto"/>
              </w:rPr>
              <w:t>Loss per share:</w:t>
            </w:r>
          </w:p>
        </w:tc>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5520" w:type="dxa"/>
            <w:vAlign w:val="bottom"/>
            <w:vMerge w:val="continue"/>
          </w:tcPr>
          <w:p>
            <w:pPr>
              <w:spacing w:after="0"/>
              <w:rPr>
                <w:sz w:val="15"/>
                <w:szCs w:val="15"/>
                <w:color w:val="auto"/>
              </w:rPr>
            </w:pPr>
          </w:p>
        </w:tc>
        <w:tc>
          <w:tcPr>
            <w:tcW w:w="1260" w:type="dxa"/>
            <w:vAlign w:val="bottom"/>
            <w:tcBorders>
              <w:top w:val="single" w:sz="8" w:color="auto"/>
            </w:tcBorders>
          </w:tcPr>
          <w:p>
            <w:pPr>
              <w:jc w:val="right"/>
              <w:spacing w:after="0" w:line="183" w:lineRule="exact"/>
              <w:rPr>
                <w:sz w:val="20"/>
                <w:szCs w:val="20"/>
                <w:color w:val="auto"/>
              </w:rPr>
            </w:pPr>
            <w:r>
              <w:rPr>
                <w:rFonts w:ascii="Arial" w:cs="Arial" w:eastAsia="Arial" w:hAnsi="Arial"/>
                <w:sz w:val="18"/>
                <w:szCs w:val="18"/>
                <w:color w:val="auto"/>
              </w:rPr>
              <w:t>(0.22)</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tcBorders>
              <w:top w:val="single" w:sz="8" w:color="auto"/>
            </w:tcBorders>
          </w:tcPr>
          <w:p>
            <w:pPr>
              <w:jc w:val="right"/>
              <w:spacing w:after="0" w:line="183" w:lineRule="exact"/>
              <w:rPr>
                <w:sz w:val="20"/>
                <w:szCs w:val="20"/>
                <w:color w:val="auto"/>
              </w:rPr>
            </w:pPr>
            <w:r>
              <w:rPr>
                <w:rFonts w:ascii="Arial" w:cs="Arial" w:eastAsia="Arial" w:hAnsi="Arial"/>
                <w:sz w:val="18"/>
                <w:szCs w:val="18"/>
                <w:color w:val="auto"/>
              </w:rPr>
              <w:t>(0.26)</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tcBorders>
              <w:top w:val="single" w:sz="8" w:color="auto"/>
            </w:tcBorders>
          </w:tcPr>
          <w:p>
            <w:pPr>
              <w:jc w:val="right"/>
              <w:spacing w:after="0" w:line="183" w:lineRule="exact"/>
              <w:rPr>
                <w:sz w:val="20"/>
                <w:szCs w:val="20"/>
                <w:color w:val="auto"/>
              </w:rPr>
            </w:pPr>
            <w:r>
              <w:rPr>
                <w:rFonts w:ascii="Arial" w:cs="Arial" w:eastAsia="Arial" w:hAnsi="Arial"/>
                <w:sz w:val="18"/>
                <w:szCs w:val="18"/>
                <w:color w:val="auto"/>
              </w:rPr>
              <w:t>(0.71)</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tcBorders>
              <w:top w:val="single" w:sz="8" w:color="auto"/>
            </w:tcBorders>
          </w:tcPr>
          <w:p>
            <w:pPr>
              <w:jc w:val="right"/>
              <w:spacing w:after="0" w:line="183" w:lineRule="exact"/>
              <w:rPr>
                <w:sz w:val="20"/>
                <w:szCs w:val="20"/>
                <w:color w:val="auto"/>
              </w:rPr>
            </w:pPr>
            <w:r>
              <w:rPr>
                <w:rFonts w:ascii="Arial" w:cs="Arial" w:eastAsia="Arial" w:hAnsi="Arial"/>
                <w:sz w:val="18"/>
                <w:szCs w:val="18"/>
                <w:color w:val="auto"/>
              </w:rPr>
              <w:t>(0.59)</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5520" w:type="dxa"/>
            <w:vAlign w:val="bottom"/>
            <w:shd w:val="clear" w:color="auto" w:fill="D5EAEA"/>
          </w:tcPr>
          <w:p>
            <w:pPr>
              <w:ind w:left="180"/>
              <w:spacing w:after="0" w:line="202" w:lineRule="exact"/>
              <w:rPr>
                <w:sz w:val="20"/>
                <w:szCs w:val="20"/>
                <w:color w:val="auto"/>
              </w:rPr>
            </w:pPr>
            <w:r>
              <w:rPr>
                <w:rFonts w:ascii="Arial" w:cs="Arial" w:eastAsia="Arial" w:hAnsi="Arial"/>
                <w:sz w:val="18"/>
                <w:szCs w:val="18"/>
                <w:color w:val="auto"/>
              </w:rPr>
              <w:t>Basic and diluted loss for the period attributable to equity holders</w:t>
            </w:r>
          </w:p>
        </w:tc>
        <w:tc>
          <w:tcPr>
            <w:tcW w:w="1380" w:type="dxa"/>
            <w:vAlign w:val="bottom"/>
            <w:gridSpan w:val="2"/>
            <w:shd w:val="clear" w:color="auto" w:fill="D5EAEA"/>
          </w:tcPr>
          <w:p>
            <w:pPr>
              <w:jc w:val="right"/>
              <w:ind w:right="41"/>
              <w:spacing w:after="0" w:line="202" w:lineRule="exact"/>
              <w:rPr>
                <w:sz w:val="20"/>
                <w:szCs w:val="20"/>
                <w:color w:val="auto"/>
              </w:rPr>
            </w:pPr>
            <w:r>
              <w:rPr>
                <w:rFonts w:ascii="Arial" w:cs="Arial" w:eastAsia="Arial" w:hAnsi="Arial"/>
                <w:sz w:val="18"/>
                <w:szCs w:val="18"/>
                <w:color w:val="auto"/>
              </w:rPr>
              <w:t>72,887,967</w:t>
            </w:r>
          </w:p>
        </w:tc>
        <w:tc>
          <w:tcPr>
            <w:tcW w:w="120" w:type="dxa"/>
            <w:vAlign w:val="bottom"/>
            <w:shd w:val="clear" w:color="auto" w:fill="D5EAEA"/>
          </w:tcPr>
          <w:p>
            <w:pPr>
              <w:spacing w:after="0"/>
              <w:rPr>
                <w:sz w:val="17"/>
                <w:szCs w:val="17"/>
                <w:color w:val="auto"/>
              </w:rPr>
            </w:pPr>
          </w:p>
        </w:tc>
        <w:tc>
          <w:tcPr>
            <w:tcW w:w="1340" w:type="dxa"/>
            <w:vAlign w:val="bottom"/>
            <w:gridSpan w:val="2"/>
            <w:shd w:val="clear" w:color="auto" w:fill="D5EAEA"/>
          </w:tcPr>
          <w:p>
            <w:pPr>
              <w:jc w:val="right"/>
              <w:ind w:right="41"/>
              <w:spacing w:after="0" w:line="202" w:lineRule="exact"/>
              <w:rPr>
                <w:sz w:val="20"/>
                <w:szCs w:val="20"/>
                <w:color w:val="auto"/>
              </w:rPr>
            </w:pPr>
            <w:r>
              <w:rPr>
                <w:rFonts w:ascii="Arial" w:cs="Arial" w:eastAsia="Arial" w:hAnsi="Arial"/>
                <w:sz w:val="18"/>
                <w:szCs w:val="18"/>
                <w:color w:val="auto"/>
              </w:rPr>
              <w:t>71,925,009</w:t>
            </w:r>
          </w:p>
        </w:tc>
        <w:tc>
          <w:tcPr>
            <w:tcW w:w="100" w:type="dxa"/>
            <w:vAlign w:val="bottom"/>
            <w:shd w:val="clear" w:color="auto" w:fill="D5EAEA"/>
          </w:tcPr>
          <w:p>
            <w:pPr>
              <w:spacing w:after="0"/>
              <w:rPr>
                <w:sz w:val="17"/>
                <w:szCs w:val="17"/>
                <w:color w:val="auto"/>
              </w:rPr>
            </w:pPr>
          </w:p>
        </w:tc>
        <w:tc>
          <w:tcPr>
            <w:tcW w:w="1340" w:type="dxa"/>
            <w:vAlign w:val="bottom"/>
            <w:gridSpan w:val="2"/>
            <w:shd w:val="clear" w:color="auto" w:fill="D5EAEA"/>
          </w:tcPr>
          <w:p>
            <w:pPr>
              <w:jc w:val="right"/>
              <w:ind w:right="41"/>
              <w:spacing w:after="0" w:line="202" w:lineRule="exact"/>
              <w:rPr>
                <w:sz w:val="20"/>
                <w:szCs w:val="20"/>
                <w:color w:val="auto"/>
              </w:rPr>
            </w:pPr>
            <w:r>
              <w:rPr>
                <w:rFonts w:ascii="Arial" w:cs="Arial" w:eastAsia="Arial" w:hAnsi="Arial"/>
                <w:sz w:val="18"/>
                <w:szCs w:val="18"/>
                <w:color w:val="auto"/>
              </w:rPr>
              <w:t>72,638,698</w:t>
            </w:r>
          </w:p>
        </w:tc>
        <w:tc>
          <w:tcPr>
            <w:tcW w:w="100" w:type="dxa"/>
            <w:vAlign w:val="bottom"/>
            <w:shd w:val="clear" w:color="auto" w:fill="D5EAEA"/>
          </w:tcPr>
          <w:p>
            <w:pPr>
              <w:spacing w:after="0"/>
              <w:rPr>
                <w:sz w:val="17"/>
                <w:szCs w:val="17"/>
                <w:color w:val="auto"/>
              </w:rPr>
            </w:pPr>
          </w:p>
        </w:tc>
        <w:tc>
          <w:tcPr>
            <w:tcW w:w="1340" w:type="dxa"/>
            <w:vAlign w:val="bottom"/>
            <w:gridSpan w:val="2"/>
            <w:shd w:val="clear" w:color="auto" w:fill="D5EAEA"/>
          </w:tcPr>
          <w:p>
            <w:pPr>
              <w:jc w:val="right"/>
              <w:ind w:right="21"/>
              <w:spacing w:after="0" w:line="202" w:lineRule="exact"/>
              <w:rPr>
                <w:sz w:val="20"/>
                <w:szCs w:val="20"/>
                <w:color w:val="auto"/>
              </w:rPr>
            </w:pPr>
            <w:r>
              <w:rPr>
                <w:rFonts w:ascii="Arial" w:cs="Arial" w:eastAsia="Arial" w:hAnsi="Arial"/>
                <w:sz w:val="18"/>
                <w:szCs w:val="18"/>
                <w:color w:val="auto"/>
              </w:rPr>
              <w:t>71,888,273</w:t>
            </w:r>
          </w:p>
        </w:tc>
        <w:tc>
          <w:tcPr>
            <w:tcW w:w="0" w:type="dxa"/>
            <w:vAlign w:val="bottom"/>
          </w:tcPr>
          <w:p>
            <w:pPr>
              <w:spacing w:after="0"/>
              <w:rPr>
                <w:sz w:val="1"/>
                <w:szCs w:val="1"/>
                <w:color w:val="auto"/>
              </w:rPr>
            </w:pPr>
          </w:p>
        </w:tc>
      </w:tr>
    </w:tbl>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Statements of Comprehensive Income/(Loss)</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CHF thousands)</w:t>
      </w:r>
    </w:p>
    <w:p>
      <w:pPr>
        <w:sectPr>
          <w:pgSz w:w="11900" w:h="16838" w:orient="portrait"/>
          <w:cols w:equalWidth="0" w:num="1">
            <w:col w:w="11240"/>
          </w:cols>
          <w:pgMar w:left="320" w:top="54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color w:val="auto"/>
        </w:rPr>
        <w:t>Loss for the period</w:t>
      </w:r>
    </w:p>
    <w:p>
      <w:pPr>
        <w:ind w:left="180" w:right="320" w:hanging="161"/>
        <w:spacing w:after="0" w:line="234" w:lineRule="auto"/>
        <w:rPr>
          <w:sz w:val="20"/>
          <w:szCs w:val="20"/>
          <w:color w:val="auto"/>
        </w:rPr>
      </w:pPr>
      <w:r>
        <w:rPr>
          <w:rFonts w:ascii="Arial" w:cs="Arial" w:eastAsia="Arial" w:hAnsi="Arial"/>
          <w:sz w:val="18"/>
          <w:szCs w:val="18"/>
          <w:color w:val="auto"/>
        </w:rPr>
        <w:t>Other comprehensive loss that may be reclassified to income or loss in subsequent periods (net of tax):</w:t>
      </w:r>
    </w:p>
    <w:p>
      <w:pPr>
        <w:ind w:left="160"/>
        <w:spacing w:after="0" w:line="236" w:lineRule="auto"/>
        <w:rPr>
          <w:sz w:val="20"/>
          <w:szCs w:val="20"/>
          <w:color w:val="auto"/>
        </w:rPr>
      </w:pPr>
      <w:r>
        <w:rPr>
          <w:rFonts w:ascii="Arial" w:cs="Arial" w:eastAsia="Arial" w:hAnsi="Arial"/>
          <w:sz w:val="18"/>
          <w:szCs w:val="18"/>
          <w:color w:val="auto"/>
        </w:rPr>
        <w:t>Currency translation differences</w:t>
      </w:r>
    </w:p>
    <w:p>
      <w:pPr>
        <w:ind w:left="180" w:hanging="161"/>
        <w:spacing w:after="0" w:line="234" w:lineRule="auto"/>
        <w:rPr>
          <w:sz w:val="20"/>
          <w:szCs w:val="20"/>
          <w:color w:val="auto"/>
        </w:rPr>
      </w:pPr>
      <w:r>
        <w:rPr>
          <w:rFonts w:ascii="Arial" w:cs="Arial" w:eastAsia="Arial" w:hAnsi="Arial"/>
          <w:sz w:val="18"/>
          <w:szCs w:val="18"/>
          <w:color w:val="auto"/>
        </w:rPr>
        <w:t>Other comprehensive loss not to be reclassified to income or loss in subsequent periods (net of tax):</w:t>
      </w:r>
    </w:p>
    <w:p>
      <w:pPr>
        <w:spacing w:after="0" w:line="1" w:lineRule="exact"/>
        <w:rPr>
          <w:sz w:val="20"/>
          <w:szCs w:val="20"/>
          <w:color w:val="auto"/>
        </w:rPr>
      </w:pPr>
    </w:p>
    <w:p>
      <w:pPr>
        <w:ind w:right="560"/>
        <w:spacing w:after="0" w:line="261" w:lineRule="auto"/>
        <w:rPr>
          <w:sz w:val="20"/>
          <w:szCs w:val="20"/>
          <w:color w:val="auto"/>
        </w:rPr>
      </w:pPr>
      <w:r>
        <w:rPr>
          <w:rFonts w:ascii="Arial" w:cs="Arial" w:eastAsia="Arial" w:hAnsi="Arial"/>
          <w:sz w:val="18"/>
          <w:szCs w:val="18"/>
          <w:color w:val="auto"/>
        </w:rPr>
        <w:t xml:space="preserve">Re-measurement losses on defined-benefit plans (net of tax) </w:t>
      </w:r>
      <w:r>
        <w:rPr>
          <w:rFonts w:ascii="Arial" w:cs="Arial" w:eastAsia="Arial" w:hAnsi="Arial"/>
          <w:sz w:val="18"/>
          <w:szCs w:val="18"/>
          <w:b w:val="1"/>
          <w:bCs w:val="1"/>
          <w:color w:val="auto"/>
        </w:rPr>
        <w:t>Total comprehensive loss, net of tax</w:t>
      </w:r>
    </w:p>
    <w:p>
      <w:pPr>
        <w:spacing w:after="0" w:line="20" w:lineRule="exact"/>
        <w:rPr>
          <w:sz w:val="20"/>
          <w:szCs w:val="20"/>
          <w:color w:val="auto"/>
        </w:rPr>
      </w:pPr>
      <w:r>
        <w:rPr>
          <w:sz w:val="20"/>
          <w:szCs w:val="20"/>
          <w:color w:val="auto"/>
        </w:rPr>
        <w:br w:type="column"/>
      </w:r>
    </w:p>
    <w:p>
      <w:pPr>
        <w:spacing w:after="0" w:line="15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7"/>
        </w:trPr>
        <w:tc>
          <w:tcPr>
            <w:tcW w:w="2940" w:type="dxa"/>
            <w:vAlign w:val="bottom"/>
            <w:gridSpan w:val="6"/>
          </w:tcPr>
          <w:p>
            <w:pPr>
              <w:ind w:left="480"/>
              <w:spacing w:after="0"/>
              <w:rPr>
                <w:sz w:val="20"/>
                <w:szCs w:val="20"/>
                <w:color w:val="auto"/>
              </w:rPr>
            </w:pPr>
            <w:r>
              <w:rPr>
                <w:rFonts w:ascii="Arial" w:cs="Arial" w:eastAsia="Arial" w:hAnsi="Arial"/>
                <w:sz w:val="18"/>
                <w:szCs w:val="18"/>
                <w:b w:val="1"/>
                <w:bCs w:val="1"/>
                <w:color w:val="auto"/>
              </w:rPr>
              <w:t>For the Three Months</w:t>
            </w:r>
          </w:p>
        </w:tc>
        <w:tc>
          <w:tcPr>
            <w:tcW w:w="2780" w:type="dxa"/>
            <w:vAlign w:val="bottom"/>
            <w:gridSpan w:val="6"/>
          </w:tcPr>
          <w:p>
            <w:pPr>
              <w:ind w:left="500"/>
              <w:spacing w:after="0"/>
              <w:rPr>
                <w:sz w:val="20"/>
                <w:szCs w:val="20"/>
                <w:color w:val="auto"/>
              </w:rPr>
            </w:pPr>
            <w:r>
              <w:rPr>
                <w:rFonts w:ascii="Arial" w:cs="Arial" w:eastAsia="Arial" w:hAnsi="Arial"/>
                <w:sz w:val="18"/>
                <w:szCs w:val="18"/>
                <w:b w:val="1"/>
                <w:bCs w:val="1"/>
                <w:color w:val="auto"/>
              </w:rPr>
              <w:t>For the Nine Months</w:t>
            </w:r>
          </w:p>
        </w:tc>
      </w:tr>
      <w:tr>
        <w:trPr>
          <w:trHeight w:val="225"/>
        </w:trPr>
        <w:tc>
          <w:tcPr>
            <w:tcW w:w="2940" w:type="dxa"/>
            <w:vAlign w:val="bottom"/>
            <w:gridSpan w:val="6"/>
          </w:tcPr>
          <w:p>
            <w:pPr>
              <w:ind w:left="500"/>
              <w:spacing w:after="0"/>
              <w:rPr>
                <w:sz w:val="20"/>
                <w:szCs w:val="20"/>
                <w:color w:val="auto"/>
              </w:rPr>
            </w:pPr>
            <w:r>
              <w:rPr>
                <w:rFonts w:ascii="Arial" w:cs="Arial" w:eastAsia="Arial" w:hAnsi="Arial"/>
                <w:sz w:val="18"/>
                <w:szCs w:val="18"/>
                <w:b w:val="1"/>
                <w:bCs w:val="1"/>
                <w:color w:val="auto"/>
              </w:rPr>
              <w:t>Ended September 30,</w:t>
            </w:r>
          </w:p>
        </w:tc>
        <w:tc>
          <w:tcPr>
            <w:tcW w:w="2780" w:type="dxa"/>
            <w:vAlign w:val="bottom"/>
            <w:gridSpan w:val="6"/>
          </w:tcPr>
          <w:p>
            <w:pPr>
              <w:ind w:left="480"/>
              <w:spacing w:after="0"/>
              <w:rPr>
                <w:sz w:val="20"/>
                <w:szCs w:val="20"/>
                <w:color w:val="auto"/>
              </w:rPr>
            </w:pPr>
            <w:r>
              <w:rPr>
                <w:rFonts w:ascii="Arial" w:cs="Arial" w:eastAsia="Arial" w:hAnsi="Arial"/>
                <w:sz w:val="18"/>
                <w:szCs w:val="18"/>
                <w:b w:val="1"/>
                <w:bCs w:val="1"/>
                <w:color w:val="auto"/>
              </w:rPr>
              <w:t>Ended September 30,</w:t>
            </w:r>
          </w:p>
        </w:tc>
      </w:tr>
      <w:tr>
        <w:trPr>
          <w:trHeight w:val="210"/>
        </w:trPr>
        <w:tc>
          <w:tcPr>
            <w:tcW w:w="1260" w:type="dxa"/>
            <w:vAlign w:val="bottom"/>
            <w:tcBorders>
              <w:top w:val="single" w:sz="8" w:color="auto"/>
              <w:bottom w:val="single" w:sz="8" w:color="auto"/>
            </w:tcBorders>
          </w:tcPr>
          <w:p>
            <w:pPr>
              <w:ind w:left="500"/>
              <w:spacing w:after="0"/>
              <w:rPr>
                <w:sz w:val="20"/>
                <w:szCs w:val="20"/>
                <w:color w:val="auto"/>
              </w:rPr>
            </w:pPr>
            <w:r>
              <w:rPr>
                <w:rFonts w:ascii="Arial" w:cs="Arial" w:eastAsia="Arial" w:hAnsi="Arial"/>
                <w:sz w:val="18"/>
                <w:szCs w:val="18"/>
                <w:b w:val="1"/>
                <w:bCs w:val="1"/>
                <w:color w:val="auto"/>
              </w:rPr>
              <w:t>2021</w:t>
            </w:r>
          </w:p>
        </w:tc>
        <w:tc>
          <w:tcPr>
            <w:tcW w:w="12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2020</w:t>
            </w:r>
          </w:p>
        </w:tc>
        <w:tc>
          <w:tcPr>
            <w:tcW w:w="120" w:type="dxa"/>
            <w:vAlign w:val="bottom"/>
            <w:tcBorders>
              <w:top w:val="single" w:sz="8" w:color="auto"/>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Borders>
              <w:top w:val="single" w:sz="8" w:color="auto"/>
              <w:bottom w:val="single" w:sz="8" w:color="auto"/>
            </w:tcBorders>
          </w:tcPr>
          <w:p>
            <w:pPr>
              <w:ind w:left="460"/>
              <w:spacing w:after="0"/>
              <w:rPr>
                <w:sz w:val="20"/>
                <w:szCs w:val="20"/>
                <w:color w:val="auto"/>
              </w:rPr>
            </w:pPr>
            <w:r>
              <w:rPr>
                <w:rFonts w:ascii="Arial" w:cs="Arial" w:eastAsia="Arial" w:hAnsi="Arial"/>
                <w:sz w:val="18"/>
                <w:szCs w:val="18"/>
                <w:b w:val="1"/>
                <w:bCs w:val="1"/>
                <w:color w:val="auto"/>
              </w:rPr>
              <w:t>2021</w:t>
            </w:r>
          </w:p>
        </w:tc>
        <w:tc>
          <w:tcPr>
            <w:tcW w:w="12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24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2020</w:t>
            </w:r>
          </w:p>
        </w:tc>
        <w:tc>
          <w:tcPr>
            <w:tcW w:w="20" w:type="dxa"/>
            <w:vAlign w:val="bottom"/>
            <w:tcBorders>
              <w:top w:val="single" w:sz="8" w:color="auto"/>
              <w:bottom w:val="single" w:sz="8" w:color="auto"/>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r>
      <w:tr>
        <w:trPr>
          <w:trHeight w:val="210"/>
        </w:trPr>
        <w:tc>
          <w:tcPr>
            <w:tcW w:w="1380" w:type="dxa"/>
            <w:vAlign w:val="bottom"/>
            <w:gridSpan w:val="2"/>
          </w:tcPr>
          <w:p>
            <w:pPr>
              <w:jc w:val="right"/>
              <w:spacing w:after="0"/>
              <w:rPr>
                <w:sz w:val="20"/>
                <w:szCs w:val="20"/>
                <w:color w:val="auto"/>
              </w:rPr>
            </w:pPr>
            <w:r>
              <w:rPr>
                <w:rFonts w:ascii="Arial" w:cs="Arial" w:eastAsia="Arial" w:hAnsi="Arial"/>
                <w:sz w:val="18"/>
                <w:szCs w:val="18"/>
                <w:color w:val="auto"/>
              </w:rPr>
              <w:t>(15,918)</w:t>
            </w:r>
          </w:p>
        </w:tc>
        <w:tc>
          <w:tcPr>
            <w:tcW w:w="120" w:type="dxa"/>
            <w:vAlign w:val="bottom"/>
          </w:tcPr>
          <w:p>
            <w:pPr>
              <w:spacing w:after="0"/>
              <w:rPr>
                <w:sz w:val="18"/>
                <w:szCs w:val="18"/>
                <w:color w:val="auto"/>
              </w:rPr>
            </w:pP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(18,994)</w:t>
            </w:r>
          </w:p>
        </w:tc>
        <w:tc>
          <w:tcPr>
            <w:tcW w:w="100" w:type="dxa"/>
            <w:vAlign w:val="bottom"/>
          </w:tcPr>
          <w:p>
            <w:pPr>
              <w:spacing w:after="0"/>
              <w:rPr>
                <w:sz w:val="18"/>
                <w:szCs w:val="18"/>
                <w:color w:val="auto"/>
              </w:rPr>
            </w:pP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(51,720)</w:t>
            </w:r>
          </w:p>
        </w:tc>
        <w:tc>
          <w:tcPr>
            <w:tcW w:w="100" w:type="dxa"/>
            <w:vAlign w:val="bottom"/>
          </w:tcPr>
          <w:p>
            <w:pPr>
              <w:spacing w:after="0"/>
              <w:rPr>
                <w:sz w:val="18"/>
                <w:szCs w:val="18"/>
                <w:color w:val="auto"/>
              </w:rPr>
            </w:pPr>
          </w:p>
        </w:tc>
        <w:tc>
          <w:tcPr>
            <w:tcW w:w="1340" w:type="dxa"/>
            <w:vAlign w:val="bottom"/>
            <w:gridSpan w:val="3"/>
          </w:tcPr>
          <w:p>
            <w:pPr>
              <w:jc w:val="right"/>
              <w:ind w:right="40"/>
              <w:spacing w:after="0"/>
              <w:rPr>
                <w:sz w:val="20"/>
                <w:szCs w:val="20"/>
                <w:color w:val="auto"/>
              </w:rPr>
            </w:pPr>
            <w:r>
              <w:rPr>
                <w:rFonts w:ascii="Arial" w:cs="Arial" w:eastAsia="Arial" w:hAnsi="Arial"/>
                <w:sz w:val="18"/>
                <w:szCs w:val="18"/>
                <w:color w:val="auto"/>
              </w:rPr>
              <w:t>(42,421)</w:t>
            </w:r>
          </w:p>
        </w:tc>
      </w:tr>
      <w:tr>
        <w:trPr>
          <w:trHeight w:val="607"/>
        </w:trPr>
        <w:tc>
          <w:tcPr>
            <w:tcW w:w="1500" w:type="dxa"/>
            <w:vAlign w:val="bottom"/>
            <w:gridSpan w:val="3"/>
          </w:tcPr>
          <w:p>
            <w:pPr>
              <w:ind w:left="980"/>
              <w:spacing w:after="0"/>
              <w:rPr>
                <w:sz w:val="20"/>
                <w:szCs w:val="20"/>
                <w:color w:val="auto"/>
              </w:rPr>
            </w:pPr>
            <w:r>
              <w:rPr>
                <w:rFonts w:ascii="Arial" w:cs="Arial" w:eastAsia="Arial" w:hAnsi="Arial"/>
                <w:sz w:val="18"/>
                <w:szCs w:val="18"/>
                <w:color w:val="auto"/>
              </w:rPr>
              <w:t>—</w:t>
            </w:r>
          </w:p>
        </w:tc>
        <w:tc>
          <w:tcPr>
            <w:tcW w:w="1440" w:type="dxa"/>
            <w:vAlign w:val="bottom"/>
            <w:gridSpan w:val="3"/>
          </w:tcPr>
          <w:p>
            <w:pPr>
              <w:ind w:left="940"/>
              <w:spacing w:after="0"/>
              <w:rPr>
                <w:sz w:val="20"/>
                <w:szCs w:val="20"/>
                <w:color w:val="auto"/>
              </w:rPr>
            </w:pPr>
            <w:r>
              <w:rPr>
                <w:rFonts w:ascii="Arial" w:cs="Arial" w:eastAsia="Arial" w:hAnsi="Arial"/>
                <w:sz w:val="18"/>
                <w:szCs w:val="18"/>
                <w:color w:val="auto"/>
              </w:rPr>
              <w:t>—</w:t>
            </w:r>
          </w:p>
        </w:tc>
        <w:tc>
          <w:tcPr>
            <w:tcW w:w="1440" w:type="dxa"/>
            <w:vAlign w:val="bottom"/>
            <w:gridSpan w:val="3"/>
          </w:tcPr>
          <w:p>
            <w:pPr>
              <w:ind w:left="940"/>
              <w:spacing w:after="0"/>
              <w:rPr>
                <w:sz w:val="20"/>
                <w:szCs w:val="20"/>
                <w:color w:val="auto"/>
              </w:rPr>
            </w:pPr>
            <w:r>
              <w:rPr>
                <w:rFonts w:ascii="Arial" w:cs="Arial" w:eastAsia="Arial" w:hAnsi="Arial"/>
                <w:sz w:val="18"/>
                <w:szCs w:val="18"/>
                <w:color w:val="auto"/>
              </w:rPr>
              <w:t>—</w:t>
            </w:r>
          </w:p>
        </w:tc>
        <w:tc>
          <w:tcPr>
            <w:tcW w:w="134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r>
      <w:tr>
        <w:trPr>
          <w:trHeight w:val="607"/>
        </w:trPr>
        <w:tc>
          <w:tcPr>
            <w:tcW w:w="1500" w:type="dxa"/>
            <w:vAlign w:val="bottom"/>
            <w:gridSpan w:val="3"/>
          </w:tcPr>
          <w:p>
            <w:pPr>
              <w:ind w:left="980"/>
              <w:spacing w:after="0"/>
              <w:rPr>
                <w:sz w:val="20"/>
                <w:szCs w:val="20"/>
                <w:color w:val="auto"/>
              </w:rPr>
            </w:pPr>
            <w:r>
              <w:rPr>
                <w:rFonts w:ascii="Arial" w:cs="Arial" w:eastAsia="Arial" w:hAnsi="Arial"/>
                <w:sz w:val="18"/>
                <w:szCs w:val="18"/>
                <w:color w:val="auto"/>
              </w:rPr>
              <w:t>—</w:t>
            </w:r>
          </w:p>
        </w:tc>
        <w:tc>
          <w:tcPr>
            <w:tcW w:w="1440" w:type="dxa"/>
            <w:vAlign w:val="bottom"/>
            <w:gridSpan w:val="3"/>
          </w:tcPr>
          <w:p>
            <w:pPr>
              <w:ind w:left="940"/>
              <w:spacing w:after="0"/>
              <w:rPr>
                <w:sz w:val="20"/>
                <w:szCs w:val="20"/>
                <w:color w:val="auto"/>
              </w:rPr>
            </w:pPr>
            <w:r>
              <w:rPr>
                <w:rFonts w:ascii="Arial" w:cs="Arial" w:eastAsia="Arial" w:hAnsi="Arial"/>
                <w:sz w:val="18"/>
                <w:szCs w:val="18"/>
                <w:color w:val="auto"/>
              </w:rPr>
              <w:t>—</w:t>
            </w:r>
          </w:p>
        </w:tc>
        <w:tc>
          <w:tcPr>
            <w:tcW w:w="1440" w:type="dxa"/>
            <w:vAlign w:val="bottom"/>
            <w:gridSpan w:val="3"/>
          </w:tcPr>
          <w:p>
            <w:pPr>
              <w:ind w:left="940"/>
              <w:spacing w:after="0"/>
              <w:rPr>
                <w:sz w:val="20"/>
                <w:szCs w:val="20"/>
                <w:color w:val="auto"/>
              </w:rPr>
            </w:pPr>
            <w:r>
              <w:rPr>
                <w:rFonts w:ascii="Arial" w:cs="Arial" w:eastAsia="Arial" w:hAnsi="Arial"/>
                <w:sz w:val="18"/>
                <w:szCs w:val="18"/>
                <w:color w:val="auto"/>
              </w:rPr>
              <w:t>—</w:t>
            </w:r>
          </w:p>
        </w:tc>
        <w:tc>
          <w:tcPr>
            <w:tcW w:w="134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r>
      <w:tr>
        <w:trPr>
          <w:trHeight w:val="210"/>
        </w:trPr>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(15,918</w:t>
            </w:r>
          </w:p>
        </w:tc>
        <w:tc>
          <w:tcPr>
            <w:tcW w:w="12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120" w:type="dxa"/>
            <w:vAlign w:val="bottom"/>
          </w:tcPr>
          <w:p>
            <w:pPr>
              <w:spacing w:after="0"/>
              <w:rPr>
                <w:sz w:val="18"/>
                <w:szCs w:val="18"/>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(18,994</w:t>
            </w:r>
          </w:p>
        </w:tc>
        <w:tc>
          <w:tcPr>
            <w:tcW w:w="12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100" w:type="dxa"/>
            <w:vAlign w:val="bottom"/>
          </w:tcPr>
          <w:p>
            <w:pPr>
              <w:spacing w:after="0"/>
              <w:rPr>
                <w:sz w:val="18"/>
                <w:szCs w:val="18"/>
                <w:color w:val="auto"/>
              </w:rPr>
            </w:pPr>
          </w:p>
        </w:tc>
        <w:tc>
          <w:tcPr>
            <w:tcW w:w="1220" w:type="dxa"/>
            <w:vAlign w:val="bottom"/>
            <w:tcBorders>
              <w:top w:val="single" w:sz="8" w:color="auto"/>
            </w:tcBorders>
          </w:tcPr>
          <w:p>
            <w:pPr>
              <w:ind w:left="620"/>
              <w:spacing w:after="0"/>
              <w:rPr>
                <w:sz w:val="20"/>
                <w:szCs w:val="20"/>
                <w:color w:val="auto"/>
              </w:rPr>
            </w:pPr>
            <w:r>
              <w:rPr>
                <w:rFonts w:ascii="Arial" w:cs="Arial" w:eastAsia="Arial" w:hAnsi="Arial"/>
                <w:sz w:val="18"/>
                <w:szCs w:val="18"/>
                <w:color w:val="auto"/>
                <w:w w:val="94"/>
              </w:rPr>
              <w:t>(51,720</w:t>
            </w:r>
          </w:p>
        </w:tc>
        <w:tc>
          <w:tcPr>
            <w:tcW w:w="12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100" w:type="dxa"/>
            <w:vAlign w:val="bottom"/>
          </w:tcPr>
          <w:p>
            <w:pPr>
              <w:spacing w:after="0"/>
              <w:rPr>
                <w:sz w:val="18"/>
                <w:szCs w:val="18"/>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(42,421</w:t>
            </w:r>
          </w:p>
        </w:tc>
        <w:tc>
          <w:tcPr>
            <w:tcW w:w="100" w:type="dxa"/>
            <w:vAlign w:val="bottom"/>
            <w:gridSpan w:val="2"/>
          </w:tcPr>
          <w:p>
            <w:pPr>
              <w:jc w:val="right"/>
              <w:ind w:right="40"/>
              <w:spacing w:after="0"/>
              <w:rPr>
                <w:sz w:val="20"/>
                <w:szCs w:val="20"/>
                <w:color w:val="auto"/>
              </w:rPr>
            </w:pPr>
            <w:r>
              <w:rPr>
                <w:rFonts w:ascii="Arial" w:cs="Arial" w:eastAsia="Arial" w:hAnsi="Arial"/>
                <w:sz w:val="16"/>
                <w:szCs w:val="16"/>
                <w:color w:val="auto"/>
                <w:w w:val="74"/>
              </w:rPr>
              <w:t>)</w:t>
            </w:r>
          </w:p>
        </w:tc>
      </w:tr>
      <w:tr>
        <w:trPr>
          <w:trHeight w:val="20"/>
        </w:trPr>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305"/>
        </w:trPr>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gridSpan w:val="3"/>
          </w:tcPr>
          <w:p>
            <w:pPr>
              <w:jc w:val="right"/>
              <w:spacing w:after="0"/>
              <w:rPr>
                <w:sz w:val="20"/>
                <w:szCs w:val="20"/>
                <w:color w:val="auto"/>
              </w:rPr>
            </w:pPr>
            <w:r>
              <w:rPr>
                <w:rFonts w:ascii="Arial" w:cs="Arial" w:eastAsia="Arial" w:hAnsi="Arial"/>
                <w:sz w:val="18"/>
                <w:szCs w:val="18"/>
                <w:color w:val="auto"/>
              </w:rPr>
              <w:t>7/8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-3499485</wp:posOffset>
            </wp:positionH>
            <wp:positionV relativeFrom="paragraph">
              <wp:posOffset>-1293495</wp:posOffset>
            </wp:positionV>
            <wp:extent cx="7132320" cy="13716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-3499485</wp:posOffset>
            </wp:positionH>
            <wp:positionV relativeFrom="paragraph">
              <wp:posOffset>-899795</wp:posOffset>
            </wp:positionV>
            <wp:extent cx="7132320" cy="12890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28905"/>
                    </a:xfrm>
                    <a:prstGeom prst="rect">
                      <a:avLst/>
                    </a:prstGeom>
                    <a:noFill/>
                  </pic:spPr>
                </pic:pic>
              </a:graphicData>
            </a:graphic>
          </wp:anchor>
        </w:drawing>
        <w:drawing>
          <wp:anchor simplePos="0" relativeHeight="251657728" behindDoc="1" locked="0" layoutInCell="0" allowOverlap="1">
            <wp:simplePos x="0" y="0"/>
            <wp:positionH relativeFrom="column">
              <wp:posOffset>-3499485</wp:posOffset>
            </wp:positionH>
            <wp:positionV relativeFrom="paragraph">
              <wp:posOffset>-513715</wp:posOffset>
            </wp:positionV>
            <wp:extent cx="7132320" cy="13716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-3499485</wp:posOffset>
            </wp:positionH>
            <wp:positionV relativeFrom="paragraph">
              <wp:posOffset>-7620</wp:posOffset>
            </wp:positionV>
            <wp:extent cx="713232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2">
            <w:col w:w="5400" w:space="120"/>
            <w:col w:w="5720"/>
          </w:cols>
          <w:pgMar w:left="320" w:top="544" w:right="339" w:bottom="1440" w:gutter="0" w:footer="0" w:header="0"/>
          <w:type w:val="continuous"/>
        </w:sectPr>
      </w:pPr>
    </w:p>
    <w:bookmarkStart w:id="38" w:name="page39"/>
    <w:bookmarkEnd w:id="38"/>
    <w:p>
      <w:pPr>
        <w:jc w:val="center"/>
        <w:spacing w:after="0"/>
        <w:rPr>
          <w:sz w:val="20"/>
          <w:szCs w:val="20"/>
          <w:color w:val="auto"/>
        </w:rPr>
      </w:pPr>
      <w:r>
        <w:rPr>
          <w:rFonts w:ascii="Arial" w:cs="Arial" w:eastAsia="Arial" w:hAnsi="Arial"/>
          <w:sz w:val="18"/>
          <w:szCs w:val="18"/>
          <w:b w:val="1"/>
          <w:bCs w:val="1"/>
          <w:color w:val="auto"/>
        </w:rPr>
        <w:t>Reconciliation of loss to adjusted loss and</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loss per share to adjusted loss per share</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940" w:type="dxa"/>
            <w:vAlign w:val="bottom"/>
            <w:gridSpan w:val="6"/>
          </w:tcPr>
          <w:p>
            <w:pPr>
              <w:ind w:left="460"/>
              <w:spacing w:after="0"/>
              <w:rPr>
                <w:sz w:val="20"/>
                <w:szCs w:val="20"/>
                <w:color w:val="auto"/>
              </w:rPr>
            </w:pPr>
            <w:r>
              <w:rPr>
                <w:rFonts w:ascii="Arial" w:cs="Arial" w:eastAsia="Arial" w:hAnsi="Arial"/>
                <w:sz w:val="18"/>
                <w:szCs w:val="18"/>
                <w:b w:val="1"/>
                <w:bCs w:val="1"/>
                <w:color w:val="auto"/>
              </w:rPr>
              <w:t>For the Three Months</w:t>
            </w:r>
          </w:p>
        </w:tc>
        <w:tc>
          <w:tcPr>
            <w:tcW w:w="2780" w:type="dxa"/>
            <w:vAlign w:val="bottom"/>
            <w:gridSpan w:val="5"/>
          </w:tcPr>
          <w:p>
            <w:pPr>
              <w:ind w:left="460"/>
              <w:spacing w:after="0"/>
              <w:rPr>
                <w:sz w:val="20"/>
                <w:szCs w:val="20"/>
                <w:color w:val="auto"/>
              </w:rPr>
            </w:pPr>
            <w:r>
              <w:rPr>
                <w:rFonts w:ascii="Arial" w:cs="Arial" w:eastAsia="Arial" w:hAnsi="Arial"/>
                <w:sz w:val="18"/>
                <w:szCs w:val="18"/>
                <w:b w:val="1"/>
                <w:bCs w:val="1"/>
                <w:color w:val="auto"/>
              </w:rPr>
              <w:t>For the Nine Months</w:t>
            </w:r>
          </w:p>
        </w:tc>
        <w:tc>
          <w:tcPr>
            <w:tcW w:w="0" w:type="dxa"/>
            <w:vAlign w:val="bottom"/>
          </w:tcPr>
          <w:p>
            <w:pPr>
              <w:spacing w:after="0"/>
              <w:rPr>
                <w:sz w:val="1"/>
                <w:szCs w:val="1"/>
                <w:color w:val="auto"/>
              </w:rPr>
            </w:pPr>
          </w:p>
        </w:tc>
      </w:tr>
      <w:tr>
        <w:trPr>
          <w:trHeight w:val="225"/>
        </w:trPr>
        <w:tc>
          <w:tcPr>
            <w:tcW w:w="5520" w:type="dxa"/>
            <w:vAlign w:val="bottom"/>
            <w:gridSpan w:val="2"/>
            <w:vMerge w:val="restart"/>
          </w:tcPr>
          <w:p>
            <w:pPr>
              <w:ind w:left="360"/>
              <w:spacing w:after="0"/>
              <w:rPr>
                <w:sz w:val="20"/>
                <w:szCs w:val="20"/>
                <w:color w:val="auto"/>
              </w:rPr>
            </w:pPr>
            <w:r>
              <w:rPr>
                <w:rFonts w:ascii="Arial" w:cs="Arial" w:eastAsia="Arial" w:hAnsi="Arial"/>
                <w:sz w:val="18"/>
                <w:szCs w:val="18"/>
                <w:b w:val="1"/>
                <w:bCs w:val="1"/>
                <w:color w:val="auto"/>
              </w:rPr>
              <w:t>In CHF thousands, except for share and per share data</w:t>
            </w:r>
          </w:p>
        </w:tc>
        <w:tc>
          <w:tcPr>
            <w:tcW w:w="2940" w:type="dxa"/>
            <w:vAlign w:val="bottom"/>
            <w:gridSpan w:val="6"/>
          </w:tcPr>
          <w:p>
            <w:pPr>
              <w:ind w:left="500"/>
              <w:spacing w:after="0"/>
              <w:rPr>
                <w:sz w:val="20"/>
                <w:szCs w:val="20"/>
                <w:color w:val="auto"/>
              </w:rPr>
            </w:pPr>
            <w:r>
              <w:rPr>
                <w:rFonts w:ascii="Arial" w:cs="Arial" w:eastAsia="Arial" w:hAnsi="Arial"/>
                <w:sz w:val="18"/>
                <w:szCs w:val="18"/>
                <w:b w:val="1"/>
                <w:bCs w:val="1"/>
                <w:color w:val="auto"/>
              </w:rPr>
              <w:t>Ended September 30,</w:t>
            </w:r>
          </w:p>
        </w:tc>
        <w:tc>
          <w:tcPr>
            <w:tcW w:w="2780" w:type="dxa"/>
            <w:vAlign w:val="bottom"/>
            <w:gridSpan w:val="5"/>
          </w:tcPr>
          <w:p>
            <w:pPr>
              <w:ind w:left="480"/>
              <w:spacing w:after="0"/>
              <w:rPr>
                <w:sz w:val="20"/>
                <w:szCs w:val="20"/>
                <w:color w:val="auto"/>
              </w:rPr>
            </w:pPr>
            <w:r>
              <w:rPr>
                <w:rFonts w:ascii="Arial" w:cs="Arial" w:eastAsia="Arial" w:hAnsi="Arial"/>
                <w:sz w:val="18"/>
                <w:szCs w:val="18"/>
                <w:b w:val="1"/>
                <w:bCs w:val="1"/>
                <w:color w:val="auto"/>
              </w:rPr>
              <w:t>Ended September 30,</w:t>
            </w:r>
          </w:p>
        </w:tc>
        <w:tc>
          <w:tcPr>
            <w:tcW w:w="0" w:type="dxa"/>
            <w:vAlign w:val="bottom"/>
          </w:tcPr>
          <w:p>
            <w:pPr>
              <w:spacing w:after="0"/>
              <w:rPr>
                <w:sz w:val="1"/>
                <w:szCs w:val="1"/>
                <w:color w:val="auto"/>
              </w:rPr>
            </w:pPr>
          </w:p>
        </w:tc>
      </w:tr>
      <w:tr>
        <w:trPr>
          <w:trHeight w:val="209"/>
        </w:trPr>
        <w:tc>
          <w:tcPr>
            <w:tcW w:w="5520" w:type="dxa"/>
            <w:vAlign w:val="bottom"/>
            <w:gridSpan w:val="2"/>
            <w:vMerge w:val="continue"/>
          </w:tcPr>
          <w:p>
            <w:pPr>
              <w:spacing w:after="0"/>
              <w:rPr>
                <w:sz w:val="18"/>
                <w:szCs w:val="18"/>
                <w:color w:val="auto"/>
              </w:rPr>
            </w:pPr>
          </w:p>
        </w:tc>
        <w:tc>
          <w:tcPr>
            <w:tcW w:w="1260" w:type="dxa"/>
            <w:vAlign w:val="bottom"/>
            <w:tcBorders>
              <w:top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2021</w:t>
            </w:r>
          </w:p>
        </w:tc>
        <w:tc>
          <w:tcPr>
            <w:tcW w:w="12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2020</w:t>
            </w:r>
          </w:p>
        </w:tc>
        <w:tc>
          <w:tcPr>
            <w:tcW w:w="1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Borders>
              <w:top w:val="single" w:sz="8" w:color="auto"/>
            </w:tcBorders>
          </w:tcPr>
          <w:p>
            <w:pPr>
              <w:ind w:left="460"/>
              <w:spacing w:after="0"/>
              <w:rPr>
                <w:sz w:val="20"/>
                <w:szCs w:val="20"/>
                <w:color w:val="auto"/>
              </w:rPr>
            </w:pPr>
            <w:r>
              <w:rPr>
                <w:rFonts w:ascii="Arial" w:cs="Arial" w:eastAsia="Arial" w:hAnsi="Arial"/>
                <w:sz w:val="18"/>
                <w:szCs w:val="18"/>
                <w:b w:val="1"/>
                <w:bCs w:val="1"/>
                <w:color w:val="auto"/>
              </w:rPr>
              <w:t>2021</w:t>
            </w:r>
          </w:p>
        </w:tc>
        <w:tc>
          <w:tcPr>
            <w:tcW w:w="12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8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400" w:type="dxa"/>
            <w:vAlign w:val="bottom"/>
            <w:tcBorders>
              <w:top w:val="single" w:sz="8" w:color="auto"/>
            </w:tcBorders>
            <w:shd w:val="clear" w:color="auto" w:fill="D5EAEA"/>
          </w:tcPr>
          <w:p>
            <w:pPr>
              <w:spacing w:after="0"/>
              <w:rPr>
                <w:sz w:val="20"/>
                <w:szCs w:val="20"/>
                <w:color w:val="auto"/>
              </w:rPr>
            </w:pPr>
            <w:r>
              <w:rPr>
                <w:rFonts w:ascii="Arial" w:cs="Arial" w:eastAsia="Arial" w:hAnsi="Arial"/>
                <w:sz w:val="18"/>
                <w:szCs w:val="18"/>
                <w:b w:val="1"/>
                <w:bCs w:val="1"/>
                <w:color w:val="auto"/>
              </w:rPr>
              <w:t>Loss</w:t>
            </w:r>
          </w:p>
        </w:tc>
        <w:tc>
          <w:tcPr>
            <w:tcW w:w="120" w:type="dxa"/>
            <w:vAlign w:val="bottom"/>
            <w:tcBorders>
              <w:top w:val="single" w:sz="8" w:color="D5EAEA"/>
            </w:tcBorders>
            <w:shd w:val="clear" w:color="auto" w:fill="D5EAEA"/>
          </w:tcPr>
          <w:p>
            <w:pPr>
              <w:spacing w:after="0"/>
              <w:rPr>
                <w:sz w:val="18"/>
                <w:szCs w:val="18"/>
                <w:color w:val="auto"/>
              </w:rPr>
            </w:pPr>
          </w:p>
        </w:tc>
        <w:tc>
          <w:tcPr>
            <w:tcW w:w="1380" w:type="dxa"/>
            <w:vAlign w:val="bottom"/>
            <w:tcBorders>
              <w:top w:val="single" w:sz="8" w:color="auto"/>
            </w:tcBorders>
            <w:gridSpan w:val="2"/>
            <w:shd w:val="clear" w:color="auto" w:fill="D5EAEA"/>
          </w:tcPr>
          <w:p>
            <w:pPr>
              <w:jc w:val="right"/>
              <w:spacing w:after="0"/>
              <w:rPr>
                <w:sz w:val="20"/>
                <w:szCs w:val="20"/>
                <w:color w:val="auto"/>
              </w:rPr>
            </w:pPr>
            <w:r>
              <w:rPr>
                <w:rFonts w:ascii="Arial" w:cs="Arial" w:eastAsia="Arial" w:hAnsi="Arial"/>
                <w:sz w:val="18"/>
                <w:szCs w:val="18"/>
                <w:color w:val="auto"/>
              </w:rPr>
              <w:t>(15,918)</w:t>
            </w:r>
          </w:p>
        </w:tc>
        <w:tc>
          <w:tcPr>
            <w:tcW w:w="120" w:type="dxa"/>
            <w:vAlign w:val="bottom"/>
            <w:tcBorders>
              <w:top w:val="single" w:sz="8" w:color="D5EAEA"/>
            </w:tcBorders>
            <w:shd w:val="clear" w:color="auto" w:fill="D5EAEA"/>
          </w:tcPr>
          <w:p>
            <w:pPr>
              <w:spacing w:after="0"/>
              <w:rPr>
                <w:sz w:val="18"/>
                <w:szCs w:val="18"/>
                <w:color w:val="auto"/>
              </w:rPr>
            </w:pPr>
          </w:p>
        </w:tc>
        <w:tc>
          <w:tcPr>
            <w:tcW w:w="1340" w:type="dxa"/>
            <w:vAlign w:val="bottom"/>
            <w:tcBorders>
              <w:top w:val="single" w:sz="8" w:color="auto"/>
            </w:tcBorders>
            <w:gridSpan w:val="2"/>
            <w:shd w:val="clear" w:color="auto" w:fill="D5EAEA"/>
          </w:tcPr>
          <w:p>
            <w:pPr>
              <w:jc w:val="right"/>
              <w:spacing w:after="0"/>
              <w:rPr>
                <w:sz w:val="20"/>
                <w:szCs w:val="20"/>
                <w:color w:val="auto"/>
              </w:rPr>
            </w:pPr>
            <w:r>
              <w:rPr>
                <w:rFonts w:ascii="Arial" w:cs="Arial" w:eastAsia="Arial" w:hAnsi="Arial"/>
                <w:sz w:val="18"/>
                <w:szCs w:val="18"/>
                <w:color w:val="auto"/>
              </w:rPr>
              <w:t>(18,994)</w:t>
            </w:r>
          </w:p>
        </w:tc>
        <w:tc>
          <w:tcPr>
            <w:tcW w:w="100" w:type="dxa"/>
            <w:vAlign w:val="bottom"/>
            <w:tcBorders>
              <w:top w:val="single" w:sz="8" w:color="D5EAEA"/>
            </w:tcBorders>
            <w:shd w:val="clear" w:color="auto" w:fill="D5EAEA"/>
          </w:tcPr>
          <w:p>
            <w:pPr>
              <w:spacing w:after="0"/>
              <w:rPr>
                <w:sz w:val="18"/>
                <w:szCs w:val="18"/>
                <w:color w:val="auto"/>
              </w:rPr>
            </w:pPr>
          </w:p>
        </w:tc>
        <w:tc>
          <w:tcPr>
            <w:tcW w:w="1340" w:type="dxa"/>
            <w:vAlign w:val="bottom"/>
            <w:tcBorders>
              <w:top w:val="single" w:sz="8" w:color="auto"/>
            </w:tcBorders>
            <w:gridSpan w:val="2"/>
            <w:shd w:val="clear" w:color="auto" w:fill="D5EAEA"/>
          </w:tcPr>
          <w:p>
            <w:pPr>
              <w:jc w:val="right"/>
              <w:spacing w:after="0"/>
              <w:rPr>
                <w:sz w:val="20"/>
                <w:szCs w:val="20"/>
                <w:color w:val="auto"/>
              </w:rPr>
            </w:pPr>
            <w:r>
              <w:rPr>
                <w:rFonts w:ascii="Arial" w:cs="Arial" w:eastAsia="Arial" w:hAnsi="Arial"/>
                <w:sz w:val="18"/>
                <w:szCs w:val="18"/>
                <w:color w:val="auto"/>
              </w:rPr>
              <w:t>(51,720)</w:t>
            </w:r>
          </w:p>
        </w:tc>
        <w:tc>
          <w:tcPr>
            <w:tcW w:w="100" w:type="dxa"/>
            <w:vAlign w:val="bottom"/>
            <w:tcBorders>
              <w:top w:val="single" w:sz="8" w:color="D5EAEA"/>
            </w:tcBorders>
            <w:shd w:val="clear" w:color="auto" w:fill="D5EAEA"/>
          </w:tcPr>
          <w:p>
            <w:pPr>
              <w:spacing w:after="0"/>
              <w:rPr>
                <w:sz w:val="18"/>
                <w:szCs w:val="18"/>
                <w:color w:val="auto"/>
              </w:rPr>
            </w:pPr>
          </w:p>
        </w:tc>
        <w:tc>
          <w:tcPr>
            <w:tcW w:w="1340" w:type="dxa"/>
            <w:vAlign w:val="bottom"/>
            <w:tcBorders>
              <w:top w:val="single" w:sz="8" w:color="auto"/>
            </w:tcBorders>
            <w:gridSpan w:val="2"/>
            <w:shd w:val="clear" w:color="auto" w:fill="D5EAEA"/>
          </w:tcPr>
          <w:p>
            <w:pPr>
              <w:jc w:val="right"/>
              <w:ind w:right="1"/>
              <w:spacing w:after="0"/>
              <w:rPr>
                <w:sz w:val="20"/>
                <w:szCs w:val="20"/>
                <w:color w:val="auto"/>
              </w:rPr>
            </w:pPr>
            <w:r>
              <w:rPr>
                <w:rFonts w:ascii="Arial" w:cs="Arial" w:eastAsia="Arial" w:hAnsi="Arial"/>
                <w:sz w:val="18"/>
                <w:szCs w:val="18"/>
                <w:color w:val="auto"/>
              </w:rPr>
              <w:t>(42,421)</w:t>
            </w:r>
          </w:p>
        </w:tc>
        <w:tc>
          <w:tcPr>
            <w:tcW w:w="0" w:type="dxa"/>
            <w:vAlign w:val="bottom"/>
          </w:tcPr>
          <w:p>
            <w:pPr>
              <w:spacing w:after="0"/>
              <w:rPr>
                <w:sz w:val="1"/>
                <w:szCs w:val="1"/>
                <w:color w:val="auto"/>
              </w:rPr>
            </w:pPr>
          </w:p>
        </w:tc>
      </w:tr>
      <w:tr>
        <w:trPr>
          <w:trHeight w:val="196"/>
        </w:trPr>
        <w:tc>
          <w:tcPr>
            <w:tcW w:w="5520" w:type="dxa"/>
            <w:vAlign w:val="bottom"/>
            <w:gridSpan w:val="2"/>
          </w:tcPr>
          <w:p>
            <w:pPr>
              <w:spacing w:after="0" w:line="196" w:lineRule="exact"/>
              <w:rPr>
                <w:sz w:val="20"/>
                <w:szCs w:val="20"/>
                <w:color w:val="auto"/>
              </w:rPr>
            </w:pPr>
            <w:r>
              <w:rPr>
                <w:rFonts w:ascii="Arial" w:cs="Arial" w:eastAsia="Arial" w:hAnsi="Arial"/>
                <w:sz w:val="18"/>
                <w:szCs w:val="18"/>
                <w:b w:val="1"/>
                <w:bCs w:val="1"/>
                <w:color w:val="auto"/>
              </w:rPr>
              <w:t>Adjustments</w:t>
            </w:r>
          </w:p>
        </w:tc>
        <w:tc>
          <w:tcPr>
            <w:tcW w:w="12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5520" w:type="dxa"/>
            <w:vAlign w:val="bottom"/>
            <w:gridSpan w:val="2"/>
            <w:shd w:val="clear" w:color="auto" w:fill="D5EAEA"/>
          </w:tcPr>
          <w:p>
            <w:pPr>
              <w:ind w:left="160"/>
              <w:spacing w:after="0" w:line="243" w:lineRule="exact"/>
              <w:rPr>
                <w:sz w:val="20"/>
                <w:szCs w:val="20"/>
                <w:color w:val="auto"/>
              </w:rPr>
            </w:pPr>
            <w:r>
              <w:rPr>
                <w:rFonts w:ascii="Arial" w:cs="Arial" w:eastAsia="Arial" w:hAnsi="Arial"/>
                <w:sz w:val="17"/>
                <w:szCs w:val="17"/>
                <w:color w:val="auto"/>
              </w:rPr>
              <w:t>Non-cash share-based payments</w:t>
            </w:r>
            <w:r>
              <w:rPr>
                <w:rFonts w:ascii="Arial" w:cs="Arial" w:eastAsia="Arial" w:hAnsi="Arial"/>
                <w:sz w:val="28"/>
                <w:szCs w:val="28"/>
                <w:color w:val="auto"/>
                <w:vertAlign w:val="superscript"/>
              </w:rPr>
              <w:t>1</w:t>
            </w:r>
          </w:p>
        </w:tc>
        <w:tc>
          <w:tcPr>
            <w:tcW w:w="1380" w:type="dxa"/>
            <w:vAlign w:val="bottom"/>
            <w:gridSpan w:val="2"/>
            <w:shd w:val="clear" w:color="auto" w:fill="D5EAEA"/>
          </w:tcPr>
          <w:p>
            <w:pPr>
              <w:jc w:val="right"/>
              <w:ind w:right="41"/>
              <w:spacing w:after="0"/>
              <w:rPr>
                <w:sz w:val="20"/>
                <w:szCs w:val="20"/>
                <w:color w:val="auto"/>
              </w:rPr>
            </w:pPr>
            <w:r>
              <w:rPr>
                <w:rFonts w:ascii="Arial" w:cs="Arial" w:eastAsia="Arial" w:hAnsi="Arial"/>
                <w:sz w:val="18"/>
                <w:szCs w:val="18"/>
                <w:color w:val="auto"/>
              </w:rPr>
              <w:t>1,388</w:t>
            </w:r>
          </w:p>
        </w:tc>
        <w:tc>
          <w:tcPr>
            <w:tcW w:w="120" w:type="dxa"/>
            <w:vAlign w:val="bottom"/>
            <w:shd w:val="clear" w:color="auto" w:fill="D5EAEA"/>
          </w:tcPr>
          <w:p>
            <w:pPr>
              <w:spacing w:after="0"/>
              <w:rPr>
                <w:sz w:val="21"/>
                <w:szCs w:val="21"/>
                <w:color w:val="auto"/>
              </w:rPr>
            </w:pPr>
          </w:p>
        </w:tc>
        <w:tc>
          <w:tcPr>
            <w:tcW w:w="1340" w:type="dxa"/>
            <w:vAlign w:val="bottom"/>
            <w:gridSpan w:val="2"/>
            <w:shd w:val="clear" w:color="auto" w:fill="D5EAEA"/>
          </w:tcPr>
          <w:p>
            <w:pPr>
              <w:jc w:val="right"/>
              <w:ind w:right="41"/>
              <w:spacing w:after="0"/>
              <w:rPr>
                <w:sz w:val="20"/>
                <w:szCs w:val="20"/>
                <w:color w:val="auto"/>
              </w:rPr>
            </w:pPr>
            <w:r>
              <w:rPr>
                <w:rFonts w:ascii="Arial" w:cs="Arial" w:eastAsia="Arial" w:hAnsi="Arial"/>
                <w:sz w:val="18"/>
                <w:szCs w:val="18"/>
                <w:color w:val="auto"/>
              </w:rPr>
              <w:t>1,233</w:t>
            </w:r>
          </w:p>
        </w:tc>
        <w:tc>
          <w:tcPr>
            <w:tcW w:w="100" w:type="dxa"/>
            <w:vAlign w:val="bottom"/>
            <w:shd w:val="clear" w:color="auto" w:fill="D5EAEA"/>
          </w:tcPr>
          <w:p>
            <w:pPr>
              <w:spacing w:after="0"/>
              <w:rPr>
                <w:sz w:val="21"/>
                <w:szCs w:val="21"/>
                <w:color w:val="auto"/>
              </w:rPr>
            </w:pPr>
          </w:p>
        </w:tc>
        <w:tc>
          <w:tcPr>
            <w:tcW w:w="1340" w:type="dxa"/>
            <w:vAlign w:val="bottom"/>
            <w:gridSpan w:val="2"/>
            <w:shd w:val="clear" w:color="auto" w:fill="D5EAEA"/>
          </w:tcPr>
          <w:p>
            <w:pPr>
              <w:jc w:val="right"/>
              <w:ind w:right="41"/>
              <w:spacing w:after="0"/>
              <w:rPr>
                <w:sz w:val="20"/>
                <w:szCs w:val="20"/>
                <w:color w:val="auto"/>
              </w:rPr>
            </w:pPr>
            <w:r>
              <w:rPr>
                <w:rFonts w:ascii="Arial" w:cs="Arial" w:eastAsia="Arial" w:hAnsi="Arial"/>
                <w:sz w:val="18"/>
                <w:szCs w:val="18"/>
                <w:color w:val="auto"/>
              </w:rPr>
              <w:t>3,081</w:t>
            </w:r>
          </w:p>
        </w:tc>
        <w:tc>
          <w:tcPr>
            <w:tcW w:w="100" w:type="dxa"/>
            <w:vAlign w:val="bottom"/>
            <w:shd w:val="clear" w:color="auto" w:fill="D5EAEA"/>
          </w:tcPr>
          <w:p>
            <w:pPr>
              <w:spacing w:after="0"/>
              <w:rPr>
                <w:sz w:val="21"/>
                <w:szCs w:val="21"/>
                <w:color w:val="auto"/>
              </w:rPr>
            </w:pPr>
          </w:p>
        </w:tc>
        <w:tc>
          <w:tcPr>
            <w:tcW w:w="1340" w:type="dxa"/>
            <w:vAlign w:val="bottom"/>
            <w:gridSpan w:val="2"/>
            <w:shd w:val="clear" w:color="auto" w:fill="D5EAEA"/>
          </w:tcPr>
          <w:p>
            <w:pPr>
              <w:jc w:val="right"/>
              <w:ind w:right="61"/>
              <w:spacing w:after="0"/>
              <w:rPr>
                <w:sz w:val="20"/>
                <w:szCs w:val="20"/>
                <w:color w:val="auto"/>
              </w:rPr>
            </w:pPr>
            <w:r>
              <w:rPr>
                <w:rFonts w:ascii="Arial" w:cs="Arial" w:eastAsia="Arial" w:hAnsi="Arial"/>
                <w:sz w:val="18"/>
                <w:szCs w:val="18"/>
                <w:color w:val="auto"/>
              </w:rPr>
              <w:t>3,079</w:t>
            </w:r>
          </w:p>
        </w:tc>
        <w:tc>
          <w:tcPr>
            <w:tcW w:w="0" w:type="dxa"/>
            <w:vAlign w:val="bottom"/>
          </w:tcPr>
          <w:p>
            <w:pPr>
              <w:spacing w:after="0"/>
              <w:rPr>
                <w:sz w:val="1"/>
                <w:szCs w:val="1"/>
                <w:color w:val="auto"/>
              </w:rPr>
            </w:pPr>
          </w:p>
        </w:tc>
      </w:tr>
      <w:tr>
        <w:trPr>
          <w:trHeight w:val="243"/>
        </w:trPr>
        <w:tc>
          <w:tcPr>
            <w:tcW w:w="5520" w:type="dxa"/>
            <w:vAlign w:val="bottom"/>
            <w:gridSpan w:val="2"/>
          </w:tcPr>
          <w:p>
            <w:pPr>
              <w:ind w:left="160"/>
              <w:spacing w:after="0" w:line="243" w:lineRule="exact"/>
              <w:rPr>
                <w:sz w:val="20"/>
                <w:szCs w:val="20"/>
                <w:color w:val="auto"/>
              </w:rPr>
            </w:pPr>
            <w:r>
              <w:rPr>
                <w:rFonts w:ascii="Arial" w:cs="Arial" w:eastAsia="Arial" w:hAnsi="Arial"/>
                <w:sz w:val="17"/>
                <w:szCs w:val="17"/>
                <w:color w:val="auto"/>
              </w:rPr>
              <w:t>Foreign currency (gains)/losses</w:t>
            </w:r>
            <w:r>
              <w:rPr>
                <w:rFonts w:ascii="Arial" w:cs="Arial" w:eastAsia="Arial" w:hAnsi="Arial"/>
                <w:sz w:val="28"/>
                <w:szCs w:val="28"/>
                <w:color w:val="auto"/>
                <w:vertAlign w:val="superscript"/>
              </w:rPr>
              <w:t>2</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(117)</w:t>
            </w:r>
          </w:p>
        </w:tc>
        <w:tc>
          <w:tcPr>
            <w:tcW w:w="120" w:type="dxa"/>
            <w:vAlign w:val="bottom"/>
          </w:tcPr>
          <w:p>
            <w:pPr>
              <w:spacing w:after="0"/>
              <w:rPr>
                <w:sz w:val="21"/>
                <w:szCs w:val="21"/>
                <w:color w:val="auto"/>
              </w:rPr>
            </w:pPr>
          </w:p>
        </w:tc>
        <w:tc>
          <w:tcPr>
            <w:tcW w:w="1340" w:type="dxa"/>
            <w:vAlign w:val="bottom"/>
            <w:gridSpan w:val="2"/>
          </w:tcPr>
          <w:p>
            <w:pPr>
              <w:jc w:val="right"/>
              <w:ind w:right="41"/>
              <w:spacing w:after="0"/>
              <w:rPr>
                <w:sz w:val="20"/>
                <w:szCs w:val="20"/>
                <w:color w:val="auto"/>
              </w:rPr>
            </w:pPr>
            <w:r>
              <w:rPr>
                <w:rFonts w:ascii="Arial" w:cs="Arial" w:eastAsia="Arial" w:hAnsi="Arial"/>
                <w:sz w:val="18"/>
                <w:szCs w:val="18"/>
                <w:color w:val="auto"/>
              </w:rPr>
              <w:t>187</w:t>
            </w:r>
          </w:p>
        </w:tc>
        <w:tc>
          <w:tcPr>
            <w:tcW w:w="100" w:type="dxa"/>
            <w:vAlign w:val="bottom"/>
          </w:tcPr>
          <w:p>
            <w:pPr>
              <w:spacing w:after="0"/>
              <w:rPr>
                <w:sz w:val="21"/>
                <w:szCs w:val="21"/>
                <w:color w:val="auto"/>
              </w:rPr>
            </w:pP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(481)</w:t>
            </w:r>
          </w:p>
        </w:tc>
        <w:tc>
          <w:tcPr>
            <w:tcW w:w="1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686</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520" w:type="dxa"/>
            <w:vAlign w:val="bottom"/>
            <w:gridSpan w:val="2"/>
            <w:shd w:val="clear" w:color="auto" w:fill="D5EAEA"/>
          </w:tcPr>
          <w:p>
            <w:pPr>
              <w:ind w:left="160"/>
              <w:spacing w:after="0" w:line="243" w:lineRule="exact"/>
              <w:rPr>
                <w:sz w:val="20"/>
                <w:szCs w:val="20"/>
                <w:color w:val="auto"/>
              </w:rPr>
            </w:pPr>
            <w:r>
              <w:rPr>
                <w:rFonts w:ascii="Arial" w:cs="Arial" w:eastAsia="Arial" w:hAnsi="Arial"/>
                <w:sz w:val="17"/>
                <w:szCs w:val="17"/>
                <w:color w:val="auto"/>
              </w:rPr>
              <w:t>Change in fair value of derivative financial assets</w:t>
            </w:r>
            <w:r>
              <w:rPr>
                <w:rFonts w:ascii="Arial" w:cs="Arial" w:eastAsia="Arial" w:hAnsi="Arial"/>
                <w:sz w:val="28"/>
                <w:szCs w:val="28"/>
                <w:color w:val="auto"/>
                <w:vertAlign w:val="superscript"/>
              </w:rPr>
              <w:t>3</w:t>
            </w:r>
          </w:p>
        </w:tc>
        <w:tc>
          <w:tcPr>
            <w:tcW w:w="1380" w:type="dxa"/>
            <w:vAlign w:val="bottom"/>
            <w:gridSpan w:val="2"/>
            <w:shd w:val="clear" w:color="auto" w:fill="D5EAEA"/>
          </w:tcPr>
          <w:p>
            <w:pPr>
              <w:jc w:val="right"/>
              <w:spacing w:after="0"/>
              <w:rPr>
                <w:sz w:val="20"/>
                <w:szCs w:val="20"/>
                <w:color w:val="auto"/>
              </w:rPr>
            </w:pPr>
            <w:r>
              <w:rPr>
                <w:rFonts w:ascii="Arial" w:cs="Arial" w:eastAsia="Arial" w:hAnsi="Arial"/>
                <w:sz w:val="18"/>
                <w:szCs w:val="18"/>
                <w:color w:val="auto"/>
              </w:rPr>
              <w:t>(4,424)</w:t>
            </w:r>
          </w:p>
        </w:tc>
        <w:tc>
          <w:tcPr>
            <w:tcW w:w="120" w:type="dxa"/>
            <w:vAlign w:val="bottom"/>
            <w:shd w:val="clear" w:color="auto" w:fill="D5EAEA"/>
          </w:tcPr>
          <w:p>
            <w:pPr>
              <w:spacing w:after="0"/>
              <w:rPr>
                <w:sz w:val="21"/>
                <w:szCs w:val="21"/>
                <w:color w:val="auto"/>
              </w:rPr>
            </w:pPr>
          </w:p>
        </w:tc>
        <w:tc>
          <w:tcPr>
            <w:tcW w:w="1440" w:type="dxa"/>
            <w:vAlign w:val="bottom"/>
            <w:gridSpan w:val="3"/>
            <w:shd w:val="clear" w:color="auto" w:fill="D5EAEA"/>
          </w:tcPr>
          <w:p>
            <w:pPr>
              <w:ind w:left="94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D5EAEA"/>
          </w:tcPr>
          <w:p>
            <w:pPr>
              <w:jc w:val="right"/>
              <w:spacing w:after="0"/>
              <w:rPr>
                <w:sz w:val="20"/>
                <w:szCs w:val="20"/>
                <w:color w:val="auto"/>
              </w:rPr>
            </w:pPr>
            <w:r>
              <w:rPr>
                <w:rFonts w:ascii="Arial" w:cs="Arial" w:eastAsia="Arial" w:hAnsi="Arial"/>
                <w:sz w:val="18"/>
                <w:szCs w:val="18"/>
                <w:color w:val="auto"/>
              </w:rPr>
              <w:t>(4,424)</w:t>
            </w:r>
          </w:p>
        </w:tc>
        <w:tc>
          <w:tcPr>
            <w:tcW w:w="100" w:type="dxa"/>
            <w:vAlign w:val="bottom"/>
            <w:shd w:val="clear" w:color="auto" w:fill="D5EAEA"/>
          </w:tcPr>
          <w:p>
            <w:pPr>
              <w:spacing w:after="0"/>
              <w:rPr>
                <w:sz w:val="21"/>
                <w:szCs w:val="21"/>
                <w:color w:val="auto"/>
              </w:rPr>
            </w:pPr>
          </w:p>
        </w:tc>
        <w:tc>
          <w:tcPr>
            <w:tcW w:w="1340" w:type="dxa"/>
            <w:vAlign w:val="bottom"/>
            <w:gridSpan w:val="2"/>
            <w:shd w:val="clear" w:color="auto" w:fill="D5EAEA"/>
          </w:tcPr>
          <w:p>
            <w:pPr>
              <w:jc w:val="right"/>
              <w:ind w:right="16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5520" w:type="dxa"/>
            <w:vAlign w:val="bottom"/>
            <w:gridSpan w:val="2"/>
          </w:tcPr>
          <w:p>
            <w:pPr>
              <w:ind w:left="160"/>
              <w:spacing w:after="0" w:line="256" w:lineRule="exact"/>
              <w:rPr>
                <w:sz w:val="20"/>
                <w:szCs w:val="20"/>
                <w:color w:val="auto"/>
              </w:rPr>
            </w:pPr>
            <w:r>
              <w:rPr>
                <w:rFonts w:ascii="Arial" w:cs="Arial" w:eastAsia="Arial" w:hAnsi="Arial"/>
                <w:sz w:val="18"/>
                <w:szCs w:val="18"/>
                <w:color w:val="auto"/>
              </w:rPr>
              <w:t>Transaction costs</w:t>
            </w:r>
            <w:r>
              <w:rPr>
                <w:rFonts w:ascii="Arial" w:cs="Arial" w:eastAsia="Arial" w:hAnsi="Arial"/>
                <w:sz w:val="29"/>
                <w:szCs w:val="29"/>
                <w:color w:val="auto"/>
                <w:vertAlign w:val="superscript"/>
              </w:rPr>
              <w:t>4</w:t>
            </w:r>
          </w:p>
        </w:tc>
        <w:tc>
          <w:tcPr>
            <w:tcW w:w="1380" w:type="dxa"/>
            <w:vAlign w:val="bottom"/>
            <w:gridSpan w:val="2"/>
          </w:tcPr>
          <w:p>
            <w:pPr>
              <w:jc w:val="right"/>
              <w:ind w:right="41"/>
              <w:spacing w:after="0"/>
              <w:rPr>
                <w:sz w:val="20"/>
                <w:szCs w:val="20"/>
                <w:color w:val="auto"/>
              </w:rPr>
            </w:pPr>
            <w:r>
              <w:rPr>
                <w:rFonts w:ascii="Arial" w:cs="Arial" w:eastAsia="Arial" w:hAnsi="Arial"/>
                <w:sz w:val="18"/>
                <w:szCs w:val="18"/>
                <w:color w:val="auto"/>
              </w:rPr>
              <w:t>335</w:t>
            </w:r>
          </w:p>
        </w:tc>
        <w:tc>
          <w:tcPr>
            <w:tcW w:w="120" w:type="dxa"/>
            <w:vAlign w:val="bottom"/>
          </w:tcPr>
          <w:p>
            <w:pPr>
              <w:spacing w:after="0"/>
              <w:rPr>
                <w:sz w:val="22"/>
                <w:szCs w:val="22"/>
                <w:color w:val="auto"/>
              </w:rPr>
            </w:pPr>
          </w:p>
        </w:tc>
        <w:tc>
          <w:tcPr>
            <w:tcW w:w="1440" w:type="dxa"/>
            <w:vAlign w:val="bottom"/>
            <w:gridSpan w:val="3"/>
          </w:tcPr>
          <w:p>
            <w:pPr>
              <w:ind w:left="94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41"/>
              <w:spacing w:after="0"/>
              <w:rPr>
                <w:sz w:val="20"/>
                <w:szCs w:val="20"/>
                <w:color w:val="auto"/>
              </w:rPr>
            </w:pPr>
            <w:r>
              <w:rPr>
                <w:rFonts w:ascii="Arial" w:cs="Arial" w:eastAsia="Arial" w:hAnsi="Arial"/>
                <w:sz w:val="18"/>
                <w:szCs w:val="18"/>
                <w:color w:val="auto"/>
              </w:rPr>
              <w:t>745</w:t>
            </w:r>
          </w:p>
        </w:tc>
        <w:tc>
          <w:tcPr>
            <w:tcW w:w="100" w:type="dxa"/>
            <w:vAlign w:val="bottom"/>
          </w:tcPr>
          <w:p>
            <w:pPr>
              <w:spacing w:after="0"/>
              <w:rPr>
                <w:sz w:val="22"/>
                <w:szCs w:val="22"/>
                <w:color w:val="auto"/>
              </w:rPr>
            </w:pPr>
          </w:p>
        </w:tc>
        <w:tc>
          <w:tcPr>
            <w:tcW w:w="1340" w:type="dxa"/>
            <w:vAlign w:val="bottom"/>
            <w:gridSpan w:val="2"/>
          </w:tcPr>
          <w:p>
            <w:pPr>
              <w:jc w:val="right"/>
              <w:ind w:right="16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6"/>
        </w:trPr>
        <w:tc>
          <w:tcPr>
            <w:tcW w:w="5520" w:type="dxa"/>
            <w:vAlign w:val="bottom"/>
            <w:tcBorders>
              <w:top w:val="single" w:sz="8" w:color="D5EAEA"/>
            </w:tcBorders>
            <w:gridSpan w:val="2"/>
            <w:shd w:val="clear" w:color="auto" w:fill="D5EAEA"/>
          </w:tcPr>
          <w:p>
            <w:pPr>
              <w:spacing w:after="0" w:line="196" w:lineRule="exact"/>
              <w:rPr>
                <w:sz w:val="20"/>
                <w:szCs w:val="20"/>
                <w:color w:val="auto"/>
              </w:rPr>
            </w:pPr>
            <w:r>
              <w:rPr>
                <w:rFonts w:ascii="Arial" w:cs="Arial" w:eastAsia="Arial" w:hAnsi="Arial"/>
                <w:sz w:val="18"/>
                <w:szCs w:val="18"/>
                <w:b w:val="1"/>
                <w:bCs w:val="1"/>
                <w:color w:val="auto"/>
              </w:rPr>
              <w:t>Adjusted Loss</w:t>
            </w:r>
          </w:p>
        </w:tc>
        <w:tc>
          <w:tcPr>
            <w:tcW w:w="1260" w:type="dxa"/>
            <w:vAlign w:val="bottom"/>
            <w:tcBorders>
              <w:top w:val="single" w:sz="8" w:color="auto"/>
              <w:bottom w:val="single" w:sz="8" w:color="auto"/>
            </w:tcBorders>
            <w:shd w:val="clear" w:color="auto" w:fill="D5EAEA"/>
          </w:tcPr>
          <w:p>
            <w:pPr>
              <w:jc w:val="right"/>
              <w:spacing w:after="0" w:line="196" w:lineRule="exact"/>
              <w:rPr>
                <w:sz w:val="20"/>
                <w:szCs w:val="20"/>
                <w:color w:val="auto"/>
              </w:rPr>
            </w:pPr>
            <w:r>
              <w:rPr>
                <w:rFonts w:ascii="Arial" w:cs="Arial" w:eastAsia="Arial" w:hAnsi="Arial"/>
                <w:sz w:val="18"/>
                <w:szCs w:val="18"/>
                <w:color w:val="auto"/>
              </w:rPr>
              <w:t>(18,736</w:t>
            </w:r>
          </w:p>
        </w:tc>
        <w:tc>
          <w:tcPr>
            <w:tcW w:w="120" w:type="dxa"/>
            <w:vAlign w:val="bottom"/>
            <w:tcBorders>
              <w:top w:val="single" w:sz="8" w:color="D5EAEA"/>
            </w:tcBorders>
            <w:shd w:val="clear" w:color="auto" w:fill="D5EAEA"/>
          </w:tcPr>
          <w:p>
            <w:pPr>
              <w:jc w:val="right"/>
              <w:spacing w:after="0"/>
              <w:rPr>
                <w:sz w:val="20"/>
                <w:szCs w:val="20"/>
                <w:color w:val="auto"/>
              </w:rPr>
            </w:pPr>
            <w:r>
              <w:rPr>
                <w:rFonts w:ascii="Arial" w:cs="Arial" w:eastAsia="Arial" w:hAnsi="Arial"/>
                <w:sz w:val="16"/>
                <w:szCs w:val="16"/>
                <w:color w:val="auto"/>
                <w:w w:val="74"/>
              </w:rPr>
              <w:t>)</w:t>
            </w:r>
          </w:p>
        </w:tc>
        <w:tc>
          <w:tcPr>
            <w:tcW w:w="120" w:type="dxa"/>
            <w:vAlign w:val="bottom"/>
            <w:tcBorders>
              <w:top w:val="single" w:sz="8" w:color="D5EAEA"/>
            </w:tcBorders>
            <w:shd w:val="clear" w:color="auto" w:fill="D5EAEA"/>
          </w:tcPr>
          <w:p>
            <w:pPr>
              <w:spacing w:after="0"/>
              <w:rPr>
                <w:sz w:val="17"/>
                <w:szCs w:val="17"/>
                <w:color w:val="auto"/>
              </w:rPr>
            </w:pPr>
          </w:p>
        </w:tc>
        <w:tc>
          <w:tcPr>
            <w:tcW w:w="1220" w:type="dxa"/>
            <w:vAlign w:val="bottom"/>
            <w:tcBorders>
              <w:top w:val="single" w:sz="8" w:color="auto"/>
              <w:bottom w:val="single" w:sz="8" w:color="auto"/>
            </w:tcBorders>
            <w:shd w:val="clear" w:color="auto" w:fill="D5EAEA"/>
          </w:tcPr>
          <w:p>
            <w:pPr>
              <w:jc w:val="right"/>
              <w:spacing w:after="0" w:line="196" w:lineRule="exact"/>
              <w:rPr>
                <w:sz w:val="20"/>
                <w:szCs w:val="20"/>
                <w:color w:val="auto"/>
              </w:rPr>
            </w:pPr>
            <w:r>
              <w:rPr>
                <w:rFonts w:ascii="Arial" w:cs="Arial" w:eastAsia="Arial" w:hAnsi="Arial"/>
                <w:sz w:val="18"/>
                <w:szCs w:val="18"/>
                <w:color w:val="auto"/>
              </w:rPr>
              <w:t>(17,574</w:t>
            </w:r>
          </w:p>
        </w:tc>
        <w:tc>
          <w:tcPr>
            <w:tcW w:w="120" w:type="dxa"/>
            <w:vAlign w:val="bottom"/>
            <w:tcBorders>
              <w:top w:val="single" w:sz="8" w:color="D5EAEA"/>
            </w:tcBorders>
            <w:shd w:val="clear" w:color="auto" w:fill="D5EAEA"/>
          </w:tcPr>
          <w:p>
            <w:pPr>
              <w:jc w:val="right"/>
              <w:spacing w:after="0"/>
              <w:rPr>
                <w:sz w:val="20"/>
                <w:szCs w:val="20"/>
                <w:color w:val="auto"/>
              </w:rPr>
            </w:pPr>
            <w:r>
              <w:rPr>
                <w:rFonts w:ascii="Arial" w:cs="Arial" w:eastAsia="Arial" w:hAnsi="Arial"/>
                <w:sz w:val="16"/>
                <w:szCs w:val="16"/>
                <w:color w:val="auto"/>
                <w:w w:val="74"/>
              </w:rPr>
              <w:t>)</w:t>
            </w:r>
          </w:p>
        </w:tc>
        <w:tc>
          <w:tcPr>
            <w:tcW w:w="100" w:type="dxa"/>
            <w:vAlign w:val="bottom"/>
            <w:tcBorders>
              <w:top w:val="single" w:sz="8" w:color="D5EAEA"/>
            </w:tcBorders>
            <w:shd w:val="clear" w:color="auto" w:fill="D5EAEA"/>
          </w:tcPr>
          <w:p>
            <w:pPr>
              <w:spacing w:after="0"/>
              <w:rPr>
                <w:sz w:val="17"/>
                <w:szCs w:val="17"/>
                <w:color w:val="auto"/>
              </w:rPr>
            </w:pPr>
          </w:p>
        </w:tc>
        <w:tc>
          <w:tcPr>
            <w:tcW w:w="1220" w:type="dxa"/>
            <w:vAlign w:val="bottom"/>
            <w:tcBorders>
              <w:top w:val="single" w:sz="8" w:color="auto"/>
              <w:bottom w:val="single" w:sz="8" w:color="auto"/>
            </w:tcBorders>
            <w:shd w:val="clear" w:color="auto" w:fill="D5EAEA"/>
          </w:tcPr>
          <w:p>
            <w:pPr>
              <w:jc w:val="right"/>
              <w:spacing w:after="0" w:line="196" w:lineRule="exact"/>
              <w:rPr>
                <w:sz w:val="20"/>
                <w:szCs w:val="20"/>
                <w:color w:val="auto"/>
              </w:rPr>
            </w:pPr>
            <w:r>
              <w:rPr>
                <w:rFonts w:ascii="Arial" w:cs="Arial" w:eastAsia="Arial" w:hAnsi="Arial"/>
                <w:sz w:val="18"/>
                <w:szCs w:val="18"/>
                <w:color w:val="auto"/>
              </w:rPr>
              <w:t>(52,799</w:t>
            </w:r>
          </w:p>
        </w:tc>
        <w:tc>
          <w:tcPr>
            <w:tcW w:w="120" w:type="dxa"/>
            <w:vAlign w:val="bottom"/>
            <w:tcBorders>
              <w:top w:val="single" w:sz="8" w:color="D5EAEA"/>
            </w:tcBorders>
            <w:shd w:val="clear" w:color="auto" w:fill="D5EAEA"/>
          </w:tcPr>
          <w:p>
            <w:pPr>
              <w:jc w:val="right"/>
              <w:spacing w:after="0"/>
              <w:rPr>
                <w:sz w:val="20"/>
                <w:szCs w:val="20"/>
                <w:color w:val="auto"/>
              </w:rPr>
            </w:pPr>
            <w:r>
              <w:rPr>
                <w:rFonts w:ascii="Arial" w:cs="Arial" w:eastAsia="Arial" w:hAnsi="Arial"/>
                <w:sz w:val="16"/>
                <w:szCs w:val="16"/>
                <w:color w:val="auto"/>
                <w:w w:val="74"/>
              </w:rPr>
              <w:t>)</w:t>
            </w:r>
          </w:p>
        </w:tc>
        <w:tc>
          <w:tcPr>
            <w:tcW w:w="100" w:type="dxa"/>
            <w:vAlign w:val="bottom"/>
            <w:tcBorders>
              <w:top w:val="single" w:sz="8" w:color="D5EAEA"/>
            </w:tcBorders>
            <w:shd w:val="clear" w:color="auto" w:fill="D5EAEA"/>
          </w:tcPr>
          <w:p>
            <w:pPr>
              <w:spacing w:after="0"/>
              <w:rPr>
                <w:sz w:val="17"/>
                <w:szCs w:val="17"/>
                <w:color w:val="auto"/>
              </w:rPr>
            </w:pPr>
          </w:p>
        </w:tc>
        <w:tc>
          <w:tcPr>
            <w:tcW w:w="1260" w:type="dxa"/>
            <w:vAlign w:val="bottom"/>
            <w:tcBorders>
              <w:top w:val="single" w:sz="8" w:color="auto"/>
              <w:bottom w:val="single" w:sz="8" w:color="auto"/>
              <w:right w:val="single" w:sz="8" w:color="D5EAEA"/>
            </w:tcBorders>
            <w:shd w:val="clear" w:color="auto" w:fill="D5EAEA"/>
          </w:tcPr>
          <w:p>
            <w:pPr>
              <w:jc w:val="right"/>
              <w:spacing w:after="0" w:line="196" w:lineRule="exact"/>
              <w:rPr>
                <w:sz w:val="20"/>
                <w:szCs w:val="20"/>
                <w:color w:val="auto"/>
              </w:rPr>
            </w:pPr>
            <w:r>
              <w:rPr>
                <w:rFonts w:ascii="Arial" w:cs="Arial" w:eastAsia="Arial" w:hAnsi="Arial"/>
                <w:sz w:val="18"/>
                <w:szCs w:val="18"/>
                <w:color w:val="auto"/>
              </w:rPr>
              <w:t>(38,656</w:t>
            </w:r>
          </w:p>
        </w:tc>
        <w:tc>
          <w:tcPr>
            <w:tcW w:w="80" w:type="dxa"/>
            <w:vAlign w:val="bottom"/>
            <w:tcBorders>
              <w:top w:val="single" w:sz="8" w:color="D5EAEA"/>
            </w:tcBorders>
            <w:shd w:val="clear" w:color="auto" w:fill="D5EAEA"/>
          </w:tcPr>
          <w:p>
            <w:pPr>
              <w:jc w:val="right"/>
              <w:ind w:right="1"/>
              <w:spacing w:after="0"/>
              <w:rPr>
                <w:sz w:val="20"/>
                <w:szCs w:val="20"/>
                <w:color w:val="auto"/>
              </w:rPr>
            </w:pPr>
            <w:r>
              <w:rPr>
                <w:rFonts w:ascii="Arial" w:cs="Arial" w:eastAsia="Arial" w:hAnsi="Arial"/>
                <w:sz w:val="8"/>
                <w:szCs w:val="8"/>
                <w:color w:val="auto"/>
                <w:w w:val="73"/>
              </w:rPr>
              <w:t>)</w:t>
            </w:r>
          </w:p>
        </w:tc>
        <w:tc>
          <w:tcPr>
            <w:tcW w:w="0" w:type="dxa"/>
            <w:vAlign w:val="bottom"/>
          </w:tcPr>
          <w:p>
            <w:pPr>
              <w:spacing w:after="0"/>
              <w:rPr>
                <w:sz w:val="1"/>
                <w:szCs w:val="1"/>
                <w:color w:val="auto"/>
              </w:rPr>
            </w:pPr>
          </w:p>
        </w:tc>
      </w:tr>
      <w:tr>
        <w:trPr>
          <w:trHeight w:val="183"/>
        </w:trPr>
        <w:tc>
          <w:tcPr>
            <w:tcW w:w="5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5520" w:type="dxa"/>
            <w:vAlign w:val="bottom"/>
            <w:gridSpan w:val="2"/>
            <w:shd w:val="clear" w:color="auto" w:fill="D5EAEA"/>
          </w:tcPr>
          <w:p>
            <w:pPr>
              <w:spacing w:after="0"/>
              <w:rPr>
                <w:sz w:val="20"/>
                <w:szCs w:val="20"/>
                <w:color w:val="auto"/>
              </w:rPr>
            </w:pPr>
            <w:r>
              <w:rPr>
                <w:rFonts w:ascii="Arial" w:cs="Arial" w:eastAsia="Arial" w:hAnsi="Arial"/>
                <w:sz w:val="18"/>
                <w:szCs w:val="18"/>
                <w:b w:val="1"/>
                <w:bCs w:val="1"/>
                <w:color w:val="auto"/>
              </w:rPr>
              <w:t>Loss per share – basic and diluted</w:t>
            </w:r>
          </w:p>
        </w:tc>
        <w:tc>
          <w:tcPr>
            <w:tcW w:w="1380" w:type="dxa"/>
            <w:vAlign w:val="bottom"/>
            <w:gridSpan w:val="2"/>
            <w:shd w:val="clear" w:color="auto" w:fill="D5EAEA"/>
          </w:tcPr>
          <w:p>
            <w:pPr>
              <w:jc w:val="right"/>
              <w:spacing w:after="0"/>
              <w:rPr>
                <w:sz w:val="20"/>
                <w:szCs w:val="20"/>
                <w:color w:val="auto"/>
              </w:rPr>
            </w:pPr>
            <w:r>
              <w:rPr>
                <w:rFonts w:ascii="Arial" w:cs="Arial" w:eastAsia="Arial" w:hAnsi="Arial"/>
                <w:sz w:val="18"/>
                <w:szCs w:val="18"/>
                <w:color w:val="auto"/>
              </w:rPr>
              <w:t>(0.22)</w:t>
            </w:r>
          </w:p>
        </w:tc>
        <w:tc>
          <w:tcPr>
            <w:tcW w:w="120" w:type="dxa"/>
            <w:vAlign w:val="bottom"/>
            <w:shd w:val="clear" w:color="auto" w:fill="D5EAEA"/>
          </w:tcPr>
          <w:p>
            <w:pPr>
              <w:spacing w:after="0"/>
              <w:rPr>
                <w:sz w:val="18"/>
                <w:szCs w:val="18"/>
                <w:color w:val="auto"/>
              </w:rPr>
            </w:pPr>
          </w:p>
        </w:tc>
        <w:tc>
          <w:tcPr>
            <w:tcW w:w="1340" w:type="dxa"/>
            <w:vAlign w:val="bottom"/>
            <w:gridSpan w:val="2"/>
            <w:shd w:val="clear" w:color="auto" w:fill="D5EAEA"/>
          </w:tcPr>
          <w:p>
            <w:pPr>
              <w:jc w:val="right"/>
              <w:spacing w:after="0"/>
              <w:rPr>
                <w:sz w:val="20"/>
                <w:szCs w:val="20"/>
                <w:color w:val="auto"/>
              </w:rPr>
            </w:pPr>
            <w:r>
              <w:rPr>
                <w:rFonts w:ascii="Arial" w:cs="Arial" w:eastAsia="Arial" w:hAnsi="Arial"/>
                <w:sz w:val="18"/>
                <w:szCs w:val="18"/>
                <w:color w:val="auto"/>
              </w:rPr>
              <w:t>(0.26)</w:t>
            </w:r>
          </w:p>
        </w:tc>
        <w:tc>
          <w:tcPr>
            <w:tcW w:w="100" w:type="dxa"/>
            <w:vAlign w:val="bottom"/>
            <w:shd w:val="clear" w:color="auto" w:fill="D5EAEA"/>
          </w:tcPr>
          <w:p>
            <w:pPr>
              <w:spacing w:after="0"/>
              <w:rPr>
                <w:sz w:val="18"/>
                <w:szCs w:val="18"/>
                <w:color w:val="auto"/>
              </w:rPr>
            </w:pPr>
          </w:p>
        </w:tc>
        <w:tc>
          <w:tcPr>
            <w:tcW w:w="1340" w:type="dxa"/>
            <w:vAlign w:val="bottom"/>
            <w:gridSpan w:val="2"/>
            <w:shd w:val="clear" w:color="auto" w:fill="D5EAEA"/>
          </w:tcPr>
          <w:p>
            <w:pPr>
              <w:jc w:val="right"/>
              <w:spacing w:after="0"/>
              <w:rPr>
                <w:sz w:val="20"/>
                <w:szCs w:val="20"/>
                <w:color w:val="auto"/>
              </w:rPr>
            </w:pPr>
            <w:r>
              <w:rPr>
                <w:rFonts w:ascii="Arial" w:cs="Arial" w:eastAsia="Arial" w:hAnsi="Arial"/>
                <w:sz w:val="18"/>
                <w:szCs w:val="18"/>
                <w:color w:val="auto"/>
              </w:rPr>
              <w:t>(0.71)</w:t>
            </w:r>
          </w:p>
        </w:tc>
        <w:tc>
          <w:tcPr>
            <w:tcW w:w="100" w:type="dxa"/>
            <w:vAlign w:val="bottom"/>
            <w:shd w:val="clear" w:color="auto" w:fill="D5EAEA"/>
          </w:tcPr>
          <w:p>
            <w:pPr>
              <w:spacing w:after="0"/>
              <w:rPr>
                <w:sz w:val="18"/>
                <w:szCs w:val="18"/>
                <w:color w:val="auto"/>
              </w:rPr>
            </w:pPr>
          </w:p>
        </w:tc>
        <w:tc>
          <w:tcPr>
            <w:tcW w:w="1340" w:type="dxa"/>
            <w:vAlign w:val="bottom"/>
            <w:gridSpan w:val="2"/>
            <w:shd w:val="clear" w:color="auto" w:fill="D5EAEA"/>
          </w:tcPr>
          <w:p>
            <w:pPr>
              <w:jc w:val="right"/>
              <w:ind w:right="1"/>
              <w:spacing w:after="0"/>
              <w:rPr>
                <w:sz w:val="20"/>
                <w:szCs w:val="20"/>
                <w:color w:val="auto"/>
              </w:rPr>
            </w:pPr>
            <w:r>
              <w:rPr>
                <w:rFonts w:ascii="Arial" w:cs="Arial" w:eastAsia="Arial" w:hAnsi="Arial"/>
                <w:sz w:val="18"/>
                <w:szCs w:val="18"/>
                <w:color w:val="auto"/>
              </w:rPr>
              <w:t>(0.59)</w:t>
            </w:r>
          </w:p>
        </w:tc>
        <w:tc>
          <w:tcPr>
            <w:tcW w:w="0" w:type="dxa"/>
            <w:vAlign w:val="bottom"/>
          </w:tcPr>
          <w:p>
            <w:pPr>
              <w:spacing w:after="0"/>
              <w:rPr>
                <w:sz w:val="1"/>
                <w:szCs w:val="1"/>
                <w:color w:val="auto"/>
              </w:rPr>
            </w:pPr>
          </w:p>
        </w:tc>
      </w:tr>
      <w:tr>
        <w:trPr>
          <w:trHeight w:val="196"/>
        </w:trPr>
        <w:tc>
          <w:tcPr>
            <w:tcW w:w="5520" w:type="dxa"/>
            <w:vAlign w:val="bottom"/>
            <w:tcBorders>
              <w:bottom w:val="single" w:sz="8" w:color="D5EAEA"/>
            </w:tcBorders>
            <w:gridSpan w:val="2"/>
          </w:tcPr>
          <w:p>
            <w:pPr>
              <w:spacing w:after="0" w:line="196" w:lineRule="exact"/>
              <w:rPr>
                <w:sz w:val="20"/>
                <w:szCs w:val="20"/>
                <w:color w:val="auto"/>
              </w:rPr>
            </w:pPr>
            <w:r>
              <w:rPr>
                <w:rFonts w:ascii="Arial" w:cs="Arial" w:eastAsia="Arial" w:hAnsi="Arial"/>
                <w:sz w:val="18"/>
                <w:szCs w:val="18"/>
                <w:b w:val="1"/>
                <w:bCs w:val="1"/>
                <w:color w:val="auto"/>
              </w:rPr>
              <w:t>Adjustment to loss per share – basic and diluted</w:t>
            </w:r>
          </w:p>
        </w:tc>
        <w:tc>
          <w:tcPr>
            <w:tcW w:w="126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(0.04</w:t>
            </w:r>
          </w:p>
        </w:tc>
        <w:tc>
          <w:tcPr>
            <w:tcW w:w="120" w:type="dxa"/>
            <w:vAlign w:val="bottom"/>
            <w:tcBorders>
              <w:bottom w:val="single" w:sz="8" w:color="D5EAEA"/>
            </w:tcBorders>
          </w:tcPr>
          <w:p>
            <w:pPr>
              <w:jc w:val="right"/>
              <w:spacing w:after="0"/>
              <w:rPr>
                <w:sz w:val="20"/>
                <w:szCs w:val="20"/>
                <w:color w:val="auto"/>
              </w:rPr>
            </w:pPr>
            <w:r>
              <w:rPr>
                <w:rFonts w:ascii="Arial" w:cs="Arial" w:eastAsia="Arial" w:hAnsi="Arial"/>
                <w:sz w:val="16"/>
                <w:szCs w:val="16"/>
                <w:color w:val="auto"/>
                <w:w w:val="74"/>
              </w:rPr>
              <w:t>)</w:t>
            </w:r>
          </w:p>
        </w:tc>
        <w:tc>
          <w:tcPr>
            <w:tcW w:w="120" w:type="dxa"/>
            <w:vAlign w:val="bottom"/>
            <w:tcBorders>
              <w:bottom w:val="single" w:sz="8" w:color="D5EAEA"/>
            </w:tcBorders>
          </w:tcPr>
          <w:p>
            <w:pPr>
              <w:spacing w:after="0"/>
              <w:rPr>
                <w:sz w:val="17"/>
                <w:szCs w:val="17"/>
                <w:color w:val="auto"/>
              </w:rPr>
            </w:pPr>
          </w:p>
        </w:tc>
        <w:tc>
          <w:tcPr>
            <w:tcW w:w="12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0.02</w:t>
            </w:r>
          </w:p>
        </w:tc>
        <w:tc>
          <w:tcPr>
            <w:tcW w:w="120" w:type="dxa"/>
            <w:vAlign w:val="bottom"/>
            <w:tcBorders>
              <w:bottom w:val="single" w:sz="8" w:color="D5EAEA"/>
            </w:tcBorders>
          </w:tcPr>
          <w:p>
            <w:pPr>
              <w:spacing w:after="0"/>
              <w:rPr>
                <w:sz w:val="17"/>
                <w:szCs w:val="17"/>
                <w:color w:val="auto"/>
              </w:rPr>
            </w:pPr>
          </w:p>
        </w:tc>
        <w:tc>
          <w:tcPr>
            <w:tcW w:w="100" w:type="dxa"/>
            <w:vAlign w:val="bottom"/>
            <w:tcBorders>
              <w:bottom w:val="single" w:sz="8" w:color="D5EAEA"/>
            </w:tcBorders>
          </w:tcPr>
          <w:p>
            <w:pPr>
              <w:spacing w:after="0"/>
              <w:rPr>
                <w:sz w:val="17"/>
                <w:szCs w:val="17"/>
                <w:color w:val="auto"/>
              </w:rPr>
            </w:pPr>
          </w:p>
        </w:tc>
        <w:tc>
          <w:tcPr>
            <w:tcW w:w="12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(0.02</w:t>
            </w:r>
          </w:p>
        </w:tc>
        <w:tc>
          <w:tcPr>
            <w:tcW w:w="120" w:type="dxa"/>
            <w:vAlign w:val="bottom"/>
            <w:tcBorders>
              <w:bottom w:val="single" w:sz="8" w:color="D5EAEA"/>
            </w:tcBorders>
          </w:tcPr>
          <w:p>
            <w:pPr>
              <w:jc w:val="right"/>
              <w:spacing w:after="0"/>
              <w:rPr>
                <w:sz w:val="20"/>
                <w:szCs w:val="20"/>
                <w:color w:val="auto"/>
              </w:rPr>
            </w:pPr>
            <w:r>
              <w:rPr>
                <w:rFonts w:ascii="Arial" w:cs="Arial" w:eastAsia="Arial" w:hAnsi="Arial"/>
                <w:sz w:val="16"/>
                <w:szCs w:val="16"/>
                <w:color w:val="auto"/>
                <w:w w:val="74"/>
              </w:rPr>
              <w:t>)</w:t>
            </w:r>
          </w:p>
        </w:tc>
        <w:tc>
          <w:tcPr>
            <w:tcW w:w="100" w:type="dxa"/>
            <w:vAlign w:val="bottom"/>
            <w:tcBorders>
              <w:bottom w:val="single" w:sz="8" w:color="D5EAEA"/>
            </w:tcBorders>
          </w:tcPr>
          <w:p>
            <w:pPr>
              <w:spacing w:after="0"/>
              <w:rPr>
                <w:sz w:val="17"/>
                <w:szCs w:val="17"/>
                <w:color w:val="auto"/>
              </w:rPr>
            </w:pPr>
          </w:p>
        </w:tc>
        <w:tc>
          <w:tcPr>
            <w:tcW w:w="126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0.05</w:t>
            </w:r>
          </w:p>
        </w:tc>
        <w:tc>
          <w:tcPr>
            <w:tcW w:w="80" w:type="dxa"/>
            <w:vAlign w:val="bottom"/>
            <w:tcBorders>
              <w:bottom w:val="single" w:sz="8" w:color="D5EAEA"/>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520" w:type="dxa"/>
            <w:vAlign w:val="bottom"/>
            <w:gridSpan w:val="2"/>
            <w:shd w:val="clear" w:color="auto" w:fill="D5EAEA"/>
          </w:tcPr>
          <w:p>
            <w:pPr>
              <w:spacing w:after="0" w:line="196" w:lineRule="exact"/>
              <w:rPr>
                <w:sz w:val="20"/>
                <w:szCs w:val="20"/>
                <w:color w:val="auto"/>
              </w:rPr>
            </w:pPr>
            <w:r>
              <w:rPr>
                <w:rFonts w:ascii="Arial" w:cs="Arial" w:eastAsia="Arial" w:hAnsi="Arial"/>
                <w:sz w:val="18"/>
                <w:szCs w:val="18"/>
                <w:b w:val="1"/>
                <w:bCs w:val="1"/>
                <w:color w:val="auto"/>
              </w:rPr>
              <w:t>Adjusted loss per share – basic and diluted</w:t>
            </w:r>
          </w:p>
        </w:tc>
        <w:tc>
          <w:tcPr>
            <w:tcW w:w="1260" w:type="dxa"/>
            <w:vAlign w:val="bottom"/>
            <w:tcBorders>
              <w:bottom w:val="single" w:sz="8" w:color="auto"/>
            </w:tcBorders>
            <w:shd w:val="clear" w:color="auto" w:fill="D5EAEA"/>
          </w:tcPr>
          <w:p>
            <w:pPr>
              <w:jc w:val="right"/>
              <w:spacing w:after="0" w:line="196" w:lineRule="exact"/>
              <w:rPr>
                <w:sz w:val="20"/>
                <w:szCs w:val="20"/>
                <w:color w:val="auto"/>
              </w:rPr>
            </w:pPr>
            <w:r>
              <w:rPr>
                <w:rFonts w:ascii="Arial" w:cs="Arial" w:eastAsia="Arial" w:hAnsi="Arial"/>
                <w:sz w:val="18"/>
                <w:szCs w:val="18"/>
                <w:color w:val="auto"/>
              </w:rPr>
              <w:t>(0.26</w:t>
            </w:r>
          </w:p>
        </w:tc>
        <w:tc>
          <w:tcPr>
            <w:tcW w:w="120" w:type="dxa"/>
            <w:vAlign w:val="bottom"/>
            <w:shd w:val="clear" w:color="auto" w:fill="D5EAEA"/>
          </w:tcPr>
          <w:p>
            <w:pPr>
              <w:jc w:val="right"/>
              <w:spacing w:after="0"/>
              <w:rPr>
                <w:sz w:val="20"/>
                <w:szCs w:val="20"/>
                <w:color w:val="auto"/>
              </w:rPr>
            </w:pPr>
            <w:r>
              <w:rPr>
                <w:rFonts w:ascii="Arial" w:cs="Arial" w:eastAsia="Arial" w:hAnsi="Arial"/>
                <w:sz w:val="16"/>
                <w:szCs w:val="16"/>
                <w:color w:val="auto"/>
                <w:w w:val="74"/>
              </w:rPr>
              <w:t>)</w:t>
            </w:r>
          </w:p>
        </w:tc>
        <w:tc>
          <w:tcPr>
            <w:tcW w:w="120" w:type="dxa"/>
            <w:vAlign w:val="bottom"/>
            <w:shd w:val="clear" w:color="auto" w:fill="D5EAEA"/>
          </w:tcPr>
          <w:p>
            <w:pPr>
              <w:spacing w:after="0"/>
              <w:rPr>
                <w:sz w:val="17"/>
                <w:szCs w:val="17"/>
                <w:color w:val="auto"/>
              </w:rPr>
            </w:pPr>
          </w:p>
        </w:tc>
        <w:tc>
          <w:tcPr>
            <w:tcW w:w="1220" w:type="dxa"/>
            <w:vAlign w:val="bottom"/>
            <w:tcBorders>
              <w:bottom w:val="single" w:sz="8" w:color="auto"/>
            </w:tcBorders>
            <w:shd w:val="clear" w:color="auto" w:fill="D5EAEA"/>
          </w:tcPr>
          <w:p>
            <w:pPr>
              <w:jc w:val="right"/>
              <w:spacing w:after="0" w:line="196" w:lineRule="exact"/>
              <w:rPr>
                <w:sz w:val="20"/>
                <w:szCs w:val="20"/>
                <w:color w:val="auto"/>
              </w:rPr>
            </w:pPr>
            <w:r>
              <w:rPr>
                <w:rFonts w:ascii="Arial" w:cs="Arial" w:eastAsia="Arial" w:hAnsi="Arial"/>
                <w:sz w:val="18"/>
                <w:szCs w:val="18"/>
                <w:color w:val="auto"/>
              </w:rPr>
              <w:t>(0.24</w:t>
            </w:r>
          </w:p>
        </w:tc>
        <w:tc>
          <w:tcPr>
            <w:tcW w:w="120" w:type="dxa"/>
            <w:vAlign w:val="bottom"/>
            <w:shd w:val="clear" w:color="auto" w:fill="D5EAEA"/>
          </w:tcPr>
          <w:p>
            <w:pPr>
              <w:jc w:val="right"/>
              <w:spacing w:after="0"/>
              <w:rPr>
                <w:sz w:val="20"/>
                <w:szCs w:val="20"/>
                <w:color w:val="auto"/>
              </w:rPr>
            </w:pPr>
            <w:r>
              <w:rPr>
                <w:rFonts w:ascii="Arial" w:cs="Arial" w:eastAsia="Arial" w:hAnsi="Arial"/>
                <w:sz w:val="16"/>
                <w:szCs w:val="16"/>
                <w:color w:val="auto"/>
                <w:w w:val="74"/>
              </w:rPr>
              <w:t>)</w:t>
            </w:r>
          </w:p>
        </w:tc>
        <w:tc>
          <w:tcPr>
            <w:tcW w:w="100" w:type="dxa"/>
            <w:vAlign w:val="bottom"/>
            <w:shd w:val="clear" w:color="auto" w:fill="D5EAEA"/>
          </w:tcPr>
          <w:p>
            <w:pPr>
              <w:spacing w:after="0"/>
              <w:rPr>
                <w:sz w:val="17"/>
                <w:szCs w:val="17"/>
                <w:color w:val="auto"/>
              </w:rPr>
            </w:pPr>
          </w:p>
        </w:tc>
        <w:tc>
          <w:tcPr>
            <w:tcW w:w="1220" w:type="dxa"/>
            <w:vAlign w:val="bottom"/>
            <w:tcBorders>
              <w:bottom w:val="single" w:sz="8" w:color="auto"/>
            </w:tcBorders>
            <w:shd w:val="clear" w:color="auto" w:fill="D5EAEA"/>
          </w:tcPr>
          <w:p>
            <w:pPr>
              <w:jc w:val="right"/>
              <w:spacing w:after="0" w:line="196" w:lineRule="exact"/>
              <w:rPr>
                <w:sz w:val="20"/>
                <w:szCs w:val="20"/>
                <w:color w:val="auto"/>
              </w:rPr>
            </w:pPr>
            <w:r>
              <w:rPr>
                <w:rFonts w:ascii="Arial" w:cs="Arial" w:eastAsia="Arial" w:hAnsi="Arial"/>
                <w:sz w:val="18"/>
                <w:szCs w:val="18"/>
                <w:color w:val="auto"/>
              </w:rPr>
              <w:t>(0.73</w:t>
            </w:r>
          </w:p>
        </w:tc>
        <w:tc>
          <w:tcPr>
            <w:tcW w:w="120" w:type="dxa"/>
            <w:vAlign w:val="bottom"/>
            <w:shd w:val="clear" w:color="auto" w:fill="D5EAEA"/>
          </w:tcPr>
          <w:p>
            <w:pPr>
              <w:jc w:val="right"/>
              <w:spacing w:after="0"/>
              <w:rPr>
                <w:sz w:val="20"/>
                <w:szCs w:val="20"/>
                <w:color w:val="auto"/>
              </w:rPr>
            </w:pPr>
            <w:r>
              <w:rPr>
                <w:rFonts w:ascii="Arial" w:cs="Arial" w:eastAsia="Arial" w:hAnsi="Arial"/>
                <w:sz w:val="16"/>
                <w:szCs w:val="16"/>
                <w:color w:val="auto"/>
                <w:w w:val="74"/>
              </w:rPr>
              <w:t>)</w:t>
            </w:r>
          </w:p>
        </w:tc>
        <w:tc>
          <w:tcPr>
            <w:tcW w:w="100" w:type="dxa"/>
            <w:vAlign w:val="bottom"/>
            <w:shd w:val="clear" w:color="auto" w:fill="D5EAEA"/>
          </w:tcPr>
          <w:p>
            <w:pPr>
              <w:spacing w:after="0"/>
              <w:rPr>
                <w:sz w:val="17"/>
                <w:szCs w:val="17"/>
                <w:color w:val="auto"/>
              </w:rPr>
            </w:pPr>
          </w:p>
        </w:tc>
        <w:tc>
          <w:tcPr>
            <w:tcW w:w="1260" w:type="dxa"/>
            <w:vAlign w:val="bottom"/>
            <w:tcBorders>
              <w:bottom w:val="single" w:sz="8" w:color="auto"/>
              <w:right w:val="single" w:sz="8" w:color="D5EAEA"/>
            </w:tcBorders>
            <w:shd w:val="clear" w:color="auto" w:fill="D5EAEA"/>
          </w:tcPr>
          <w:p>
            <w:pPr>
              <w:jc w:val="right"/>
              <w:spacing w:after="0" w:line="196" w:lineRule="exact"/>
              <w:rPr>
                <w:sz w:val="20"/>
                <w:szCs w:val="20"/>
                <w:color w:val="auto"/>
              </w:rPr>
            </w:pPr>
            <w:r>
              <w:rPr>
                <w:rFonts w:ascii="Arial" w:cs="Arial" w:eastAsia="Arial" w:hAnsi="Arial"/>
                <w:sz w:val="18"/>
                <w:szCs w:val="18"/>
                <w:color w:val="auto"/>
              </w:rPr>
              <w:t>(0.54</w:t>
            </w:r>
          </w:p>
        </w:tc>
        <w:tc>
          <w:tcPr>
            <w:tcW w:w="80" w:type="dxa"/>
            <w:vAlign w:val="bottom"/>
            <w:shd w:val="clear" w:color="auto" w:fill="D5EAEA"/>
          </w:tcPr>
          <w:p>
            <w:pPr>
              <w:jc w:val="right"/>
              <w:ind w:right="1"/>
              <w:spacing w:after="0"/>
              <w:rPr>
                <w:sz w:val="20"/>
                <w:szCs w:val="20"/>
                <w:color w:val="auto"/>
              </w:rPr>
            </w:pPr>
            <w:r>
              <w:rPr>
                <w:rFonts w:ascii="Arial" w:cs="Arial" w:eastAsia="Arial" w:hAnsi="Arial"/>
                <w:sz w:val="8"/>
                <w:szCs w:val="8"/>
                <w:color w:val="auto"/>
                <w:w w:val="73"/>
              </w:rPr>
              <w:t>)</w:t>
            </w:r>
          </w:p>
        </w:tc>
        <w:tc>
          <w:tcPr>
            <w:tcW w:w="0" w:type="dxa"/>
            <w:vAlign w:val="bottom"/>
          </w:tcPr>
          <w:p>
            <w:pPr>
              <w:spacing w:after="0"/>
              <w:rPr>
                <w:sz w:val="1"/>
                <w:szCs w:val="1"/>
                <w:color w:val="auto"/>
              </w:rPr>
            </w:pPr>
          </w:p>
        </w:tc>
      </w:tr>
      <w:tr>
        <w:trPr>
          <w:trHeight w:val="182"/>
        </w:trPr>
        <w:tc>
          <w:tcPr>
            <w:tcW w:w="5520" w:type="dxa"/>
            <w:vAlign w:val="bottom"/>
            <w:gridSpan w:val="2"/>
          </w:tcPr>
          <w:p>
            <w:pPr>
              <w:spacing w:after="0" w:line="182" w:lineRule="exact"/>
              <w:rPr>
                <w:sz w:val="20"/>
                <w:szCs w:val="20"/>
                <w:color w:val="auto"/>
              </w:rPr>
            </w:pPr>
            <w:r>
              <w:rPr>
                <w:rFonts w:ascii="Arial" w:cs="Arial" w:eastAsia="Arial" w:hAnsi="Arial"/>
                <w:sz w:val="18"/>
                <w:szCs w:val="18"/>
                <w:color w:val="auto"/>
              </w:rPr>
              <w:t>Weighted-average number of shares outstanding Adjusted loss –</w:t>
            </w:r>
          </w:p>
        </w:tc>
        <w:tc>
          <w:tcPr>
            <w:tcW w:w="1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5520" w:type="dxa"/>
            <w:vAlign w:val="bottom"/>
            <w:gridSpan w:val="2"/>
          </w:tcPr>
          <w:p>
            <w:pPr>
              <w:spacing w:after="0"/>
              <w:rPr>
                <w:sz w:val="20"/>
                <w:szCs w:val="20"/>
                <w:color w:val="auto"/>
              </w:rPr>
            </w:pPr>
            <w:r>
              <w:rPr>
                <w:rFonts w:ascii="Arial" w:cs="Arial" w:eastAsia="Arial" w:hAnsi="Arial"/>
                <w:sz w:val="18"/>
                <w:szCs w:val="18"/>
                <w:color w:val="auto"/>
              </w:rPr>
              <w:t>basic and diluted</w:t>
            </w:r>
          </w:p>
        </w:tc>
        <w:tc>
          <w:tcPr>
            <w:tcW w:w="1380" w:type="dxa"/>
            <w:vAlign w:val="bottom"/>
            <w:gridSpan w:val="2"/>
          </w:tcPr>
          <w:p>
            <w:pPr>
              <w:jc w:val="right"/>
              <w:ind w:right="41"/>
              <w:spacing w:after="0"/>
              <w:rPr>
                <w:sz w:val="20"/>
                <w:szCs w:val="20"/>
                <w:color w:val="auto"/>
              </w:rPr>
            </w:pPr>
            <w:r>
              <w:rPr>
                <w:rFonts w:ascii="Arial" w:cs="Arial" w:eastAsia="Arial" w:hAnsi="Arial"/>
                <w:sz w:val="18"/>
                <w:szCs w:val="18"/>
                <w:color w:val="auto"/>
              </w:rPr>
              <w:t>72,887,967</w:t>
            </w:r>
          </w:p>
        </w:tc>
        <w:tc>
          <w:tcPr>
            <w:tcW w:w="120" w:type="dxa"/>
            <w:vAlign w:val="bottom"/>
          </w:tcPr>
          <w:p>
            <w:pPr>
              <w:spacing w:after="0"/>
              <w:rPr>
                <w:sz w:val="18"/>
                <w:szCs w:val="18"/>
                <w:color w:val="auto"/>
              </w:rPr>
            </w:pPr>
          </w:p>
        </w:tc>
        <w:tc>
          <w:tcPr>
            <w:tcW w:w="1340" w:type="dxa"/>
            <w:vAlign w:val="bottom"/>
            <w:gridSpan w:val="2"/>
          </w:tcPr>
          <w:p>
            <w:pPr>
              <w:jc w:val="right"/>
              <w:ind w:right="41"/>
              <w:spacing w:after="0"/>
              <w:rPr>
                <w:sz w:val="20"/>
                <w:szCs w:val="20"/>
                <w:color w:val="auto"/>
              </w:rPr>
            </w:pPr>
            <w:r>
              <w:rPr>
                <w:rFonts w:ascii="Arial" w:cs="Arial" w:eastAsia="Arial" w:hAnsi="Arial"/>
                <w:sz w:val="18"/>
                <w:szCs w:val="18"/>
                <w:color w:val="auto"/>
              </w:rPr>
              <w:t>71,925,009</w:t>
            </w:r>
          </w:p>
        </w:tc>
        <w:tc>
          <w:tcPr>
            <w:tcW w:w="100" w:type="dxa"/>
            <w:vAlign w:val="bottom"/>
          </w:tcPr>
          <w:p>
            <w:pPr>
              <w:spacing w:after="0"/>
              <w:rPr>
                <w:sz w:val="18"/>
                <w:szCs w:val="18"/>
                <w:color w:val="auto"/>
              </w:rPr>
            </w:pPr>
          </w:p>
        </w:tc>
        <w:tc>
          <w:tcPr>
            <w:tcW w:w="1340" w:type="dxa"/>
            <w:vAlign w:val="bottom"/>
            <w:gridSpan w:val="2"/>
          </w:tcPr>
          <w:p>
            <w:pPr>
              <w:jc w:val="right"/>
              <w:ind w:right="41"/>
              <w:spacing w:after="0"/>
              <w:rPr>
                <w:sz w:val="20"/>
                <w:szCs w:val="20"/>
                <w:color w:val="auto"/>
              </w:rPr>
            </w:pPr>
            <w:r>
              <w:rPr>
                <w:rFonts w:ascii="Arial" w:cs="Arial" w:eastAsia="Arial" w:hAnsi="Arial"/>
                <w:sz w:val="18"/>
                <w:szCs w:val="18"/>
                <w:color w:val="auto"/>
              </w:rPr>
              <w:t>72,638,698</w:t>
            </w:r>
          </w:p>
        </w:tc>
        <w:tc>
          <w:tcPr>
            <w:tcW w:w="1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71,888,273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889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8890" cy="8255"/>
                    </a:xfrm>
                    <a:prstGeom prst="rect">
                      <a:avLst/>
                    </a:prstGeom>
                    <a:noFill/>
                  </pic:spPr>
                </pic:pic>
              </a:graphicData>
            </a:graphic>
          </wp:anchor>
        </w:drawing>
      </w:r>
    </w:p>
    <w:p>
      <w:pPr>
        <w:spacing w:after="0" w:line="20" w:lineRule="exact"/>
        <w:rPr>
          <w:sz w:val="20"/>
          <w:szCs w:val="20"/>
          <w:color w:val="auto"/>
        </w:rPr>
      </w:pPr>
    </w:p>
    <w:p>
      <w:pPr>
        <w:ind w:left="340" w:right="200" w:hanging="332"/>
        <w:spacing w:after="0"/>
        <w:tabs>
          <w:tab w:leader="none" w:pos="340" w:val="left"/>
        </w:tabs>
        <w:numPr>
          <w:ilvl w:val="0"/>
          <w:numId w:val="57"/>
        </w:numPr>
        <w:rPr>
          <w:rFonts w:ascii="Arial" w:cs="Arial" w:eastAsia="Arial" w:hAnsi="Arial"/>
          <w:sz w:val="15"/>
          <w:szCs w:val="15"/>
          <w:color w:val="auto"/>
        </w:rPr>
      </w:pPr>
      <w:r>
        <w:rPr>
          <w:rFonts w:ascii="Arial" w:cs="Arial" w:eastAsia="Arial" w:hAnsi="Arial"/>
          <w:sz w:val="18"/>
          <w:szCs w:val="18"/>
          <w:color w:val="auto"/>
        </w:rPr>
        <w:t>Reflects non-cash expenses associated with share-based compensation for equity awards issued to Directors, Management and employees of the Company. This expense reflects the awards’ fair value recognized for the portion of the equity award which is vesting over the period.</w:t>
      </w:r>
    </w:p>
    <w:p>
      <w:pPr>
        <w:spacing w:after="0" w:line="189" w:lineRule="exact"/>
        <w:rPr>
          <w:sz w:val="20"/>
          <w:szCs w:val="20"/>
          <w:color w:val="auto"/>
        </w:rPr>
      </w:pPr>
    </w:p>
    <w:p>
      <w:pPr>
        <w:ind w:left="340" w:right="180" w:hanging="332"/>
        <w:spacing w:after="0" w:line="246" w:lineRule="auto"/>
        <w:tabs>
          <w:tab w:leader="none" w:pos="340" w:val="left"/>
        </w:tabs>
        <w:numPr>
          <w:ilvl w:val="0"/>
          <w:numId w:val="58"/>
        </w:numPr>
        <w:rPr>
          <w:rFonts w:ascii="Arial" w:cs="Arial" w:eastAsia="Arial" w:hAnsi="Arial"/>
          <w:sz w:val="15"/>
          <w:szCs w:val="15"/>
          <w:color w:val="auto"/>
        </w:rPr>
      </w:pPr>
      <w:r>
        <w:rPr>
          <w:rFonts w:ascii="Arial" w:cs="Arial" w:eastAsia="Arial" w:hAnsi="Arial"/>
          <w:sz w:val="18"/>
          <w:szCs w:val="18"/>
          <w:color w:val="auto"/>
        </w:rPr>
        <w:t>Reflects foreign currency re-measurement gains and losses for the period, predominantly impacted by the change in the exchange rate between the US Dollar and Euro with the Swiss Franc.</w:t>
      </w:r>
    </w:p>
    <w:p>
      <w:pPr>
        <w:spacing w:after="0" w:line="183" w:lineRule="exact"/>
        <w:rPr>
          <w:sz w:val="20"/>
          <w:szCs w:val="20"/>
          <w:color w:val="auto"/>
        </w:rPr>
      </w:pPr>
    </w:p>
    <w:p>
      <w:pPr>
        <w:ind w:left="340" w:hanging="332"/>
        <w:spacing w:after="0"/>
        <w:tabs>
          <w:tab w:leader="none" w:pos="340" w:val="left"/>
        </w:tabs>
        <w:numPr>
          <w:ilvl w:val="0"/>
          <w:numId w:val="59"/>
        </w:numPr>
        <w:rPr>
          <w:rFonts w:ascii="Arial" w:cs="Arial" w:eastAsia="Arial" w:hAnsi="Arial"/>
          <w:sz w:val="15"/>
          <w:szCs w:val="15"/>
          <w:color w:val="auto"/>
        </w:rPr>
      </w:pPr>
      <w:r>
        <w:rPr>
          <w:rFonts w:ascii="Arial" w:cs="Arial" w:eastAsia="Arial" w:hAnsi="Arial"/>
          <w:sz w:val="18"/>
          <w:szCs w:val="18"/>
          <w:color w:val="auto"/>
        </w:rPr>
        <w:t>Reflects the change in the fair value of the derivative financial instruments associated with the convertible notes due to Investors.</w:t>
      </w:r>
    </w:p>
    <w:p>
      <w:pPr>
        <w:spacing w:after="0" w:line="198" w:lineRule="exact"/>
        <w:rPr>
          <w:sz w:val="20"/>
          <w:szCs w:val="20"/>
          <w:color w:val="auto"/>
        </w:rPr>
      </w:pPr>
    </w:p>
    <w:p>
      <w:pPr>
        <w:ind w:left="340" w:hanging="332"/>
        <w:spacing w:after="0"/>
        <w:tabs>
          <w:tab w:leader="none" w:pos="340" w:val="left"/>
        </w:tabs>
        <w:numPr>
          <w:ilvl w:val="0"/>
          <w:numId w:val="60"/>
        </w:numPr>
        <w:rPr>
          <w:rFonts w:ascii="Arial" w:cs="Arial" w:eastAsia="Arial" w:hAnsi="Arial"/>
          <w:sz w:val="15"/>
          <w:szCs w:val="15"/>
          <w:color w:val="auto"/>
        </w:rPr>
      </w:pPr>
      <w:r>
        <w:rPr>
          <w:rFonts w:ascii="Arial" w:cs="Arial" w:eastAsia="Arial" w:hAnsi="Arial"/>
          <w:sz w:val="18"/>
          <w:szCs w:val="18"/>
          <w:color w:val="auto"/>
        </w:rPr>
        <w:t>Reflects transaction costs associated with our asset acquisition for a portfolio of therapeutics targeting alpha-synuclein.</w:t>
      </w:r>
    </w:p>
    <w:p>
      <w:pPr>
        <w:spacing w:after="0" w:line="198" w:lineRule="exact"/>
        <w:rPr>
          <w:rFonts w:ascii="Arial" w:cs="Arial" w:eastAsia="Arial" w:hAnsi="Arial"/>
          <w:sz w:val="15"/>
          <w:szCs w:val="15"/>
          <w:color w:val="auto"/>
        </w:rPr>
      </w:pPr>
    </w:p>
    <w:p>
      <w:pPr>
        <w:ind w:left="340"/>
        <w:spacing w:after="0" w:line="236" w:lineRule="auto"/>
        <w:rPr>
          <w:rFonts w:ascii="Arial" w:cs="Arial" w:eastAsia="Arial" w:hAnsi="Arial"/>
          <w:sz w:val="15"/>
          <w:szCs w:val="15"/>
          <w:color w:val="auto"/>
        </w:rPr>
      </w:pPr>
      <w:r>
        <w:rPr>
          <w:rFonts w:ascii="Arial" w:cs="Arial" w:eastAsia="Arial" w:hAnsi="Arial"/>
          <w:sz w:val="18"/>
          <w:szCs w:val="18"/>
          <w:color w:val="auto"/>
        </w:rPr>
        <w:t>Adjustments for the three and nine months ended September 30, 2021, increased net loss by CHF 2.8 million and CHF 1.1 million, respectively compared with a decrease to net loss of CHF 1.4 million and CHF 3.8 million for the comparable periods in 2020, respectively. The Company recorded CHF 1.4 million and CHF 3.1 million for share-based compensation expenses, respectively, in each of these periods. There were foreign currency re-measurement gains of CHF 0.1 million and CHF 0.5 million, respectively, primarily related to movement in the USD-CHF exchange rate during the respective periods. The Company also recognized a CHF 4.4 million gain on the change in fair value of the derivative financial assets associated with the convertible notes. This gain did not arise in the comparable prior periods. Finally, the Company incurred CHF 0.3 and CHF 0.7 million in transaction costs associated with its acquisition of a portfolio of therapeutics targeting alpha-synuclein in the three and nine months ended September 30,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13232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39" w:name="page40"/>
    <w:bookmarkEnd w:id="39"/>
    <w:p>
      <w:pPr>
        <w:jc w:val="right"/>
        <w:spacing w:after="0"/>
        <w:rPr>
          <w:sz w:val="20"/>
          <w:szCs w:val="20"/>
          <w:color w:val="auto"/>
        </w:rPr>
      </w:pPr>
      <w:r>
        <w:rPr>
          <w:rFonts w:ascii="Arial" w:cs="Arial" w:eastAsia="Arial" w:hAnsi="Arial"/>
          <w:sz w:val="18"/>
          <w:szCs w:val="18"/>
          <w:b w:val="1"/>
          <w:bCs w:val="1"/>
          <w:color w:val="auto"/>
        </w:rPr>
        <w:t>Exhibit 99.4</w:t>
      </w:r>
    </w:p>
    <w:p>
      <w:pPr>
        <w:spacing w:after="0" w:line="214" w:lineRule="exact"/>
        <w:rPr>
          <w:sz w:val="20"/>
          <w:szCs w:val="20"/>
          <w:color w:val="auto"/>
        </w:rPr>
      </w:pPr>
    </w:p>
    <w:tbl>
      <w:tblPr>
        <w:tblLayout w:type="fixed"/>
        <w:tblInd w:w="10" w:type="dxa"/>
        <w:tblCellMar>
          <w:top w:w="0" w:type="dxa"/>
          <w:left w:w="0" w:type="dxa"/>
          <w:bottom w:w="0" w:type="dxa"/>
          <w:right w:w="0" w:type="dxa"/>
        </w:tblCellMar>
      </w:tblPr>
      <w:tr>
        <w:trPr>
          <w:trHeight w:val="297"/>
        </w:trPr>
        <w:tc>
          <w:tcPr>
            <w:tcW w:w="554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ARTICLES OF ASSOCIATION</w:t>
            </w:r>
          </w:p>
        </w:tc>
        <w:tc>
          <w:tcPr>
            <w:tcW w:w="220" w:type="dxa"/>
            <w:vAlign w:val="bottom"/>
            <w:tcBorders>
              <w:top w:val="single" w:sz="8" w:color="auto"/>
              <w:right w:val="single" w:sz="8" w:color="auto"/>
            </w:tcBorders>
          </w:tcPr>
          <w:p>
            <w:pPr>
              <w:spacing w:after="0"/>
              <w:rPr>
                <w:sz w:val="24"/>
                <w:szCs w:val="24"/>
                <w:color w:val="auto"/>
              </w:rPr>
            </w:pPr>
          </w:p>
        </w:tc>
        <w:tc>
          <w:tcPr>
            <w:tcW w:w="54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6"/>
              </w:rPr>
              <w:t>STATUTS</w:t>
            </w:r>
          </w:p>
        </w:tc>
      </w:tr>
      <w:tr>
        <w:trPr>
          <w:trHeight w:val="405"/>
        </w:trPr>
        <w:tc>
          <w:tcPr>
            <w:tcW w:w="55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of</w:t>
            </w:r>
          </w:p>
        </w:tc>
        <w:tc>
          <w:tcPr>
            <w:tcW w:w="220" w:type="dxa"/>
            <w:vAlign w:val="bottom"/>
            <w:tcBorders>
              <w:right w:val="single" w:sz="8" w:color="auto"/>
            </w:tcBorders>
          </w:tcPr>
          <w:p>
            <w:pPr>
              <w:spacing w:after="0"/>
              <w:rPr>
                <w:sz w:val="24"/>
                <w:szCs w:val="24"/>
                <w:color w:val="auto"/>
              </w:rPr>
            </w:pPr>
          </w:p>
        </w:tc>
        <w:tc>
          <w:tcPr>
            <w:tcW w:w="548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rPr>
              <w:t>de</w:t>
            </w:r>
          </w:p>
        </w:tc>
      </w:tr>
      <w:tr>
        <w:trPr>
          <w:trHeight w:val="369"/>
        </w:trPr>
        <w:tc>
          <w:tcPr>
            <w:tcW w:w="55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AC Immune SA</w:t>
            </w:r>
          </w:p>
        </w:tc>
        <w:tc>
          <w:tcPr>
            <w:tcW w:w="220" w:type="dxa"/>
            <w:vAlign w:val="bottom"/>
            <w:tcBorders>
              <w:right w:val="single" w:sz="8" w:color="auto"/>
            </w:tcBorders>
          </w:tcPr>
          <w:p>
            <w:pPr>
              <w:spacing w:after="0"/>
              <w:rPr>
                <w:sz w:val="24"/>
                <w:szCs w:val="24"/>
                <w:color w:val="auto"/>
              </w:rPr>
            </w:pPr>
          </w:p>
        </w:tc>
        <w:tc>
          <w:tcPr>
            <w:tcW w:w="548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AC Immune SA</w:t>
            </w:r>
          </w:p>
        </w:tc>
      </w:tr>
      <w:tr>
        <w:trPr>
          <w:trHeight w:val="203"/>
        </w:trPr>
        <w:tc>
          <w:tcPr>
            <w:tcW w:w="5540" w:type="dxa"/>
            <w:vAlign w:val="bottom"/>
            <w:tcBorders>
              <w:left w:val="single" w:sz="8" w:color="auto"/>
              <w:right w:val="single" w:sz="8" w:color="auto"/>
            </w:tcBorders>
          </w:tcPr>
          <w:p>
            <w:pPr>
              <w:jc w:val="center"/>
              <w:spacing w:after="0" w:line="202" w:lineRule="exact"/>
              <w:rPr>
                <w:sz w:val="20"/>
                <w:szCs w:val="20"/>
                <w:color w:val="auto"/>
              </w:rPr>
            </w:pPr>
            <w:r>
              <w:rPr>
                <w:rFonts w:ascii="Arial" w:cs="Arial" w:eastAsia="Arial" w:hAnsi="Arial"/>
                <w:sz w:val="18"/>
                <w:szCs w:val="18"/>
                <w:b w:val="1"/>
                <w:bCs w:val="1"/>
                <w:color w:val="auto"/>
                <w:w w:val="99"/>
              </w:rPr>
              <w:t>(AC Immune AG)</w:t>
            </w:r>
          </w:p>
        </w:tc>
        <w:tc>
          <w:tcPr>
            <w:tcW w:w="22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tcPr>
          <w:p>
            <w:pPr>
              <w:jc w:val="center"/>
              <w:spacing w:after="0" w:line="202" w:lineRule="exact"/>
              <w:rPr>
                <w:sz w:val="20"/>
                <w:szCs w:val="20"/>
                <w:color w:val="auto"/>
              </w:rPr>
            </w:pPr>
            <w:r>
              <w:rPr>
                <w:rFonts w:ascii="Arial" w:cs="Arial" w:eastAsia="Arial" w:hAnsi="Arial"/>
                <w:sz w:val="18"/>
                <w:szCs w:val="18"/>
                <w:b w:val="1"/>
                <w:bCs w:val="1"/>
                <w:color w:val="auto"/>
                <w:w w:val="99"/>
              </w:rPr>
              <w:t>(AC Immune AG)</w:t>
            </w:r>
          </w:p>
        </w:tc>
      </w:tr>
      <w:tr>
        <w:trPr>
          <w:trHeight w:val="239"/>
        </w:trPr>
        <w:tc>
          <w:tcPr>
            <w:tcW w:w="55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(AC Immune Ltd)</w:t>
            </w:r>
          </w:p>
        </w:tc>
        <w:tc>
          <w:tcPr>
            <w:tcW w:w="220" w:type="dxa"/>
            <w:vAlign w:val="bottom"/>
            <w:tcBorders>
              <w:right w:val="single" w:sz="8" w:color="auto"/>
            </w:tcBorders>
          </w:tcPr>
          <w:p>
            <w:pPr>
              <w:spacing w:after="0"/>
              <w:rPr>
                <w:sz w:val="20"/>
                <w:szCs w:val="20"/>
                <w:color w:val="auto"/>
              </w:rPr>
            </w:pPr>
          </w:p>
        </w:tc>
        <w:tc>
          <w:tcPr>
            <w:tcW w:w="548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rPr>
              <w:t>(AC Immune Ltd)</w:t>
            </w:r>
          </w:p>
        </w:tc>
      </w:tr>
      <w:tr>
        <w:trPr>
          <w:trHeight w:val="608"/>
        </w:trPr>
        <w:tc>
          <w:tcPr>
            <w:tcW w:w="55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with registered office in</w:t>
            </w:r>
          </w:p>
        </w:tc>
        <w:tc>
          <w:tcPr>
            <w:tcW w:w="220" w:type="dxa"/>
            <w:vAlign w:val="bottom"/>
            <w:tcBorders>
              <w:right w:val="single" w:sz="8" w:color="auto"/>
            </w:tcBorders>
          </w:tcPr>
          <w:p>
            <w:pPr>
              <w:spacing w:after="0"/>
              <w:rPr>
                <w:sz w:val="24"/>
                <w:szCs w:val="24"/>
                <w:color w:val="auto"/>
              </w:rPr>
            </w:pPr>
          </w:p>
        </w:tc>
        <w:tc>
          <w:tcPr>
            <w:tcW w:w="548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avec siège à</w:t>
            </w:r>
          </w:p>
        </w:tc>
      </w:tr>
      <w:tr>
        <w:trPr>
          <w:trHeight w:val="405"/>
        </w:trPr>
        <w:tc>
          <w:tcPr>
            <w:tcW w:w="55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Ecublens (VD)</w:t>
            </w:r>
          </w:p>
        </w:tc>
        <w:tc>
          <w:tcPr>
            <w:tcW w:w="220" w:type="dxa"/>
            <w:vAlign w:val="bottom"/>
            <w:tcBorders>
              <w:right w:val="single" w:sz="8" w:color="auto"/>
            </w:tcBorders>
          </w:tcPr>
          <w:p>
            <w:pPr>
              <w:spacing w:after="0"/>
              <w:rPr>
                <w:sz w:val="24"/>
                <w:szCs w:val="24"/>
                <w:color w:val="auto"/>
              </w:rPr>
            </w:pPr>
          </w:p>
        </w:tc>
        <w:tc>
          <w:tcPr>
            <w:tcW w:w="548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Ecublens (VD)</w:t>
            </w:r>
          </w:p>
        </w:tc>
      </w:tr>
      <w:tr>
        <w:trPr>
          <w:trHeight w:val="405"/>
        </w:trPr>
        <w:tc>
          <w:tcPr>
            <w:tcW w:w="554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The French version of these articles of association shall prevail.</w:t>
            </w:r>
          </w:p>
        </w:tc>
        <w:tc>
          <w:tcPr>
            <w:tcW w:w="220" w:type="dxa"/>
            <w:vAlign w:val="bottom"/>
            <w:tcBorders>
              <w:right w:val="single" w:sz="8" w:color="auto"/>
            </w:tcBorders>
          </w:tcPr>
          <w:p>
            <w:pPr>
              <w:spacing w:after="0"/>
              <w:rPr>
                <w:sz w:val="24"/>
                <w:szCs w:val="24"/>
                <w:color w:val="auto"/>
              </w:rPr>
            </w:pPr>
          </w:p>
        </w:tc>
        <w:tc>
          <w:tcPr>
            <w:tcW w:w="54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La version française de ces statuts fait foi.</w:t>
            </w:r>
          </w:p>
        </w:tc>
      </w:tr>
      <w:tr>
        <w:trPr>
          <w:trHeight w:val="54"/>
        </w:trPr>
        <w:tc>
          <w:tcPr>
            <w:tcW w:w="5540" w:type="dxa"/>
            <w:vAlign w:val="bottom"/>
            <w:tcBorders>
              <w:left w:val="single" w:sz="8" w:color="auto"/>
              <w:bottom w:val="single" w:sz="8" w:color="auto"/>
              <w:right w:val="single" w:sz="8" w:color="auto"/>
            </w:tcBorders>
          </w:tcPr>
          <w:p>
            <w:pPr>
              <w:spacing w:after="0"/>
              <w:rPr>
                <w:sz w:val="4"/>
                <w:szCs w:val="4"/>
                <w:color w:val="auto"/>
              </w:rPr>
            </w:pPr>
          </w:p>
        </w:tc>
        <w:tc>
          <w:tcPr>
            <w:tcW w:w="220" w:type="dxa"/>
            <w:vAlign w:val="bottom"/>
            <w:tcBorders>
              <w:bottom w:val="single" w:sz="8" w:color="auto"/>
              <w:right w:val="single" w:sz="8" w:color="auto"/>
            </w:tcBorders>
          </w:tcPr>
          <w:p>
            <w:pPr>
              <w:spacing w:after="0"/>
              <w:rPr>
                <w:sz w:val="4"/>
                <w:szCs w:val="4"/>
                <w:color w:val="auto"/>
              </w:rPr>
            </w:pPr>
          </w:p>
        </w:tc>
        <w:tc>
          <w:tcPr>
            <w:tcW w:w="5480" w:type="dxa"/>
            <w:vAlign w:val="bottom"/>
            <w:tcBorders>
              <w:bottom w:val="single" w:sz="8" w:color="auto"/>
              <w:right w:val="single" w:sz="8" w:color="auto"/>
            </w:tcBorders>
          </w:tcPr>
          <w:p>
            <w:pPr>
              <w:spacing w:after="0"/>
              <w:rPr>
                <w:sz w:val="4"/>
                <w:szCs w:val="4"/>
                <w:color w:val="auto"/>
              </w:rPr>
            </w:pPr>
          </w:p>
        </w:tc>
      </w:tr>
      <w:tr>
        <w:trPr>
          <w:trHeight w:val="241"/>
        </w:trPr>
        <w:tc>
          <w:tcPr>
            <w:tcW w:w="554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18"/>
                <w:szCs w:val="18"/>
                <w:b w:val="1"/>
                <w:bCs w:val="1"/>
                <w:color w:val="auto"/>
              </w:rPr>
              <w:t>I. CORPORATE NAME, PRINCIPAL OFFICE, DURATION AND</w:t>
            </w:r>
          </w:p>
        </w:tc>
        <w:tc>
          <w:tcPr>
            <w:tcW w:w="220" w:type="dxa"/>
            <w:vAlign w:val="bottom"/>
            <w:tcBorders>
              <w:right w:val="single" w:sz="8" w:color="auto"/>
            </w:tcBorders>
          </w:tcPr>
          <w:p>
            <w:pPr>
              <w:spacing w:after="0"/>
              <w:rPr>
                <w:sz w:val="20"/>
                <w:szCs w:val="20"/>
                <w:color w:val="auto"/>
              </w:rPr>
            </w:pPr>
          </w:p>
        </w:tc>
        <w:tc>
          <w:tcPr>
            <w:tcW w:w="5480" w:type="dxa"/>
            <w:vAlign w:val="bottom"/>
            <w:tcBorders>
              <w:right w:val="single" w:sz="8" w:color="auto"/>
            </w:tcBorders>
          </w:tcPr>
          <w:p>
            <w:pPr>
              <w:ind w:left="40"/>
              <w:spacing w:after="0"/>
              <w:rPr>
                <w:sz w:val="20"/>
                <w:szCs w:val="20"/>
                <w:color w:val="auto"/>
              </w:rPr>
            </w:pPr>
            <w:r>
              <w:rPr>
                <w:rFonts w:ascii="Arial" w:cs="Arial" w:eastAsia="Arial" w:hAnsi="Arial"/>
                <w:sz w:val="18"/>
                <w:szCs w:val="18"/>
                <w:b w:val="1"/>
                <w:bCs w:val="1"/>
                <w:color w:val="auto"/>
              </w:rPr>
              <w:t>I. RAISON OCIALE, SIÈGE, DURÉE ET BUT DE LA SOCIÉTÉ</w:t>
            </w:r>
          </w:p>
        </w:tc>
      </w:tr>
      <w:tr>
        <w:trPr>
          <w:trHeight w:val="239"/>
        </w:trPr>
        <w:tc>
          <w:tcPr>
            <w:tcW w:w="554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b w:val="1"/>
                <w:bCs w:val="1"/>
                <w:color w:val="auto"/>
              </w:rPr>
              <w:t>PURPOSE OF THE COMPANY</w:t>
            </w:r>
          </w:p>
        </w:tc>
        <w:tc>
          <w:tcPr>
            <w:tcW w:w="220" w:type="dxa"/>
            <w:vAlign w:val="bottom"/>
            <w:tcBorders>
              <w:right w:val="single" w:sz="8" w:color="auto"/>
            </w:tcBorders>
          </w:tcPr>
          <w:p>
            <w:pPr>
              <w:spacing w:after="0"/>
              <w:rPr>
                <w:sz w:val="20"/>
                <w:szCs w:val="20"/>
                <w:color w:val="auto"/>
              </w:rPr>
            </w:pPr>
          </w:p>
        </w:tc>
        <w:tc>
          <w:tcPr>
            <w:tcW w:w="5480" w:type="dxa"/>
            <w:vAlign w:val="bottom"/>
            <w:tcBorders>
              <w:right w:val="single" w:sz="8" w:color="auto"/>
            </w:tcBorders>
          </w:tcPr>
          <w:p>
            <w:pPr>
              <w:spacing w:after="0"/>
              <w:rPr>
                <w:sz w:val="20"/>
                <w:szCs w:val="20"/>
                <w:color w:val="auto"/>
              </w:rPr>
            </w:pPr>
          </w:p>
        </w:tc>
      </w:tr>
      <w:tr>
        <w:trPr>
          <w:trHeight w:val="54"/>
        </w:trPr>
        <w:tc>
          <w:tcPr>
            <w:tcW w:w="5540" w:type="dxa"/>
            <w:vAlign w:val="bottom"/>
            <w:tcBorders>
              <w:left w:val="single" w:sz="8" w:color="auto"/>
              <w:bottom w:val="single" w:sz="8" w:color="auto"/>
              <w:right w:val="single" w:sz="8" w:color="auto"/>
            </w:tcBorders>
          </w:tcPr>
          <w:p>
            <w:pPr>
              <w:spacing w:after="0"/>
              <w:rPr>
                <w:sz w:val="4"/>
                <w:szCs w:val="4"/>
                <w:color w:val="auto"/>
              </w:rPr>
            </w:pPr>
          </w:p>
        </w:tc>
        <w:tc>
          <w:tcPr>
            <w:tcW w:w="220" w:type="dxa"/>
            <w:vAlign w:val="bottom"/>
            <w:tcBorders>
              <w:bottom w:val="single" w:sz="8" w:color="auto"/>
              <w:right w:val="single" w:sz="8" w:color="auto"/>
            </w:tcBorders>
          </w:tcPr>
          <w:p>
            <w:pPr>
              <w:spacing w:after="0"/>
              <w:rPr>
                <w:sz w:val="4"/>
                <w:szCs w:val="4"/>
                <w:color w:val="auto"/>
              </w:rPr>
            </w:pPr>
          </w:p>
        </w:tc>
        <w:tc>
          <w:tcPr>
            <w:tcW w:w="5480" w:type="dxa"/>
            <w:vAlign w:val="bottom"/>
            <w:tcBorders>
              <w:bottom w:val="single" w:sz="8" w:color="auto"/>
              <w:right w:val="single" w:sz="8" w:color="auto"/>
            </w:tcBorders>
          </w:tcPr>
          <w:p>
            <w:pPr>
              <w:spacing w:after="0"/>
              <w:rPr>
                <w:sz w:val="4"/>
                <w:szCs w:val="4"/>
                <w:color w:val="auto"/>
              </w:rPr>
            </w:pPr>
          </w:p>
        </w:tc>
      </w:tr>
      <w:tr>
        <w:trPr>
          <w:trHeight w:val="277"/>
        </w:trPr>
        <w:tc>
          <w:tcPr>
            <w:tcW w:w="554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b w:val="1"/>
                <w:bCs w:val="1"/>
                <w:color w:val="auto"/>
              </w:rPr>
              <w:t>Art. 1 Corporate Name and Duration</w:t>
            </w:r>
          </w:p>
        </w:tc>
        <w:tc>
          <w:tcPr>
            <w:tcW w:w="220" w:type="dxa"/>
            <w:vAlign w:val="bottom"/>
            <w:tcBorders>
              <w:right w:val="single" w:sz="8" w:color="auto"/>
            </w:tcBorders>
          </w:tcPr>
          <w:p>
            <w:pPr>
              <w:spacing w:after="0"/>
              <w:rPr>
                <w:sz w:val="24"/>
                <w:szCs w:val="24"/>
                <w:color w:val="auto"/>
              </w:rPr>
            </w:pPr>
          </w:p>
        </w:tc>
        <w:tc>
          <w:tcPr>
            <w:tcW w:w="5480" w:type="dxa"/>
            <w:vAlign w:val="bottom"/>
            <w:tcBorders>
              <w:right w:val="single" w:sz="8" w:color="auto"/>
            </w:tcBorders>
          </w:tcPr>
          <w:p>
            <w:pPr>
              <w:ind w:left="40"/>
              <w:spacing w:after="0"/>
              <w:rPr>
                <w:sz w:val="20"/>
                <w:szCs w:val="20"/>
                <w:color w:val="auto"/>
              </w:rPr>
            </w:pPr>
            <w:r>
              <w:rPr>
                <w:rFonts w:ascii="Arial" w:cs="Arial" w:eastAsia="Arial" w:hAnsi="Arial"/>
                <w:sz w:val="18"/>
                <w:szCs w:val="18"/>
                <w:b w:val="1"/>
                <w:bCs w:val="1"/>
                <w:color w:val="auto"/>
              </w:rPr>
              <w:t>Art. 1 Raison sociale et durée</w:t>
            </w:r>
          </w:p>
        </w:tc>
      </w:tr>
      <w:tr>
        <w:trPr>
          <w:trHeight w:val="405"/>
        </w:trPr>
        <w:tc>
          <w:tcPr>
            <w:tcW w:w="554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Under the name</w:t>
            </w:r>
          </w:p>
        </w:tc>
        <w:tc>
          <w:tcPr>
            <w:tcW w:w="220" w:type="dxa"/>
            <w:vAlign w:val="bottom"/>
            <w:tcBorders>
              <w:right w:val="single" w:sz="8" w:color="auto"/>
            </w:tcBorders>
          </w:tcPr>
          <w:p>
            <w:pPr>
              <w:spacing w:after="0"/>
              <w:rPr>
                <w:sz w:val="24"/>
                <w:szCs w:val="24"/>
                <w:color w:val="auto"/>
              </w:rPr>
            </w:pPr>
          </w:p>
        </w:tc>
        <w:tc>
          <w:tcPr>
            <w:tcW w:w="548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Sous la raison sociale</w:t>
            </w:r>
          </w:p>
        </w:tc>
      </w:tr>
      <w:tr>
        <w:trPr>
          <w:trHeight w:val="391"/>
        </w:trPr>
        <w:tc>
          <w:tcPr>
            <w:tcW w:w="5540" w:type="dxa"/>
            <w:vAlign w:val="bottom"/>
            <w:tcBorders>
              <w:left w:val="single" w:sz="8" w:color="auto"/>
              <w:right w:val="single" w:sz="8" w:color="auto"/>
            </w:tcBorders>
          </w:tcPr>
          <w:p>
            <w:pPr>
              <w:ind w:left="2140"/>
              <w:spacing w:after="0"/>
              <w:rPr>
                <w:sz w:val="20"/>
                <w:szCs w:val="20"/>
                <w:color w:val="auto"/>
              </w:rPr>
            </w:pPr>
            <w:r>
              <w:rPr>
                <w:rFonts w:ascii="Arial" w:cs="Arial" w:eastAsia="Arial" w:hAnsi="Arial"/>
                <w:sz w:val="18"/>
                <w:szCs w:val="18"/>
                <w:color w:val="auto"/>
              </w:rPr>
              <w:t>AC Immune SA</w:t>
            </w:r>
          </w:p>
        </w:tc>
        <w:tc>
          <w:tcPr>
            <w:tcW w:w="220" w:type="dxa"/>
            <w:vAlign w:val="bottom"/>
            <w:tcBorders>
              <w:right w:val="single" w:sz="8" w:color="auto"/>
            </w:tcBorders>
          </w:tcPr>
          <w:p>
            <w:pPr>
              <w:spacing w:after="0"/>
              <w:rPr>
                <w:sz w:val="24"/>
                <w:szCs w:val="24"/>
                <w:color w:val="auto"/>
              </w:rPr>
            </w:pPr>
          </w:p>
        </w:tc>
        <w:tc>
          <w:tcPr>
            <w:tcW w:w="5480" w:type="dxa"/>
            <w:vAlign w:val="bottom"/>
            <w:tcBorders>
              <w:right w:val="single" w:sz="8" w:color="auto"/>
            </w:tcBorders>
          </w:tcPr>
          <w:p>
            <w:pPr>
              <w:ind w:left="2100"/>
              <w:spacing w:after="0"/>
              <w:rPr>
                <w:sz w:val="20"/>
                <w:szCs w:val="20"/>
                <w:color w:val="auto"/>
              </w:rPr>
            </w:pPr>
            <w:r>
              <w:rPr>
                <w:rFonts w:ascii="Arial" w:cs="Arial" w:eastAsia="Arial" w:hAnsi="Arial"/>
                <w:sz w:val="18"/>
                <w:szCs w:val="18"/>
                <w:color w:val="auto"/>
              </w:rPr>
              <w:t>AC Immune SA</w:t>
            </w:r>
          </w:p>
        </w:tc>
      </w:tr>
      <w:tr>
        <w:trPr>
          <w:trHeight w:val="203"/>
        </w:trPr>
        <w:tc>
          <w:tcPr>
            <w:tcW w:w="5540" w:type="dxa"/>
            <w:vAlign w:val="bottom"/>
            <w:tcBorders>
              <w:left w:val="single" w:sz="8" w:color="auto"/>
              <w:right w:val="single" w:sz="8" w:color="auto"/>
            </w:tcBorders>
          </w:tcPr>
          <w:p>
            <w:pPr>
              <w:ind w:left="2080"/>
              <w:spacing w:after="0" w:line="202" w:lineRule="exact"/>
              <w:rPr>
                <w:sz w:val="20"/>
                <w:szCs w:val="20"/>
                <w:color w:val="auto"/>
              </w:rPr>
            </w:pPr>
            <w:r>
              <w:rPr>
                <w:rFonts w:ascii="Arial" w:cs="Arial" w:eastAsia="Arial" w:hAnsi="Arial"/>
                <w:sz w:val="18"/>
                <w:szCs w:val="18"/>
                <w:color w:val="auto"/>
              </w:rPr>
              <w:t>(AC Immune AG)</w:t>
            </w:r>
          </w:p>
        </w:tc>
        <w:tc>
          <w:tcPr>
            <w:tcW w:w="22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tcPr>
          <w:p>
            <w:pPr>
              <w:ind w:left="2020"/>
              <w:spacing w:after="0" w:line="202" w:lineRule="exact"/>
              <w:rPr>
                <w:sz w:val="20"/>
                <w:szCs w:val="20"/>
                <w:color w:val="auto"/>
              </w:rPr>
            </w:pPr>
            <w:r>
              <w:rPr>
                <w:rFonts w:ascii="Arial" w:cs="Arial" w:eastAsia="Arial" w:hAnsi="Arial"/>
                <w:sz w:val="18"/>
                <w:szCs w:val="18"/>
                <w:color w:val="auto"/>
              </w:rPr>
              <w:t>(AC Immune AG)</w:t>
            </w:r>
          </w:p>
        </w:tc>
      </w:tr>
      <w:tr>
        <w:trPr>
          <w:trHeight w:val="217"/>
        </w:trPr>
        <w:tc>
          <w:tcPr>
            <w:tcW w:w="5540" w:type="dxa"/>
            <w:vAlign w:val="bottom"/>
            <w:tcBorders>
              <w:left w:val="single" w:sz="8" w:color="auto"/>
              <w:right w:val="single" w:sz="8" w:color="auto"/>
            </w:tcBorders>
          </w:tcPr>
          <w:p>
            <w:pPr>
              <w:ind w:left="2080"/>
              <w:spacing w:after="0"/>
              <w:rPr>
                <w:sz w:val="20"/>
                <w:szCs w:val="20"/>
                <w:color w:val="auto"/>
              </w:rPr>
            </w:pPr>
            <w:r>
              <w:rPr>
                <w:rFonts w:ascii="Arial" w:cs="Arial" w:eastAsia="Arial" w:hAnsi="Arial"/>
                <w:sz w:val="18"/>
                <w:szCs w:val="18"/>
                <w:color w:val="auto"/>
              </w:rPr>
              <w:t>(AC Immune Ltd)</w:t>
            </w:r>
          </w:p>
        </w:tc>
        <w:tc>
          <w:tcPr>
            <w:tcW w:w="220" w:type="dxa"/>
            <w:vAlign w:val="bottom"/>
            <w:tcBorders>
              <w:right w:val="single" w:sz="8" w:color="auto"/>
            </w:tcBorders>
          </w:tcPr>
          <w:p>
            <w:pPr>
              <w:spacing w:after="0"/>
              <w:rPr>
                <w:sz w:val="18"/>
                <w:szCs w:val="18"/>
                <w:color w:val="auto"/>
              </w:rPr>
            </w:pPr>
          </w:p>
        </w:tc>
        <w:tc>
          <w:tcPr>
            <w:tcW w:w="5480" w:type="dxa"/>
            <w:vAlign w:val="bottom"/>
            <w:tcBorders>
              <w:right w:val="single" w:sz="8" w:color="auto"/>
            </w:tcBorders>
          </w:tcPr>
          <w:p>
            <w:pPr>
              <w:ind w:left="2040"/>
              <w:spacing w:after="0"/>
              <w:rPr>
                <w:sz w:val="20"/>
                <w:szCs w:val="20"/>
                <w:color w:val="auto"/>
              </w:rPr>
            </w:pPr>
            <w:r>
              <w:rPr>
                <w:rFonts w:ascii="Arial" w:cs="Arial" w:eastAsia="Arial" w:hAnsi="Arial"/>
                <w:sz w:val="18"/>
                <w:szCs w:val="18"/>
                <w:color w:val="auto"/>
              </w:rPr>
              <w:t>(AC Immune Ltd)</w:t>
            </w:r>
          </w:p>
        </w:tc>
      </w:tr>
      <w:tr>
        <w:trPr>
          <w:trHeight w:val="373"/>
        </w:trPr>
        <w:tc>
          <w:tcPr>
            <w:tcW w:w="554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there exists a Company pursuant to the provisions of Articles 620</w:t>
            </w:r>
          </w:p>
        </w:tc>
        <w:tc>
          <w:tcPr>
            <w:tcW w:w="220" w:type="dxa"/>
            <w:vAlign w:val="bottom"/>
            <w:tcBorders>
              <w:right w:val="single" w:sz="8" w:color="auto"/>
            </w:tcBorders>
          </w:tcPr>
          <w:p>
            <w:pPr>
              <w:spacing w:after="0"/>
              <w:rPr>
                <w:sz w:val="24"/>
                <w:szCs w:val="24"/>
                <w:color w:val="auto"/>
              </w:rPr>
            </w:pPr>
          </w:p>
        </w:tc>
        <w:tc>
          <w:tcPr>
            <w:tcW w:w="548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il existe une société conformément aux articles 620 ss. du Code</w:t>
            </w:r>
          </w:p>
        </w:tc>
      </w:tr>
      <w:tr>
        <w:trPr>
          <w:trHeight w:val="221"/>
        </w:trPr>
        <w:tc>
          <w:tcPr>
            <w:tcW w:w="554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i w:val="1"/>
                <w:iCs w:val="1"/>
                <w:color w:val="auto"/>
              </w:rPr>
              <w:t xml:space="preserve">et seq. </w:t>
            </w:r>
            <w:r>
              <w:rPr>
                <w:rFonts w:ascii="Arial" w:cs="Arial" w:eastAsia="Arial" w:hAnsi="Arial"/>
                <w:sz w:val="18"/>
                <w:szCs w:val="18"/>
                <w:color w:val="auto"/>
              </w:rPr>
              <w:t>of the Swiss Code of Obligations (CO) with registered office</w:t>
            </w:r>
          </w:p>
        </w:tc>
        <w:tc>
          <w:tcPr>
            <w:tcW w:w="220" w:type="dxa"/>
            <w:vAlign w:val="bottom"/>
            <w:tcBorders>
              <w:right w:val="single" w:sz="8" w:color="auto"/>
            </w:tcBorders>
          </w:tcPr>
          <w:p>
            <w:pPr>
              <w:spacing w:after="0"/>
              <w:rPr>
                <w:sz w:val="19"/>
                <w:szCs w:val="19"/>
                <w:color w:val="auto"/>
              </w:rPr>
            </w:pPr>
          </w:p>
        </w:tc>
        <w:tc>
          <w:tcPr>
            <w:tcW w:w="548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des Obligations suisse (CO) ayant son siège à Ecublens (VD). La</w:t>
            </w:r>
          </w:p>
        </w:tc>
      </w:tr>
      <w:tr>
        <w:trPr>
          <w:trHeight w:val="217"/>
        </w:trPr>
        <w:tc>
          <w:tcPr>
            <w:tcW w:w="554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in Ecublens (VD). The duration of the Company is unlimited.</w:t>
            </w:r>
          </w:p>
        </w:tc>
        <w:tc>
          <w:tcPr>
            <w:tcW w:w="220" w:type="dxa"/>
            <w:vAlign w:val="bottom"/>
            <w:tcBorders>
              <w:right w:val="single" w:sz="8" w:color="auto"/>
            </w:tcBorders>
          </w:tcPr>
          <w:p>
            <w:pPr>
              <w:spacing w:after="0"/>
              <w:rPr>
                <w:sz w:val="18"/>
                <w:szCs w:val="18"/>
                <w:color w:val="auto"/>
              </w:rPr>
            </w:pPr>
          </w:p>
        </w:tc>
        <w:tc>
          <w:tcPr>
            <w:tcW w:w="548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durée de la société est illimitée.</w:t>
            </w:r>
          </w:p>
        </w:tc>
      </w:tr>
      <w:tr>
        <w:trPr>
          <w:trHeight w:val="54"/>
        </w:trPr>
        <w:tc>
          <w:tcPr>
            <w:tcW w:w="5540" w:type="dxa"/>
            <w:vAlign w:val="bottom"/>
            <w:tcBorders>
              <w:left w:val="single" w:sz="8" w:color="auto"/>
              <w:bottom w:val="single" w:sz="8" w:color="auto"/>
              <w:right w:val="single" w:sz="8" w:color="auto"/>
            </w:tcBorders>
          </w:tcPr>
          <w:p>
            <w:pPr>
              <w:spacing w:after="0"/>
              <w:rPr>
                <w:sz w:val="4"/>
                <w:szCs w:val="4"/>
                <w:color w:val="auto"/>
              </w:rPr>
            </w:pPr>
          </w:p>
        </w:tc>
        <w:tc>
          <w:tcPr>
            <w:tcW w:w="220" w:type="dxa"/>
            <w:vAlign w:val="bottom"/>
            <w:tcBorders>
              <w:bottom w:val="single" w:sz="8" w:color="auto"/>
              <w:right w:val="single" w:sz="8" w:color="auto"/>
            </w:tcBorders>
          </w:tcPr>
          <w:p>
            <w:pPr>
              <w:spacing w:after="0"/>
              <w:rPr>
                <w:sz w:val="4"/>
                <w:szCs w:val="4"/>
                <w:color w:val="auto"/>
              </w:rPr>
            </w:pPr>
          </w:p>
        </w:tc>
        <w:tc>
          <w:tcPr>
            <w:tcW w:w="5480" w:type="dxa"/>
            <w:vAlign w:val="bottom"/>
            <w:tcBorders>
              <w:bottom w:val="single" w:sz="8" w:color="auto"/>
              <w:right w:val="single" w:sz="8" w:color="auto"/>
            </w:tcBorders>
          </w:tcPr>
          <w:p>
            <w:pPr>
              <w:spacing w:after="0"/>
              <w:rPr>
                <w:sz w:val="4"/>
                <w:szCs w:val="4"/>
                <w:color w:val="auto"/>
              </w:rPr>
            </w:pPr>
          </w:p>
        </w:tc>
      </w:tr>
      <w:tr>
        <w:trPr>
          <w:trHeight w:val="277"/>
        </w:trPr>
        <w:tc>
          <w:tcPr>
            <w:tcW w:w="554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b w:val="1"/>
                <w:bCs w:val="1"/>
                <w:color w:val="auto"/>
              </w:rPr>
              <w:t>Art. 2 Purpose</w:t>
            </w:r>
          </w:p>
        </w:tc>
        <w:tc>
          <w:tcPr>
            <w:tcW w:w="220" w:type="dxa"/>
            <w:vAlign w:val="bottom"/>
            <w:tcBorders>
              <w:right w:val="single" w:sz="8" w:color="auto"/>
            </w:tcBorders>
          </w:tcPr>
          <w:p>
            <w:pPr>
              <w:spacing w:after="0"/>
              <w:rPr>
                <w:sz w:val="24"/>
                <w:szCs w:val="24"/>
                <w:color w:val="auto"/>
              </w:rPr>
            </w:pPr>
          </w:p>
        </w:tc>
        <w:tc>
          <w:tcPr>
            <w:tcW w:w="5480" w:type="dxa"/>
            <w:vAlign w:val="bottom"/>
            <w:tcBorders>
              <w:right w:val="single" w:sz="8" w:color="auto"/>
            </w:tcBorders>
          </w:tcPr>
          <w:p>
            <w:pPr>
              <w:ind w:left="40"/>
              <w:spacing w:after="0"/>
              <w:rPr>
                <w:sz w:val="20"/>
                <w:szCs w:val="20"/>
                <w:color w:val="auto"/>
              </w:rPr>
            </w:pPr>
            <w:r>
              <w:rPr>
                <w:rFonts w:ascii="Arial" w:cs="Arial" w:eastAsia="Arial" w:hAnsi="Arial"/>
                <w:sz w:val="18"/>
                <w:szCs w:val="18"/>
                <w:b w:val="1"/>
                <w:bCs w:val="1"/>
                <w:color w:val="auto"/>
              </w:rPr>
              <w:t>Art. 2 But</w:t>
            </w:r>
          </w:p>
        </w:tc>
      </w:tr>
      <w:tr>
        <w:trPr>
          <w:trHeight w:val="391"/>
        </w:trPr>
        <w:tc>
          <w:tcPr>
            <w:tcW w:w="554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The purpose of the Company is the research, study, development,</w:t>
            </w:r>
          </w:p>
        </w:tc>
        <w:tc>
          <w:tcPr>
            <w:tcW w:w="220" w:type="dxa"/>
            <w:vAlign w:val="bottom"/>
            <w:tcBorders>
              <w:right w:val="single" w:sz="8" w:color="auto"/>
            </w:tcBorders>
          </w:tcPr>
          <w:p>
            <w:pPr>
              <w:spacing w:after="0"/>
              <w:rPr>
                <w:sz w:val="24"/>
                <w:szCs w:val="24"/>
                <w:color w:val="auto"/>
              </w:rPr>
            </w:pPr>
          </w:p>
        </w:tc>
        <w:tc>
          <w:tcPr>
            <w:tcW w:w="548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Le  but  de  la  société  est  la  recherche,  les  études,  le</w:t>
            </w:r>
          </w:p>
        </w:tc>
      </w:tr>
      <w:tr>
        <w:trPr>
          <w:trHeight w:val="203"/>
        </w:trPr>
        <w:tc>
          <w:tcPr>
            <w:tcW w:w="5540" w:type="dxa"/>
            <w:vAlign w:val="bottom"/>
            <w:tcBorders>
              <w:left w:val="single" w:sz="8" w:color="auto"/>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manufacture,  promotion,  sale  and  marketing  of  products  and</w:t>
            </w:r>
          </w:p>
        </w:tc>
        <w:tc>
          <w:tcPr>
            <w:tcW w:w="22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tcPr>
          <w:p>
            <w:pPr>
              <w:ind w:left="40"/>
              <w:spacing w:after="0" w:line="202" w:lineRule="exact"/>
              <w:rPr>
                <w:sz w:val="20"/>
                <w:szCs w:val="20"/>
                <w:color w:val="auto"/>
              </w:rPr>
            </w:pPr>
            <w:r>
              <w:rPr>
                <w:rFonts w:ascii="Arial" w:cs="Arial" w:eastAsia="Arial" w:hAnsi="Arial"/>
                <w:sz w:val="18"/>
                <w:szCs w:val="18"/>
                <w:color w:val="auto"/>
              </w:rPr>
              <w:t>développement,  la  fabrication,  la  promotion,  la  vente  et  le</w:t>
            </w:r>
          </w:p>
        </w:tc>
      </w:tr>
      <w:tr>
        <w:trPr>
          <w:trHeight w:val="203"/>
        </w:trPr>
        <w:tc>
          <w:tcPr>
            <w:tcW w:w="5540" w:type="dxa"/>
            <w:vAlign w:val="bottom"/>
            <w:tcBorders>
              <w:left w:val="single" w:sz="8" w:color="auto"/>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substances within the pharmaceutical and nutrition industry as well</w:t>
            </w:r>
          </w:p>
        </w:tc>
        <w:tc>
          <w:tcPr>
            <w:tcW w:w="22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tcPr>
          <w:p>
            <w:pPr>
              <w:ind w:left="40"/>
              <w:spacing w:after="0" w:line="202" w:lineRule="exact"/>
              <w:rPr>
                <w:sz w:val="20"/>
                <w:szCs w:val="20"/>
                <w:color w:val="auto"/>
              </w:rPr>
            </w:pPr>
            <w:r>
              <w:rPr>
                <w:rFonts w:ascii="Arial" w:cs="Arial" w:eastAsia="Arial" w:hAnsi="Arial"/>
                <w:sz w:val="18"/>
                <w:szCs w:val="18"/>
                <w:color w:val="auto"/>
              </w:rPr>
              <w:t>marketing des produits et des substances au sein de l'industrie</w:t>
            </w:r>
          </w:p>
        </w:tc>
      </w:tr>
      <w:tr>
        <w:trPr>
          <w:trHeight w:val="203"/>
        </w:trPr>
        <w:tc>
          <w:tcPr>
            <w:tcW w:w="5540" w:type="dxa"/>
            <w:vAlign w:val="bottom"/>
            <w:tcBorders>
              <w:left w:val="single" w:sz="8" w:color="auto"/>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as the purchase, sale and exploitation of patents and licenses in</w:t>
            </w:r>
          </w:p>
        </w:tc>
        <w:tc>
          <w:tcPr>
            <w:tcW w:w="22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tcPr>
          <w:p>
            <w:pPr>
              <w:ind w:left="40"/>
              <w:spacing w:after="0" w:line="202" w:lineRule="exact"/>
              <w:rPr>
                <w:sz w:val="20"/>
                <w:szCs w:val="20"/>
                <w:color w:val="auto"/>
              </w:rPr>
            </w:pPr>
            <w:r>
              <w:rPr>
                <w:rFonts w:ascii="Arial" w:cs="Arial" w:eastAsia="Arial" w:hAnsi="Arial"/>
                <w:sz w:val="18"/>
                <w:szCs w:val="18"/>
                <w:color w:val="auto"/>
              </w:rPr>
              <w:t>pharmaceutique et de la nutrition ainsi que l'achat, la vente et</w:t>
            </w:r>
          </w:p>
        </w:tc>
      </w:tr>
      <w:tr>
        <w:trPr>
          <w:trHeight w:val="217"/>
        </w:trPr>
        <w:tc>
          <w:tcPr>
            <w:tcW w:w="554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this field.</w:t>
            </w:r>
          </w:p>
        </w:tc>
        <w:tc>
          <w:tcPr>
            <w:tcW w:w="220" w:type="dxa"/>
            <w:vAlign w:val="bottom"/>
            <w:tcBorders>
              <w:right w:val="single" w:sz="8" w:color="auto"/>
            </w:tcBorders>
          </w:tcPr>
          <w:p>
            <w:pPr>
              <w:spacing w:after="0"/>
              <w:rPr>
                <w:sz w:val="18"/>
                <w:szCs w:val="18"/>
                <w:color w:val="auto"/>
              </w:rPr>
            </w:pPr>
          </w:p>
        </w:tc>
        <w:tc>
          <w:tcPr>
            <w:tcW w:w="548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l'exploitation de brevets et de licences dans ce domaine.</w:t>
            </w:r>
          </w:p>
        </w:tc>
      </w:tr>
      <w:tr>
        <w:trPr>
          <w:trHeight w:val="54"/>
        </w:trPr>
        <w:tc>
          <w:tcPr>
            <w:tcW w:w="5540" w:type="dxa"/>
            <w:vAlign w:val="bottom"/>
            <w:tcBorders>
              <w:left w:val="single" w:sz="8" w:color="auto"/>
              <w:bottom w:val="single" w:sz="8" w:color="auto"/>
              <w:right w:val="single" w:sz="8" w:color="auto"/>
            </w:tcBorders>
          </w:tcPr>
          <w:p>
            <w:pPr>
              <w:spacing w:after="0"/>
              <w:rPr>
                <w:sz w:val="4"/>
                <w:szCs w:val="4"/>
                <w:color w:val="auto"/>
              </w:rPr>
            </w:pPr>
          </w:p>
        </w:tc>
        <w:tc>
          <w:tcPr>
            <w:tcW w:w="220" w:type="dxa"/>
            <w:vAlign w:val="bottom"/>
            <w:tcBorders>
              <w:bottom w:val="single" w:sz="8" w:color="auto"/>
              <w:right w:val="single" w:sz="8" w:color="auto"/>
            </w:tcBorders>
          </w:tcPr>
          <w:p>
            <w:pPr>
              <w:spacing w:after="0"/>
              <w:rPr>
                <w:sz w:val="4"/>
                <w:szCs w:val="4"/>
                <w:color w:val="auto"/>
              </w:rPr>
            </w:pPr>
          </w:p>
        </w:tc>
        <w:tc>
          <w:tcPr>
            <w:tcW w:w="5480" w:type="dxa"/>
            <w:vAlign w:val="bottom"/>
            <w:tcBorders>
              <w:bottom w:val="single" w:sz="8" w:color="auto"/>
              <w:right w:val="single" w:sz="8" w:color="auto"/>
            </w:tcBorders>
          </w:tcPr>
          <w:p>
            <w:pPr>
              <w:spacing w:after="0"/>
              <w:rPr>
                <w:sz w:val="4"/>
                <w:szCs w:val="4"/>
                <w:color w:val="auto"/>
              </w:rPr>
            </w:pPr>
          </w:p>
        </w:tc>
      </w:tr>
      <w:tr>
        <w:trPr>
          <w:trHeight w:val="263"/>
        </w:trPr>
        <w:tc>
          <w:tcPr>
            <w:tcW w:w="554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The Company may engage in any activities which are apt to favor</w:t>
            </w:r>
          </w:p>
        </w:tc>
        <w:tc>
          <w:tcPr>
            <w:tcW w:w="220" w:type="dxa"/>
            <w:vAlign w:val="bottom"/>
            <w:tcBorders>
              <w:right w:val="single" w:sz="8" w:color="auto"/>
            </w:tcBorders>
          </w:tcPr>
          <w:p>
            <w:pPr>
              <w:spacing w:after="0"/>
              <w:rPr>
                <w:sz w:val="22"/>
                <w:szCs w:val="22"/>
                <w:color w:val="auto"/>
              </w:rPr>
            </w:pPr>
          </w:p>
        </w:tc>
        <w:tc>
          <w:tcPr>
            <w:tcW w:w="548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La société peut se livrer à des activités qui sont de nature à</w:t>
            </w:r>
          </w:p>
        </w:tc>
      </w:tr>
      <w:tr>
        <w:trPr>
          <w:trHeight w:val="203"/>
        </w:trPr>
        <w:tc>
          <w:tcPr>
            <w:tcW w:w="5540" w:type="dxa"/>
            <w:vAlign w:val="bottom"/>
            <w:tcBorders>
              <w:left w:val="single" w:sz="8" w:color="auto"/>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the purpose of the Company directly or indirectly. The Company</w:t>
            </w:r>
          </w:p>
        </w:tc>
        <w:tc>
          <w:tcPr>
            <w:tcW w:w="22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tcPr>
          <w:p>
            <w:pPr>
              <w:ind w:left="40"/>
              <w:spacing w:after="0" w:line="202" w:lineRule="exact"/>
              <w:rPr>
                <w:sz w:val="20"/>
                <w:szCs w:val="20"/>
                <w:color w:val="auto"/>
              </w:rPr>
            </w:pPr>
            <w:r>
              <w:rPr>
                <w:rFonts w:ascii="Arial" w:cs="Arial" w:eastAsia="Arial" w:hAnsi="Arial"/>
                <w:sz w:val="18"/>
                <w:szCs w:val="18"/>
                <w:color w:val="auto"/>
              </w:rPr>
              <w:t>favoriser directement ou indirectement le but de la société. La</w:t>
            </w:r>
          </w:p>
        </w:tc>
      </w:tr>
      <w:tr>
        <w:trPr>
          <w:trHeight w:val="217"/>
        </w:trPr>
        <w:tc>
          <w:tcPr>
            <w:tcW w:w="554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may also acquire and sell real estate.</w:t>
            </w:r>
          </w:p>
        </w:tc>
        <w:tc>
          <w:tcPr>
            <w:tcW w:w="220" w:type="dxa"/>
            <w:vAlign w:val="bottom"/>
            <w:tcBorders>
              <w:right w:val="single" w:sz="8" w:color="auto"/>
            </w:tcBorders>
          </w:tcPr>
          <w:p>
            <w:pPr>
              <w:spacing w:after="0"/>
              <w:rPr>
                <w:sz w:val="18"/>
                <w:szCs w:val="18"/>
                <w:color w:val="auto"/>
              </w:rPr>
            </w:pPr>
          </w:p>
        </w:tc>
        <w:tc>
          <w:tcPr>
            <w:tcW w:w="548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société peut également acquérir et vendre des biens immobiliers.</w:t>
            </w:r>
          </w:p>
        </w:tc>
      </w:tr>
      <w:tr>
        <w:trPr>
          <w:trHeight w:val="54"/>
        </w:trPr>
        <w:tc>
          <w:tcPr>
            <w:tcW w:w="5540" w:type="dxa"/>
            <w:vAlign w:val="bottom"/>
            <w:tcBorders>
              <w:left w:val="single" w:sz="8" w:color="auto"/>
              <w:bottom w:val="single" w:sz="8" w:color="auto"/>
              <w:right w:val="single" w:sz="8" w:color="auto"/>
            </w:tcBorders>
          </w:tcPr>
          <w:p>
            <w:pPr>
              <w:spacing w:after="0"/>
              <w:rPr>
                <w:sz w:val="4"/>
                <w:szCs w:val="4"/>
                <w:color w:val="auto"/>
              </w:rPr>
            </w:pPr>
          </w:p>
        </w:tc>
        <w:tc>
          <w:tcPr>
            <w:tcW w:w="220" w:type="dxa"/>
            <w:vAlign w:val="bottom"/>
            <w:tcBorders>
              <w:bottom w:val="single" w:sz="8" w:color="auto"/>
              <w:right w:val="single" w:sz="8" w:color="auto"/>
            </w:tcBorders>
          </w:tcPr>
          <w:p>
            <w:pPr>
              <w:spacing w:after="0"/>
              <w:rPr>
                <w:sz w:val="4"/>
                <w:szCs w:val="4"/>
                <w:color w:val="auto"/>
              </w:rPr>
            </w:pPr>
          </w:p>
        </w:tc>
        <w:tc>
          <w:tcPr>
            <w:tcW w:w="5480" w:type="dxa"/>
            <w:vAlign w:val="bottom"/>
            <w:tcBorders>
              <w:bottom w:val="single" w:sz="8" w:color="auto"/>
              <w:right w:val="single" w:sz="8" w:color="auto"/>
            </w:tcBorders>
          </w:tcPr>
          <w:p>
            <w:pPr>
              <w:spacing w:after="0"/>
              <w:rPr>
                <w:sz w:val="4"/>
                <w:szCs w:val="4"/>
                <w:color w:val="auto"/>
              </w:rPr>
            </w:pPr>
          </w:p>
        </w:tc>
      </w:tr>
      <w:tr>
        <w:trPr>
          <w:trHeight w:val="453"/>
        </w:trPr>
        <w:tc>
          <w:tcPr>
            <w:tcW w:w="55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54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333" w:right="339" w:bottom="1440" w:gutter="0" w:footer="0" w:header="0"/>
        </w:sectPr>
      </w:pPr>
    </w:p>
    <w:bookmarkStart w:id="40" w:name="page41"/>
    <w:bookmarkEnd w:id="40"/>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187"/>
        </w:trPr>
        <w:tc>
          <w:tcPr>
            <w:tcW w:w="554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5480" w:type="dxa"/>
            <w:vAlign w:val="bottom"/>
            <w:tcBorders>
              <w:bottom w:val="single" w:sz="8" w:color="auto"/>
            </w:tcBorders>
          </w:tcPr>
          <w:p>
            <w:pPr>
              <w:ind w:left="5340"/>
              <w:spacing w:after="0"/>
              <w:rPr>
                <w:sz w:val="20"/>
                <w:szCs w:val="20"/>
                <w:color w:val="auto"/>
              </w:rPr>
            </w:pPr>
            <w:r>
              <w:rPr>
                <w:rFonts w:ascii="Arial" w:cs="Arial" w:eastAsia="Arial" w:hAnsi="Arial"/>
                <w:sz w:val="16"/>
                <w:szCs w:val="16"/>
                <w:color w:val="auto"/>
              </w:rPr>
              <w:t>2</w:t>
            </w:r>
          </w:p>
        </w:tc>
      </w:tr>
      <w:tr>
        <w:trPr>
          <w:trHeight w:val="263"/>
        </w:trPr>
        <w:tc>
          <w:tcPr>
            <w:tcW w:w="554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The Company may open branch offices in Switzerland and abroad</w:t>
            </w:r>
          </w:p>
        </w:tc>
        <w:tc>
          <w:tcPr>
            <w:tcW w:w="220" w:type="dxa"/>
            <w:vAlign w:val="bottom"/>
            <w:tcBorders>
              <w:right w:val="single" w:sz="8" w:color="auto"/>
            </w:tcBorders>
          </w:tcPr>
          <w:p>
            <w:pPr>
              <w:spacing w:after="0"/>
              <w:rPr>
                <w:sz w:val="22"/>
                <w:szCs w:val="22"/>
                <w:color w:val="auto"/>
              </w:rPr>
            </w:pPr>
          </w:p>
        </w:tc>
        <w:tc>
          <w:tcPr>
            <w:tcW w:w="548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La société peut ouvrir des succursales en Suisse et à l'étranger et</w:t>
            </w:r>
          </w:p>
        </w:tc>
      </w:tr>
      <w:tr>
        <w:trPr>
          <w:trHeight w:val="217"/>
        </w:trPr>
        <w:tc>
          <w:tcPr>
            <w:tcW w:w="554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and may also acquire participations in other companies.</w:t>
            </w:r>
          </w:p>
        </w:tc>
        <w:tc>
          <w:tcPr>
            <w:tcW w:w="220" w:type="dxa"/>
            <w:vAlign w:val="bottom"/>
            <w:tcBorders>
              <w:right w:val="single" w:sz="8" w:color="auto"/>
            </w:tcBorders>
          </w:tcPr>
          <w:p>
            <w:pPr>
              <w:spacing w:after="0"/>
              <w:rPr>
                <w:sz w:val="18"/>
                <w:szCs w:val="18"/>
                <w:color w:val="auto"/>
              </w:rPr>
            </w:pPr>
          </w:p>
        </w:tc>
        <w:tc>
          <w:tcPr>
            <w:tcW w:w="548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peut également acquérir des participations dans d'autres sociétés.</w:t>
            </w:r>
          </w:p>
        </w:tc>
      </w:tr>
      <w:tr>
        <w:trPr>
          <w:trHeight w:val="54"/>
        </w:trPr>
        <w:tc>
          <w:tcPr>
            <w:tcW w:w="5540" w:type="dxa"/>
            <w:vAlign w:val="bottom"/>
            <w:tcBorders>
              <w:left w:val="single" w:sz="8" w:color="auto"/>
              <w:bottom w:val="single" w:sz="8" w:color="auto"/>
              <w:right w:val="single" w:sz="8" w:color="auto"/>
            </w:tcBorders>
          </w:tcPr>
          <w:p>
            <w:pPr>
              <w:spacing w:after="0"/>
              <w:rPr>
                <w:sz w:val="4"/>
                <w:szCs w:val="4"/>
                <w:color w:val="auto"/>
              </w:rPr>
            </w:pPr>
          </w:p>
        </w:tc>
        <w:tc>
          <w:tcPr>
            <w:tcW w:w="220" w:type="dxa"/>
            <w:vAlign w:val="bottom"/>
            <w:tcBorders>
              <w:bottom w:val="single" w:sz="8" w:color="auto"/>
              <w:right w:val="single" w:sz="8" w:color="auto"/>
            </w:tcBorders>
          </w:tcPr>
          <w:p>
            <w:pPr>
              <w:spacing w:after="0"/>
              <w:rPr>
                <w:sz w:val="4"/>
                <w:szCs w:val="4"/>
                <w:color w:val="auto"/>
              </w:rPr>
            </w:pPr>
          </w:p>
        </w:tc>
        <w:tc>
          <w:tcPr>
            <w:tcW w:w="5480" w:type="dxa"/>
            <w:vAlign w:val="bottom"/>
            <w:tcBorders>
              <w:bottom w:val="single" w:sz="8" w:color="auto"/>
              <w:right w:val="single" w:sz="8" w:color="auto"/>
            </w:tcBorders>
          </w:tcPr>
          <w:p>
            <w:pPr>
              <w:spacing w:after="0"/>
              <w:rPr>
                <w:sz w:val="4"/>
                <w:szCs w:val="4"/>
                <w:color w:val="auto"/>
              </w:rPr>
            </w:pPr>
          </w:p>
        </w:tc>
      </w:tr>
      <w:tr>
        <w:trPr>
          <w:trHeight w:val="263"/>
        </w:trPr>
        <w:tc>
          <w:tcPr>
            <w:tcW w:w="554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The Company may provide securities to its subsidiaries and supply</w:t>
            </w:r>
          </w:p>
        </w:tc>
        <w:tc>
          <w:tcPr>
            <w:tcW w:w="220" w:type="dxa"/>
            <w:vAlign w:val="bottom"/>
            <w:tcBorders>
              <w:right w:val="single" w:sz="8" w:color="auto"/>
            </w:tcBorders>
          </w:tcPr>
          <w:p>
            <w:pPr>
              <w:spacing w:after="0"/>
              <w:rPr>
                <w:sz w:val="22"/>
                <w:szCs w:val="22"/>
                <w:color w:val="auto"/>
              </w:rPr>
            </w:pPr>
          </w:p>
        </w:tc>
        <w:tc>
          <w:tcPr>
            <w:tcW w:w="548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La société peut fournir des titres à ses filiales et des garanties</w:t>
            </w:r>
          </w:p>
        </w:tc>
      </w:tr>
      <w:tr>
        <w:trPr>
          <w:trHeight w:val="217"/>
        </w:trPr>
        <w:tc>
          <w:tcPr>
            <w:tcW w:w="554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guarantees.</w:t>
            </w:r>
          </w:p>
        </w:tc>
        <w:tc>
          <w:tcPr>
            <w:tcW w:w="220" w:type="dxa"/>
            <w:vAlign w:val="bottom"/>
            <w:tcBorders>
              <w:right w:val="single" w:sz="8" w:color="auto"/>
            </w:tcBorders>
          </w:tcPr>
          <w:p>
            <w:pPr>
              <w:spacing w:after="0"/>
              <w:rPr>
                <w:sz w:val="18"/>
                <w:szCs w:val="18"/>
                <w:color w:val="auto"/>
              </w:rPr>
            </w:pPr>
          </w:p>
        </w:tc>
        <w:tc>
          <w:tcPr>
            <w:tcW w:w="548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d'approvisionnement.</w:t>
            </w:r>
          </w:p>
        </w:tc>
      </w:tr>
      <w:tr>
        <w:trPr>
          <w:trHeight w:val="54"/>
        </w:trPr>
        <w:tc>
          <w:tcPr>
            <w:tcW w:w="5540" w:type="dxa"/>
            <w:vAlign w:val="bottom"/>
            <w:tcBorders>
              <w:left w:val="single" w:sz="8" w:color="auto"/>
              <w:bottom w:val="single" w:sz="8" w:color="auto"/>
              <w:right w:val="single" w:sz="8" w:color="auto"/>
            </w:tcBorders>
          </w:tcPr>
          <w:p>
            <w:pPr>
              <w:spacing w:after="0"/>
              <w:rPr>
                <w:sz w:val="4"/>
                <w:szCs w:val="4"/>
                <w:color w:val="auto"/>
              </w:rPr>
            </w:pPr>
          </w:p>
        </w:tc>
        <w:tc>
          <w:tcPr>
            <w:tcW w:w="220" w:type="dxa"/>
            <w:vAlign w:val="bottom"/>
            <w:tcBorders>
              <w:bottom w:val="single" w:sz="8" w:color="auto"/>
              <w:right w:val="single" w:sz="8" w:color="auto"/>
            </w:tcBorders>
          </w:tcPr>
          <w:p>
            <w:pPr>
              <w:spacing w:after="0"/>
              <w:rPr>
                <w:sz w:val="4"/>
                <w:szCs w:val="4"/>
                <w:color w:val="auto"/>
              </w:rPr>
            </w:pPr>
          </w:p>
        </w:tc>
        <w:tc>
          <w:tcPr>
            <w:tcW w:w="5480" w:type="dxa"/>
            <w:vAlign w:val="bottom"/>
            <w:tcBorders>
              <w:bottom w:val="single" w:sz="8" w:color="auto"/>
              <w:right w:val="single" w:sz="8" w:color="auto"/>
            </w:tcBorders>
          </w:tcPr>
          <w:p>
            <w:pPr>
              <w:spacing w:after="0"/>
              <w:rPr>
                <w:sz w:val="4"/>
                <w:szCs w:val="4"/>
                <w:color w:val="auto"/>
              </w:rPr>
            </w:pPr>
          </w:p>
        </w:tc>
      </w:tr>
      <w:tr>
        <w:trPr>
          <w:trHeight w:val="277"/>
        </w:trPr>
        <w:tc>
          <w:tcPr>
            <w:tcW w:w="554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b w:val="1"/>
                <w:bCs w:val="1"/>
                <w:color w:val="auto"/>
              </w:rPr>
              <w:t>II. SHARE CAPITAL AND SHARES</w:t>
            </w:r>
          </w:p>
        </w:tc>
        <w:tc>
          <w:tcPr>
            <w:tcW w:w="220" w:type="dxa"/>
            <w:vAlign w:val="bottom"/>
            <w:tcBorders>
              <w:right w:val="single" w:sz="8" w:color="auto"/>
            </w:tcBorders>
          </w:tcPr>
          <w:p>
            <w:pPr>
              <w:spacing w:after="0"/>
              <w:rPr>
                <w:sz w:val="24"/>
                <w:szCs w:val="24"/>
                <w:color w:val="auto"/>
              </w:rPr>
            </w:pPr>
          </w:p>
        </w:tc>
        <w:tc>
          <w:tcPr>
            <w:tcW w:w="5480" w:type="dxa"/>
            <w:vAlign w:val="bottom"/>
            <w:tcBorders>
              <w:right w:val="single" w:sz="8" w:color="auto"/>
            </w:tcBorders>
          </w:tcPr>
          <w:p>
            <w:pPr>
              <w:ind w:left="40"/>
              <w:spacing w:after="0"/>
              <w:rPr>
                <w:sz w:val="20"/>
                <w:szCs w:val="20"/>
                <w:color w:val="auto"/>
              </w:rPr>
            </w:pPr>
            <w:r>
              <w:rPr>
                <w:rFonts w:ascii="Arial" w:cs="Arial" w:eastAsia="Arial" w:hAnsi="Arial"/>
                <w:sz w:val="18"/>
                <w:szCs w:val="18"/>
                <w:b w:val="1"/>
                <w:bCs w:val="1"/>
                <w:color w:val="auto"/>
              </w:rPr>
              <w:t>II. CAPITAL-ACTIONS ET ACTIONS</w:t>
            </w:r>
          </w:p>
        </w:tc>
      </w:tr>
      <w:tr>
        <w:trPr>
          <w:trHeight w:val="54"/>
        </w:trPr>
        <w:tc>
          <w:tcPr>
            <w:tcW w:w="5540" w:type="dxa"/>
            <w:vAlign w:val="bottom"/>
            <w:tcBorders>
              <w:left w:val="single" w:sz="8" w:color="auto"/>
              <w:bottom w:val="single" w:sz="8" w:color="auto"/>
              <w:right w:val="single" w:sz="8" w:color="auto"/>
            </w:tcBorders>
          </w:tcPr>
          <w:p>
            <w:pPr>
              <w:spacing w:after="0"/>
              <w:rPr>
                <w:sz w:val="4"/>
                <w:szCs w:val="4"/>
                <w:color w:val="auto"/>
              </w:rPr>
            </w:pPr>
          </w:p>
        </w:tc>
        <w:tc>
          <w:tcPr>
            <w:tcW w:w="220" w:type="dxa"/>
            <w:vAlign w:val="bottom"/>
            <w:tcBorders>
              <w:bottom w:val="single" w:sz="8" w:color="auto"/>
              <w:right w:val="single" w:sz="8" w:color="auto"/>
            </w:tcBorders>
          </w:tcPr>
          <w:p>
            <w:pPr>
              <w:spacing w:after="0"/>
              <w:rPr>
                <w:sz w:val="4"/>
                <w:szCs w:val="4"/>
                <w:color w:val="auto"/>
              </w:rPr>
            </w:pPr>
          </w:p>
        </w:tc>
        <w:tc>
          <w:tcPr>
            <w:tcW w:w="5480" w:type="dxa"/>
            <w:vAlign w:val="bottom"/>
            <w:tcBorders>
              <w:bottom w:val="single" w:sz="8" w:color="auto"/>
              <w:right w:val="single" w:sz="8" w:color="auto"/>
            </w:tcBorders>
          </w:tcPr>
          <w:p>
            <w:pPr>
              <w:spacing w:after="0"/>
              <w:rPr>
                <w:sz w:val="4"/>
                <w:szCs w:val="4"/>
                <w:color w:val="auto"/>
              </w:rPr>
            </w:pPr>
          </w:p>
        </w:tc>
      </w:tr>
      <w:tr>
        <w:trPr>
          <w:trHeight w:val="277"/>
        </w:trPr>
        <w:tc>
          <w:tcPr>
            <w:tcW w:w="554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b w:val="1"/>
                <w:bCs w:val="1"/>
                <w:color w:val="auto"/>
              </w:rPr>
              <w:t>Art. 3 Share Capital and Shares</w:t>
            </w:r>
          </w:p>
        </w:tc>
        <w:tc>
          <w:tcPr>
            <w:tcW w:w="220" w:type="dxa"/>
            <w:vAlign w:val="bottom"/>
            <w:tcBorders>
              <w:right w:val="single" w:sz="8" w:color="auto"/>
            </w:tcBorders>
          </w:tcPr>
          <w:p>
            <w:pPr>
              <w:spacing w:after="0"/>
              <w:rPr>
                <w:sz w:val="24"/>
                <w:szCs w:val="24"/>
                <w:color w:val="auto"/>
              </w:rPr>
            </w:pPr>
          </w:p>
        </w:tc>
        <w:tc>
          <w:tcPr>
            <w:tcW w:w="5480" w:type="dxa"/>
            <w:vAlign w:val="bottom"/>
            <w:tcBorders>
              <w:right w:val="single" w:sz="8" w:color="auto"/>
            </w:tcBorders>
          </w:tcPr>
          <w:p>
            <w:pPr>
              <w:ind w:left="60"/>
              <w:spacing w:after="0"/>
              <w:rPr>
                <w:sz w:val="20"/>
                <w:szCs w:val="20"/>
                <w:color w:val="auto"/>
              </w:rPr>
            </w:pPr>
            <w:r>
              <w:rPr>
                <w:rFonts w:ascii="Arial" w:cs="Arial" w:eastAsia="Arial" w:hAnsi="Arial"/>
                <w:sz w:val="18"/>
                <w:szCs w:val="18"/>
                <w:b w:val="1"/>
                <w:bCs w:val="1"/>
                <w:color w:val="auto"/>
              </w:rPr>
              <w:t>Art. 3 Capital-actions et actions</w:t>
            </w:r>
          </w:p>
        </w:tc>
      </w:tr>
      <w:tr>
        <w:trPr>
          <w:trHeight w:val="391"/>
        </w:trPr>
        <w:tc>
          <w:tcPr>
            <w:tcW w:w="554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The Share Capital of the Company is CHF 1'789'658.26. It is</w:t>
            </w:r>
          </w:p>
        </w:tc>
        <w:tc>
          <w:tcPr>
            <w:tcW w:w="220" w:type="dxa"/>
            <w:vAlign w:val="bottom"/>
            <w:tcBorders>
              <w:right w:val="single" w:sz="8" w:color="auto"/>
            </w:tcBorders>
          </w:tcPr>
          <w:p>
            <w:pPr>
              <w:spacing w:after="0"/>
              <w:rPr>
                <w:sz w:val="24"/>
                <w:szCs w:val="24"/>
                <w:color w:val="auto"/>
              </w:rPr>
            </w:pPr>
          </w:p>
        </w:tc>
        <w:tc>
          <w:tcPr>
            <w:tcW w:w="548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Le capital-actions de la société se monte à CHF 1'789'658.26. Il</w:t>
            </w:r>
          </w:p>
        </w:tc>
      </w:tr>
      <w:tr>
        <w:trPr>
          <w:trHeight w:val="203"/>
        </w:trPr>
        <w:tc>
          <w:tcPr>
            <w:tcW w:w="5540" w:type="dxa"/>
            <w:vAlign w:val="bottom"/>
            <w:tcBorders>
              <w:left w:val="single" w:sz="8" w:color="auto"/>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divided into 89'482'913 registered shares with a nominal value of</w:t>
            </w:r>
          </w:p>
        </w:tc>
        <w:tc>
          <w:tcPr>
            <w:tcW w:w="22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est  divisé  en  89'482'913  actions  nominatives  d'une  valeur</w:t>
            </w:r>
          </w:p>
        </w:tc>
      </w:tr>
      <w:tr>
        <w:trPr>
          <w:trHeight w:val="217"/>
        </w:trPr>
        <w:tc>
          <w:tcPr>
            <w:tcW w:w="554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CHF 0.02 each, fully paid-in.</w:t>
            </w:r>
          </w:p>
        </w:tc>
        <w:tc>
          <w:tcPr>
            <w:tcW w:w="220" w:type="dxa"/>
            <w:vAlign w:val="bottom"/>
            <w:tcBorders>
              <w:right w:val="single" w:sz="8" w:color="auto"/>
            </w:tcBorders>
          </w:tcPr>
          <w:p>
            <w:pPr>
              <w:spacing w:after="0"/>
              <w:rPr>
                <w:sz w:val="18"/>
                <w:szCs w:val="18"/>
                <w:color w:val="auto"/>
              </w:rPr>
            </w:pPr>
          </w:p>
        </w:tc>
        <w:tc>
          <w:tcPr>
            <w:tcW w:w="548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nominale de CHF 0.02 chacune, entièrement libérées.</w:t>
            </w:r>
          </w:p>
        </w:tc>
      </w:tr>
      <w:tr>
        <w:trPr>
          <w:trHeight w:val="391"/>
        </w:trPr>
        <w:tc>
          <w:tcPr>
            <w:tcW w:w="554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According to the contribution in kind agreement dated October</w:t>
            </w:r>
          </w:p>
        </w:tc>
        <w:tc>
          <w:tcPr>
            <w:tcW w:w="220" w:type="dxa"/>
            <w:vAlign w:val="bottom"/>
            <w:tcBorders>
              <w:right w:val="single" w:sz="8" w:color="auto"/>
            </w:tcBorders>
          </w:tcPr>
          <w:p>
            <w:pPr>
              <w:spacing w:after="0"/>
              <w:rPr>
                <w:sz w:val="24"/>
                <w:szCs w:val="24"/>
                <w:color w:val="auto"/>
              </w:rPr>
            </w:pPr>
          </w:p>
        </w:tc>
        <w:tc>
          <w:tcPr>
            <w:tcW w:w="548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Selon contrat d’apport du 12 octobre 2021, la Société acquiert de</w:t>
            </w:r>
          </w:p>
        </w:tc>
      </w:tr>
      <w:tr>
        <w:trPr>
          <w:trHeight w:val="203"/>
        </w:trPr>
        <w:tc>
          <w:tcPr>
            <w:tcW w:w="5540" w:type="dxa"/>
            <w:vAlign w:val="bottom"/>
            <w:tcBorders>
              <w:left w:val="single" w:sz="8" w:color="auto"/>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12th, 2021, the Company acquires from Affiris AG (FN 240538), a</w:t>
            </w:r>
          </w:p>
        </w:tc>
        <w:tc>
          <w:tcPr>
            <w:tcW w:w="22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Affiris AG (FN 240538), société de droit autrichien ayant son siège</w:t>
            </w:r>
          </w:p>
        </w:tc>
      </w:tr>
      <w:tr>
        <w:trPr>
          <w:trHeight w:val="203"/>
        </w:trPr>
        <w:tc>
          <w:tcPr>
            <w:tcW w:w="5540" w:type="dxa"/>
            <w:vAlign w:val="bottom"/>
            <w:tcBorders>
              <w:left w:val="single" w:sz="8" w:color="auto"/>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company incorporated under Austrian law with its registered office</w:t>
            </w:r>
          </w:p>
        </w:tc>
        <w:tc>
          <w:tcPr>
            <w:tcW w:w="22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à Vienne (Autriche) les droits liés à des brevets, dépôts de brevets,</w:t>
            </w:r>
          </w:p>
        </w:tc>
      </w:tr>
      <w:tr>
        <w:trPr>
          <w:trHeight w:val="203"/>
        </w:trPr>
        <w:tc>
          <w:tcPr>
            <w:tcW w:w="5540" w:type="dxa"/>
            <w:vAlign w:val="bottom"/>
            <w:tcBorders>
              <w:left w:val="single" w:sz="8" w:color="auto"/>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in  Vienna  (Austria),  the  rights  related  to  patents,  patent</w:t>
            </w:r>
          </w:p>
        </w:tc>
        <w:tc>
          <w:tcPr>
            <w:tcW w:w="22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marques et savoir-faire. Cet apport est fait et accepté pour le prix</w:t>
            </w:r>
          </w:p>
        </w:tc>
      </w:tr>
      <w:tr>
        <w:trPr>
          <w:trHeight w:val="203"/>
        </w:trPr>
        <w:tc>
          <w:tcPr>
            <w:tcW w:w="5540" w:type="dxa"/>
            <w:vAlign w:val="bottom"/>
            <w:tcBorders>
              <w:left w:val="single" w:sz="8" w:color="auto"/>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applications, trademarks and know-how. This contribution is made</w:t>
            </w:r>
          </w:p>
        </w:tc>
        <w:tc>
          <w:tcPr>
            <w:tcW w:w="22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de USD 53'702'500.--, et payé par la remise à l'apporteur d’un total</w:t>
            </w:r>
          </w:p>
        </w:tc>
      </w:tr>
      <w:tr>
        <w:trPr>
          <w:trHeight w:val="203"/>
        </w:trPr>
        <w:tc>
          <w:tcPr>
            <w:tcW w:w="5540" w:type="dxa"/>
            <w:vAlign w:val="bottom"/>
            <w:tcBorders>
              <w:left w:val="single" w:sz="8" w:color="auto"/>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and accepted for the price of USD 53,702,500.--, and paid by the</w:t>
            </w:r>
          </w:p>
        </w:tc>
        <w:tc>
          <w:tcPr>
            <w:tcW w:w="22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de 6'501'513 actions nominatives de la Société d'une valeur</w:t>
            </w:r>
          </w:p>
        </w:tc>
      </w:tr>
      <w:tr>
        <w:trPr>
          <w:trHeight w:val="203"/>
        </w:trPr>
        <w:tc>
          <w:tcPr>
            <w:tcW w:w="5540" w:type="dxa"/>
            <w:vAlign w:val="bottom"/>
            <w:tcBorders>
              <w:left w:val="single" w:sz="8" w:color="auto"/>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delivery to the contributor of a total of 6,501,513 fully paid up</w:t>
            </w:r>
          </w:p>
        </w:tc>
        <w:tc>
          <w:tcPr>
            <w:tcW w:w="22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nominale de CHF 0.02 chacune, entièrement libérées.</w:t>
            </w:r>
          </w:p>
        </w:tc>
      </w:tr>
      <w:tr>
        <w:trPr>
          <w:trHeight w:val="203"/>
        </w:trPr>
        <w:tc>
          <w:tcPr>
            <w:tcW w:w="5540" w:type="dxa"/>
            <w:vAlign w:val="bottom"/>
            <w:tcBorders>
              <w:left w:val="single" w:sz="8" w:color="auto"/>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registered shares of the Company with a nominal value of CHF</w:t>
            </w:r>
          </w:p>
        </w:tc>
        <w:tc>
          <w:tcPr>
            <w:tcW w:w="22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tcPr>
          <w:p>
            <w:pPr>
              <w:spacing w:after="0"/>
              <w:rPr>
                <w:sz w:val="17"/>
                <w:szCs w:val="17"/>
                <w:color w:val="auto"/>
              </w:rPr>
            </w:pPr>
          </w:p>
        </w:tc>
      </w:tr>
      <w:tr>
        <w:trPr>
          <w:trHeight w:val="217"/>
        </w:trPr>
        <w:tc>
          <w:tcPr>
            <w:tcW w:w="554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0.02 each.</w:t>
            </w:r>
          </w:p>
        </w:tc>
        <w:tc>
          <w:tcPr>
            <w:tcW w:w="220" w:type="dxa"/>
            <w:vAlign w:val="bottom"/>
            <w:tcBorders>
              <w:right w:val="single" w:sz="8" w:color="auto"/>
            </w:tcBorders>
          </w:tcPr>
          <w:p>
            <w:pPr>
              <w:spacing w:after="0"/>
              <w:rPr>
                <w:sz w:val="18"/>
                <w:szCs w:val="18"/>
                <w:color w:val="auto"/>
              </w:rPr>
            </w:pPr>
          </w:p>
        </w:tc>
        <w:tc>
          <w:tcPr>
            <w:tcW w:w="5480" w:type="dxa"/>
            <w:vAlign w:val="bottom"/>
            <w:tcBorders>
              <w:right w:val="single" w:sz="8" w:color="auto"/>
            </w:tcBorders>
          </w:tcPr>
          <w:p>
            <w:pPr>
              <w:spacing w:after="0"/>
              <w:rPr>
                <w:sz w:val="18"/>
                <w:szCs w:val="18"/>
                <w:color w:val="auto"/>
              </w:rPr>
            </w:pPr>
          </w:p>
        </w:tc>
      </w:tr>
      <w:tr>
        <w:trPr>
          <w:trHeight w:val="54"/>
        </w:trPr>
        <w:tc>
          <w:tcPr>
            <w:tcW w:w="5540" w:type="dxa"/>
            <w:vAlign w:val="bottom"/>
            <w:tcBorders>
              <w:left w:val="single" w:sz="8" w:color="auto"/>
              <w:bottom w:val="single" w:sz="8" w:color="auto"/>
              <w:right w:val="single" w:sz="8" w:color="auto"/>
            </w:tcBorders>
          </w:tcPr>
          <w:p>
            <w:pPr>
              <w:spacing w:after="0"/>
              <w:rPr>
                <w:sz w:val="4"/>
                <w:szCs w:val="4"/>
                <w:color w:val="auto"/>
              </w:rPr>
            </w:pPr>
          </w:p>
        </w:tc>
        <w:tc>
          <w:tcPr>
            <w:tcW w:w="220" w:type="dxa"/>
            <w:vAlign w:val="bottom"/>
            <w:tcBorders>
              <w:bottom w:val="single" w:sz="8" w:color="auto"/>
              <w:right w:val="single" w:sz="8" w:color="auto"/>
            </w:tcBorders>
          </w:tcPr>
          <w:p>
            <w:pPr>
              <w:spacing w:after="0"/>
              <w:rPr>
                <w:sz w:val="4"/>
                <w:szCs w:val="4"/>
                <w:color w:val="auto"/>
              </w:rPr>
            </w:pPr>
          </w:p>
        </w:tc>
        <w:tc>
          <w:tcPr>
            <w:tcW w:w="5480" w:type="dxa"/>
            <w:vAlign w:val="bottom"/>
            <w:tcBorders>
              <w:bottom w:val="single" w:sz="8" w:color="auto"/>
              <w:right w:val="single" w:sz="8" w:color="auto"/>
            </w:tcBorders>
          </w:tcPr>
          <w:p>
            <w:pPr>
              <w:spacing w:after="0"/>
              <w:rPr>
                <w:sz w:val="4"/>
                <w:szCs w:val="4"/>
                <w:color w:val="auto"/>
              </w:rPr>
            </w:pPr>
          </w:p>
        </w:tc>
      </w:tr>
      <w:tr>
        <w:trPr>
          <w:trHeight w:val="277"/>
        </w:trPr>
        <w:tc>
          <w:tcPr>
            <w:tcW w:w="554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b w:val="1"/>
                <w:bCs w:val="1"/>
                <w:color w:val="auto"/>
              </w:rPr>
              <w:t>Art. 3a Authorized Capital Increase of Share Capital</w:t>
            </w:r>
          </w:p>
        </w:tc>
        <w:tc>
          <w:tcPr>
            <w:tcW w:w="220" w:type="dxa"/>
            <w:vAlign w:val="bottom"/>
            <w:tcBorders>
              <w:right w:val="single" w:sz="8" w:color="auto"/>
            </w:tcBorders>
          </w:tcPr>
          <w:p>
            <w:pPr>
              <w:spacing w:after="0"/>
              <w:rPr>
                <w:sz w:val="24"/>
                <w:szCs w:val="24"/>
                <w:color w:val="auto"/>
              </w:rPr>
            </w:pPr>
          </w:p>
        </w:tc>
        <w:tc>
          <w:tcPr>
            <w:tcW w:w="5480" w:type="dxa"/>
            <w:vAlign w:val="bottom"/>
            <w:tcBorders>
              <w:right w:val="single" w:sz="8" w:color="auto"/>
            </w:tcBorders>
          </w:tcPr>
          <w:p>
            <w:pPr>
              <w:ind w:left="40"/>
              <w:spacing w:after="0"/>
              <w:rPr>
                <w:sz w:val="20"/>
                <w:szCs w:val="20"/>
                <w:color w:val="auto"/>
              </w:rPr>
            </w:pPr>
            <w:r>
              <w:rPr>
                <w:rFonts w:ascii="Arial" w:cs="Arial" w:eastAsia="Arial" w:hAnsi="Arial"/>
                <w:sz w:val="18"/>
                <w:szCs w:val="18"/>
                <w:b w:val="1"/>
                <w:bCs w:val="1"/>
                <w:color w:val="auto"/>
              </w:rPr>
              <w:t>Art. 3a Augmentation autorisée du capital-actions</w:t>
            </w:r>
          </w:p>
        </w:tc>
      </w:tr>
      <w:tr>
        <w:trPr>
          <w:trHeight w:val="54"/>
        </w:trPr>
        <w:tc>
          <w:tcPr>
            <w:tcW w:w="5540" w:type="dxa"/>
            <w:vAlign w:val="bottom"/>
            <w:tcBorders>
              <w:left w:val="single" w:sz="8" w:color="auto"/>
              <w:bottom w:val="single" w:sz="8" w:color="auto"/>
              <w:right w:val="single" w:sz="8" w:color="auto"/>
            </w:tcBorders>
          </w:tcPr>
          <w:p>
            <w:pPr>
              <w:spacing w:after="0"/>
              <w:rPr>
                <w:sz w:val="4"/>
                <w:szCs w:val="4"/>
                <w:color w:val="auto"/>
              </w:rPr>
            </w:pPr>
          </w:p>
        </w:tc>
        <w:tc>
          <w:tcPr>
            <w:tcW w:w="220" w:type="dxa"/>
            <w:vAlign w:val="bottom"/>
            <w:tcBorders>
              <w:bottom w:val="single" w:sz="8" w:color="auto"/>
              <w:right w:val="single" w:sz="8" w:color="auto"/>
            </w:tcBorders>
          </w:tcPr>
          <w:p>
            <w:pPr>
              <w:spacing w:after="0"/>
              <w:rPr>
                <w:sz w:val="4"/>
                <w:szCs w:val="4"/>
                <w:color w:val="auto"/>
              </w:rPr>
            </w:pPr>
          </w:p>
        </w:tc>
        <w:tc>
          <w:tcPr>
            <w:tcW w:w="5480" w:type="dxa"/>
            <w:vAlign w:val="bottom"/>
            <w:tcBorders>
              <w:bottom w:val="single" w:sz="8" w:color="auto"/>
              <w:right w:val="single" w:sz="8" w:color="auto"/>
            </w:tcBorders>
          </w:tcPr>
          <w:p>
            <w:pPr>
              <w:spacing w:after="0"/>
              <w:rPr>
                <w:sz w:val="4"/>
                <w:szCs w:val="4"/>
                <w:color w:val="auto"/>
              </w:rPr>
            </w:pPr>
          </w:p>
        </w:tc>
      </w:tr>
      <w:tr>
        <w:trPr>
          <w:trHeight w:val="277"/>
        </w:trPr>
        <w:tc>
          <w:tcPr>
            <w:tcW w:w="554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(abrogé)</w:t>
            </w:r>
          </w:p>
        </w:tc>
        <w:tc>
          <w:tcPr>
            <w:tcW w:w="220" w:type="dxa"/>
            <w:vAlign w:val="bottom"/>
            <w:tcBorders>
              <w:right w:val="single" w:sz="8" w:color="auto"/>
            </w:tcBorders>
          </w:tcPr>
          <w:p>
            <w:pPr>
              <w:spacing w:after="0"/>
              <w:rPr>
                <w:sz w:val="24"/>
                <w:szCs w:val="24"/>
                <w:color w:val="auto"/>
              </w:rPr>
            </w:pPr>
          </w:p>
        </w:tc>
        <w:tc>
          <w:tcPr>
            <w:tcW w:w="548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(abrogé)</w:t>
            </w:r>
          </w:p>
        </w:tc>
      </w:tr>
      <w:tr>
        <w:trPr>
          <w:trHeight w:val="54"/>
        </w:trPr>
        <w:tc>
          <w:tcPr>
            <w:tcW w:w="5540" w:type="dxa"/>
            <w:vAlign w:val="bottom"/>
            <w:tcBorders>
              <w:left w:val="single" w:sz="8" w:color="auto"/>
              <w:bottom w:val="single" w:sz="8" w:color="auto"/>
              <w:right w:val="single" w:sz="8" w:color="auto"/>
            </w:tcBorders>
          </w:tcPr>
          <w:p>
            <w:pPr>
              <w:spacing w:after="0"/>
              <w:rPr>
                <w:sz w:val="4"/>
                <w:szCs w:val="4"/>
                <w:color w:val="auto"/>
              </w:rPr>
            </w:pPr>
          </w:p>
        </w:tc>
        <w:tc>
          <w:tcPr>
            <w:tcW w:w="220" w:type="dxa"/>
            <w:vAlign w:val="bottom"/>
            <w:tcBorders>
              <w:bottom w:val="single" w:sz="8" w:color="auto"/>
              <w:right w:val="single" w:sz="8" w:color="auto"/>
            </w:tcBorders>
          </w:tcPr>
          <w:p>
            <w:pPr>
              <w:spacing w:after="0"/>
              <w:rPr>
                <w:sz w:val="4"/>
                <w:szCs w:val="4"/>
                <w:color w:val="auto"/>
              </w:rPr>
            </w:pPr>
          </w:p>
        </w:tc>
        <w:tc>
          <w:tcPr>
            <w:tcW w:w="5480" w:type="dxa"/>
            <w:vAlign w:val="bottom"/>
            <w:tcBorders>
              <w:bottom w:val="single" w:sz="8" w:color="auto"/>
              <w:right w:val="single" w:sz="8" w:color="auto"/>
            </w:tcBorders>
          </w:tcPr>
          <w:p>
            <w:pPr>
              <w:spacing w:after="0"/>
              <w:rPr>
                <w:sz w:val="4"/>
                <w:szCs w:val="4"/>
                <w:color w:val="auto"/>
              </w:rPr>
            </w:pPr>
          </w:p>
        </w:tc>
      </w:tr>
      <w:tr>
        <w:trPr>
          <w:trHeight w:val="227"/>
        </w:trPr>
        <w:tc>
          <w:tcPr>
            <w:tcW w:w="554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b w:val="1"/>
                <w:bCs w:val="1"/>
                <w:color w:val="auto"/>
              </w:rPr>
              <w:t>Art. 3b Conditional Capital Increase for Bonds and Similar</w:t>
            </w:r>
          </w:p>
        </w:tc>
        <w:tc>
          <w:tcPr>
            <w:tcW w:w="220" w:type="dxa"/>
            <w:vAlign w:val="bottom"/>
            <w:tcBorders>
              <w:right w:val="single" w:sz="8" w:color="auto"/>
            </w:tcBorders>
          </w:tcPr>
          <w:p>
            <w:pPr>
              <w:spacing w:after="0"/>
              <w:rPr>
                <w:sz w:val="19"/>
                <w:szCs w:val="19"/>
                <w:color w:val="auto"/>
              </w:rPr>
            </w:pPr>
          </w:p>
        </w:tc>
        <w:tc>
          <w:tcPr>
            <w:tcW w:w="5480" w:type="dxa"/>
            <w:vAlign w:val="bottom"/>
            <w:tcBorders>
              <w:right w:val="single" w:sz="8" w:color="auto"/>
            </w:tcBorders>
          </w:tcPr>
          <w:p>
            <w:pPr>
              <w:ind w:left="40"/>
              <w:spacing w:after="0"/>
              <w:rPr>
                <w:sz w:val="20"/>
                <w:szCs w:val="20"/>
                <w:color w:val="auto"/>
              </w:rPr>
            </w:pPr>
            <w:r>
              <w:rPr>
                <w:rFonts w:ascii="Arial" w:cs="Arial" w:eastAsia="Arial" w:hAnsi="Arial"/>
                <w:sz w:val="18"/>
                <w:szCs w:val="18"/>
                <w:b w:val="1"/>
                <w:bCs w:val="1"/>
                <w:color w:val="auto"/>
              </w:rPr>
              <w:t>Art. 3b Augmentation conditionnelle du capital-actions pour</w:t>
            </w:r>
          </w:p>
        </w:tc>
      </w:tr>
      <w:tr>
        <w:trPr>
          <w:trHeight w:val="252"/>
        </w:trPr>
        <w:tc>
          <w:tcPr>
            <w:tcW w:w="554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b w:val="1"/>
                <w:bCs w:val="1"/>
                <w:color w:val="auto"/>
              </w:rPr>
              <w:t>Debt Instruments</w:t>
            </w:r>
          </w:p>
        </w:tc>
        <w:tc>
          <w:tcPr>
            <w:tcW w:w="220" w:type="dxa"/>
            <w:vAlign w:val="bottom"/>
            <w:tcBorders>
              <w:right w:val="single" w:sz="8" w:color="auto"/>
            </w:tcBorders>
          </w:tcPr>
          <w:p>
            <w:pPr>
              <w:spacing w:after="0"/>
              <w:rPr>
                <w:sz w:val="21"/>
                <w:szCs w:val="21"/>
                <w:color w:val="auto"/>
              </w:rPr>
            </w:pPr>
          </w:p>
        </w:tc>
        <w:tc>
          <w:tcPr>
            <w:tcW w:w="5480" w:type="dxa"/>
            <w:vAlign w:val="bottom"/>
            <w:tcBorders>
              <w:right w:val="single" w:sz="8" w:color="auto"/>
            </w:tcBorders>
          </w:tcPr>
          <w:p>
            <w:pPr>
              <w:ind w:left="40"/>
              <w:spacing w:after="0"/>
              <w:rPr>
                <w:sz w:val="20"/>
                <w:szCs w:val="20"/>
                <w:color w:val="auto"/>
              </w:rPr>
            </w:pPr>
            <w:r>
              <w:rPr>
                <w:rFonts w:ascii="Arial" w:cs="Arial" w:eastAsia="Arial" w:hAnsi="Arial"/>
                <w:sz w:val="18"/>
                <w:szCs w:val="18"/>
                <w:b w:val="1"/>
                <w:bCs w:val="1"/>
                <w:color w:val="auto"/>
              </w:rPr>
              <w:t>les obligations et instruments de dettes similaire</w:t>
            </w:r>
          </w:p>
        </w:tc>
      </w:tr>
      <w:tr>
        <w:trPr>
          <w:trHeight w:val="54"/>
        </w:trPr>
        <w:tc>
          <w:tcPr>
            <w:tcW w:w="5540" w:type="dxa"/>
            <w:vAlign w:val="bottom"/>
            <w:tcBorders>
              <w:left w:val="single" w:sz="8" w:color="auto"/>
              <w:bottom w:val="single" w:sz="8" w:color="auto"/>
              <w:right w:val="single" w:sz="8" w:color="auto"/>
            </w:tcBorders>
          </w:tcPr>
          <w:p>
            <w:pPr>
              <w:spacing w:after="0"/>
              <w:rPr>
                <w:sz w:val="4"/>
                <w:szCs w:val="4"/>
                <w:color w:val="auto"/>
              </w:rPr>
            </w:pPr>
          </w:p>
        </w:tc>
        <w:tc>
          <w:tcPr>
            <w:tcW w:w="220" w:type="dxa"/>
            <w:vAlign w:val="bottom"/>
            <w:tcBorders>
              <w:bottom w:val="single" w:sz="8" w:color="auto"/>
              <w:right w:val="single" w:sz="8" w:color="auto"/>
            </w:tcBorders>
          </w:tcPr>
          <w:p>
            <w:pPr>
              <w:spacing w:after="0"/>
              <w:rPr>
                <w:sz w:val="4"/>
                <w:szCs w:val="4"/>
                <w:color w:val="auto"/>
              </w:rPr>
            </w:pPr>
          </w:p>
        </w:tc>
        <w:tc>
          <w:tcPr>
            <w:tcW w:w="5480" w:type="dxa"/>
            <w:vAlign w:val="bottom"/>
            <w:tcBorders>
              <w:bottom w:val="single" w:sz="8" w:color="auto"/>
              <w:right w:val="single" w:sz="8" w:color="auto"/>
            </w:tcBorders>
          </w:tcPr>
          <w:p>
            <w:pPr>
              <w:spacing w:after="0"/>
              <w:rPr>
                <w:sz w:val="4"/>
                <w:szCs w:val="4"/>
                <w:color w:val="auto"/>
              </w:rPr>
            </w:pPr>
          </w:p>
        </w:tc>
      </w:tr>
      <w:tr>
        <w:trPr>
          <w:trHeight w:val="263"/>
        </w:trPr>
        <w:tc>
          <w:tcPr>
            <w:tcW w:w="554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The  share  capital  of  the  Company  shall  be  increased  by  a</w:t>
            </w:r>
          </w:p>
        </w:tc>
        <w:tc>
          <w:tcPr>
            <w:tcW w:w="220" w:type="dxa"/>
            <w:vAlign w:val="bottom"/>
            <w:tcBorders>
              <w:right w:val="single" w:sz="8" w:color="auto"/>
            </w:tcBorders>
          </w:tcPr>
          <w:p>
            <w:pPr>
              <w:spacing w:after="0"/>
              <w:rPr>
                <w:sz w:val="22"/>
                <w:szCs w:val="22"/>
                <w:color w:val="auto"/>
              </w:rPr>
            </w:pPr>
          </w:p>
        </w:tc>
        <w:tc>
          <w:tcPr>
            <w:tcW w:w="548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Le capital-actions de la société peut être augmenté d'un montant</w:t>
            </w:r>
          </w:p>
        </w:tc>
      </w:tr>
      <w:tr>
        <w:trPr>
          <w:trHeight w:val="203"/>
        </w:trPr>
        <w:tc>
          <w:tcPr>
            <w:tcW w:w="5540" w:type="dxa"/>
            <w:vAlign w:val="bottom"/>
            <w:tcBorders>
              <w:left w:val="single" w:sz="8" w:color="auto"/>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maximum amount of</w:t>
            </w:r>
          </w:p>
        </w:tc>
        <w:tc>
          <w:tcPr>
            <w:tcW w:w="22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maximum de</w:t>
            </w:r>
          </w:p>
        </w:tc>
      </w:tr>
      <w:tr>
        <w:trPr>
          <w:trHeight w:val="203"/>
        </w:trPr>
        <w:tc>
          <w:tcPr>
            <w:tcW w:w="5540" w:type="dxa"/>
            <w:vAlign w:val="bottom"/>
            <w:tcBorders>
              <w:left w:val="single" w:sz="8" w:color="auto"/>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CHF 31'028.26 through the issue of a maximum of 1’551’413</w:t>
            </w:r>
          </w:p>
        </w:tc>
        <w:tc>
          <w:tcPr>
            <w:tcW w:w="22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CHF 31'028.26 par l'émission d'un maximum de 1’551’413 actions</w:t>
            </w:r>
          </w:p>
        </w:tc>
      </w:tr>
      <w:tr>
        <w:trPr>
          <w:trHeight w:val="203"/>
        </w:trPr>
        <w:tc>
          <w:tcPr>
            <w:tcW w:w="5540" w:type="dxa"/>
            <w:vAlign w:val="bottom"/>
            <w:tcBorders>
              <w:left w:val="single" w:sz="8" w:color="auto"/>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registered shares, payable in full, each with a nominal value of</w:t>
            </w:r>
          </w:p>
        </w:tc>
        <w:tc>
          <w:tcPr>
            <w:tcW w:w="22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nominatives, d'une valeur nominale de CHF 0.02 chacune, à</w:t>
            </w:r>
          </w:p>
        </w:tc>
      </w:tr>
      <w:tr>
        <w:trPr>
          <w:trHeight w:val="203"/>
        </w:trPr>
        <w:tc>
          <w:tcPr>
            <w:tcW w:w="5540" w:type="dxa"/>
            <w:vAlign w:val="bottom"/>
            <w:tcBorders>
              <w:left w:val="single" w:sz="8" w:color="auto"/>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CHF 0.02 through the exercise of conversion and/or option or</w:t>
            </w:r>
          </w:p>
        </w:tc>
        <w:tc>
          <w:tcPr>
            <w:tcW w:w="22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libérer entièrement, suite à l'exercice de droits de conversion et/ou</w:t>
            </w:r>
          </w:p>
        </w:tc>
      </w:tr>
      <w:tr>
        <w:trPr>
          <w:trHeight w:val="203"/>
        </w:trPr>
        <w:tc>
          <w:tcPr>
            <w:tcW w:w="5540" w:type="dxa"/>
            <w:vAlign w:val="bottom"/>
            <w:tcBorders>
              <w:left w:val="single" w:sz="8" w:color="auto"/>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warrant  rights  granted  in  connection  with  bonds  or  similar</w:t>
            </w:r>
          </w:p>
        </w:tc>
        <w:tc>
          <w:tcPr>
            <w:tcW w:w="22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d'option ou de bons de souscription accordés en relation avec des</w:t>
            </w:r>
          </w:p>
        </w:tc>
      </w:tr>
      <w:tr>
        <w:trPr>
          <w:trHeight w:val="202"/>
        </w:trPr>
        <w:tc>
          <w:tcPr>
            <w:tcW w:w="5540" w:type="dxa"/>
            <w:vAlign w:val="bottom"/>
            <w:tcBorders>
              <w:left w:val="single" w:sz="8" w:color="auto"/>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instruments,  issued  or  to  be  issued  by  the  Company  or  by</w:t>
            </w:r>
          </w:p>
        </w:tc>
        <w:tc>
          <w:tcPr>
            <w:tcW w:w="22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obligations ou d'instruments similaires, émis ou devant être émis</w:t>
            </w:r>
          </w:p>
        </w:tc>
      </w:tr>
      <w:tr>
        <w:trPr>
          <w:trHeight w:val="217"/>
        </w:trPr>
        <w:tc>
          <w:tcPr>
            <w:tcW w:w="554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subsidiaries of the Company, including</w:t>
            </w:r>
          </w:p>
        </w:tc>
        <w:tc>
          <w:tcPr>
            <w:tcW w:w="220" w:type="dxa"/>
            <w:vAlign w:val="bottom"/>
            <w:tcBorders>
              <w:right w:val="single" w:sz="8" w:color="auto"/>
            </w:tcBorders>
          </w:tcPr>
          <w:p>
            <w:pPr>
              <w:spacing w:after="0"/>
              <w:rPr>
                <w:sz w:val="18"/>
                <w:szCs w:val="18"/>
                <w:color w:val="auto"/>
              </w:rPr>
            </w:pPr>
          </w:p>
        </w:tc>
        <w:tc>
          <w:tcPr>
            <w:tcW w:w="548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par la</w:t>
            </w:r>
          </w:p>
        </w:tc>
      </w:tr>
      <w:tr>
        <w:trPr>
          <w:trHeight w:val="54"/>
        </w:trPr>
        <w:tc>
          <w:tcPr>
            <w:tcW w:w="5540" w:type="dxa"/>
            <w:vAlign w:val="bottom"/>
            <w:tcBorders>
              <w:left w:val="single" w:sz="8" w:color="auto"/>
              <w:bottom w:val="single" w:sz="8" w:color="auto"/>
              <w:right w:val="single" w:sz="8" w:color="auto"/>
            </w:tcBorders>
          </w:tcPr>
          <w:p>
            <w:pPr>
              <w:spacing w:after="0"/>
              <w:rPr>
                <w:sz w:val="4"/>
                <w:szCs w:val="4"/>
                <w:color w:val="auto"/>
              </w:rPr>
            </w:pPr>
          </w:p>
        </w:tc>
        <w:tc>
          <w:tcPr>
            <w:tcW w:w="220" w:type="dxa"/>
            <w:vAlign w:val="bottom"/>
            <w:tcBorders>
              <w:bottom w:val="single" w:sz="8" w:color="auto"/>
              <w:right w:val="single" w:sz="8" w:color="auto"/>
            </w:tcBorders>
          </w:tcPr>
          <w:p>
            <w:pPr>
              <w:spacing w:after="0"/>
              <w:rPr>
                <w:sz w:val="4"/>
                <w:szCs w:val="4"/>
                <w:color w:val="auto"/>
              </w:rPr>
            </w:pPr>
          </w:p>
        </w:tc>
        <w:tc>
          <w:tcPr>
            <w:tcW w:w="5480" w:type="dxa"/>
            <w:vAlign w:val="bottom"/>
            <w:tcBorders>
              <w:bottom w:val="single" w:sz="8" w:color="auto"/>
              <w:right w:val="single" w:sz="8" w:color="auto"/>
            </w:tcBorders>
          </w:tcPr>
          <w:p>
            <w:pPr>
              <w:spacing w:after="0"/>
              <w:rPr>
                <w:sz w:val="4"/>
                <w:szCs w:val="4"/>
                <w:color w:val="auto"/>
              </w:rPr>
            </w:pPr>
          </w:p>
        </w:tc>
      </w:tr>
      <w:tr>
        <w:trPr>
          <w:trHeight w:val="453"/>
        </w:trPr>
        <w:tc>
          <w:tcPr>
            <w:tcW w:w="55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54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249" w:right="339" w:bottom="1440" w:gutter="0" w:footer="0" w:header="0"/>
        </w:sectPr>
      </w:pPr>
    </w:p>
    <w:bookmarkStart w:id="41" w:name="page42"/>
    <w:bookmarkEnd w:id="41"/>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187"/>
        </w:trPr>
        <w:tc>
          <w:tcPr>
            <w:tcW w:w="554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5480" w:type="dxa"/>
            <w:vAlign w:val="bottom"/>
            <w:tcBorders>
              <w:bottom w:val="single" w:sz="8" w:color="auto"/>
            </w:tcBorders>
          </w:tcPr>
          <w:p>
            <w:pPr>
              <w:ind w:left="5340"/>
              <w:spacing w:after="0"/>
              <w:rPr>
                <w:sz w:val="20"/>
                <w:szCs w:val="20"/>
                <w:color w:val="auto"/>
              </w:rPr>
            </w:pPr>
            <w:r>
              <w:rPr>
                <w:rFonts w:ascii="Arial" w:cs="Arial" w:eastAsia="Arial" w:hAnsi="Arial"/>
                <w:sz w:val="16"/>
                <w:szCs w:val="16"/>
                <w:color w:val="auto"/>
              </w:rPr>
              <w:t>3</w:t>
            </w:r>
          </w:p>
        </w:tc>
      </w:tr>
      <w:tr>
        <w:trPr>
          <w:trHeight w:val="263"/>
        </w:trPr>
        <w:tc>
          <w:tcPr>
            <w:tcW w:w="554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convertible debt instruments.</w:t>
            </w:r>
          </w:p>
        </w:tc>
        <w:tc>
          <w:tcPr>
            <w:tcW w:w="220" w:type="dxa"/>
            <w:vAlign w:val="bottom"/>
            <w:tcBorders>
              <w:right w:val="single" w:sz="8" w:color="auto"/>
            </w:tcBorders>
          </w:tcPr>
          <w:p>
            <w:pPr>
              <w:spacing w:after="0"/>
              <w:rPr>
                <w:sz w:val="22"/>
                <w:szCs w:val="22"/>
                <w:color w:val="auto"/>
              </w:rPr>
            </w:pPr>
          </w:p>
        </w:tc>
        <w:tc>
          <w:tcPr>
            <w:tcW w:w="548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société ou par des filiales de la société, y compris les instruments</w:t>
            </w:r>
          </w:p>
        </w:tc>
      </w:tr>
      <w:tr>
        <w:trPr>
          <w:trHeight w:val="217"/>
        </w:trPr>
        <w:tc>
          <w:tcPr>
            <w:tcW w:w="5540" w:type="dxa"/>
            <w:vAlign w:val="bottom"/>
            <w:tcBorders>
              <w:left w:val="single" w:sz="8" w:color="auto"/>
              <w:right w:val="single" w:sz="8" w:color="auto"/>
            </w:tcBorders>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548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d'emprunt convertibles.</w:t>
            </w:r>
          </w:p>
        </w:tc>
      </w:tr>
      <w:tr>
        <w:trPr>
          <w:trHeight w:val="54"/>
        </w:trPr>
        <w:tc>
          <w:tcPr>
            <w:tcW w:w="5540" w:type="dxa"/>
            <w:vAlign w:val="bottom"/>
            <w:tcBorders>
              <w:left w:val="single" w:sz="8" w:color="auto"/>
              <w:bottom w:val="single" w:sz="8" w:color="auto"/>
              <w:right w:val="single" w:sz="8" w:color="auto"/>
            </w:tcBorders>
          </w:tcPr>
          <w:p>
            <w:pPr>
              <w:spacing w:after="0"/>
              <w:rPr>
                <w:sz w:val="4"/>
                <w:szCs w:val="4"/>
                <w:color w:val="auto"/>
              </w:rPr>
            </w:pPr>
          </w:p>
        </w:tc>
        <w:tc>
          <w:tcPr>
            <w:tcW w:w="220" w:type="dxa"/>
            <w:vAlign w:val="bottom"/>
            <w:tcBorders>
              <w:bottom w:val="single" w:sz="8" w:color="auto"/>
              <w:right w:val="single" w:sz="8" w:color="auto"/>
            </w:tcBorders>
          </w:tcPr>
          <w:p>
            <w:pPr>
              <w:spacing w:after="0"/>
              <w:rPr>
                <w:sz w:val="4"/>
                <w:szCs w:val="4"/>
                <w:color w:val="auto"/>
              </w:rPr>
            </w:pPr>
          </w:p>
        </w:tc>
        <w:tc>
          <w:tcPr>
            <w:tcW w:w="5480" w:type="dxa"/>
            <w:vAlign w:val="bottom"/>
            <w:tcBorders>
              <w:bottom w:val="single" w:sz="8" w:color="auto"/>
              <w:right w:val="single" w:sz="8" w:color="auto"/>
            </w:tcBorders>
          </w:tcPr>
          <w:p>
            <w:pPr>
              <w:spacing w:after="0"/>
              <w:rPr>
                <w:sz w:val="4"/>
                <w:szCs w:val="4"/>
                <w:color w:val="auto"/>
              </w:rPr>
            </w:pPr>
          </w:p>
        </w:tc>
      </w:tr>
      <w:tr>
        <w:trPr>
          <w:trHeight w:val="263"/>
        </w:trPr>
        <w:tc>
          <w:tcPr>
            <w:tcW w:w="554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Shareholders'  subscription  rights  are  excluded.  Shareholders'</w:t>
            </w:r>
          </w:p>
        </w:tc>
        <w:tc>
          <w:tcPr>
            <w:tcW w:w="220" w:type="dxa"/>
            <w:vAlign w:val="bottom"/>
            <w:tcBorders>
              <w:right w:val="single" w:sz="8" w:color="auto"/>
            </w:tcBorders>
          </w:tcPr>
          <w:p>
            <w:pPr>
              <w:spacing w:after="0"/>
              <w:rPr>
                <w:sz w:val="22"/>
                <w:szCs w:val="22"/>
                <w:color w:val="auto"/>
              </w:rPr>
            </w:pPr>
          </w:p>
        </w:tc>
        <w:tc>
          <w:tcPr>
            <w:tcW w:w="548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Le droit de souscription préférentiel des actionnaires est exclu. Les</w:t>
            </w:r>
          </w:p>
        </w:tc>
      </w:tr>
      <w:tr>
        <w:trPr>
          <w:trHeight w:val="203"/>
        </w:trPr>
        <w:tc>
          <w:tcPr>
            <w:tcW w:w="5540" w:type="dxa"/>
            <w:vAlign w:val="bottom"/>
            <w:tcBorders>
              <w:left w:val="single" w:sz="8" w:color="auto"/>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advance subscription rights with regard to the new bonds or similar</w:t>
            </w:r>
          </w:p>
        </w:tc>
        <w:tc>
          <w:tcPr>
            <w:tcW w:w="22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droits de souscription préférentiels préalables des actionnaires à</w:t>
            </w:r>
          </w:p>
        </w:tc>
      </w:tr>
      <w:tr>
        <w:trPr>
          <w:trHeight w:val="203"/>
        </w:trPr>
        <w:tc>
          <w:tcPr>
            <w:tcW w:w="5540" w:type="dxa"/>
            <w:vAlign w:val="bottom"/>
            <w:tcBorders>
              <w:left w:val="single" w:sz="8" w:color="auto"/>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instruments may be restricted or excluded by decision of the Board</w:t>
            </w:r>
          </w:p>
        </w:tc>
        <w:tc>
          <w:tcPr>
            <w:tcW w:w="22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l'égard des nouvelles obligations ou instruments similaires peuvent</w:t>
            </w:r>
          </w:p>
        </w:tc>
      </w:tr>
      <w:tr>
        <w:trPr>
          <w:trHeight w:val="203"/>
        </w:trPr>
        <w:tc>
          <w:tcPr>
            <w:tcW w:w="5540" w:type="dxa"/>
            <w:vAlign w:val="bottom"/>
            <w:tcBorders>
              <w:left w:val="single" w:sz="8" w:color="auto"/>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of Directors in order to finance or re-finance the acquisition of</w:t>
            </w:r>
          </w:p>
        </w:tc>
        <w:tc>
          <w:tcPr>
            <w:tcW w:w="22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être limités ou exclus par décision du conseil d'administration afin</w:t>
            </w:r>
          </w:p>
        </w:tc>
      </w:tr>
      <w:tr>
        <w:trPr>
          <w:trHeight w:val="203"/>
        </w:trPr>
        <w:tc>
          <w:tcPr>
            <w:tcW w:w="5540" w:type="dxa"/>
            <w:vAlign w:val="bottom"/>
            <w:tcBorders>
              <w:left w:val="single" w:sz="8" w:color="auto"/>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companies, parts of companies or holdings, or new investments</w:t>
            </w:r>
          </w:p>
        </w:tc>
        <w:tc>
          <w:tcPr>
            <w:tcW w:w="22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de  financer  ou  de  refinancer  l'acquisition  d'entreprises,  parts</w:t>
            </w:r>
          </w:p>
        </w:tc>
      </w:tr>
      <w:tr>
        <w:trPr>
          <w:trHeight w:val="203"/>
        </w:trPr>
        <w:tc>
          <w:tcPr>
            <w:tcW w:w="5540" w:type="dxa"/>
            <w:vAlign w:val="bottom"/>
            <w:tcBorders>
              <w:left w:val="single" w:sz="8" w:color="auto"/>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planned by the Company, or in order to issue convertible bonds</w:t>
            </w:r>
          </w:p>
        </w:tc>
        <w:tc>
          <w:tcPr>
            <w:tcW w:w="22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d'entreprises ou de holdings, ou de nouveaux investissements</w:t>
            </w:r>
          </w:p>
        </w:tc>
      </w:tr>
      <w:tr>
        <w:trPr>
          <w:trHeight w:val="203"/>
        </w:trPr>
        <w:tc>
          <w:tcPr>
            <w:tcW w:w="5540" w:type="dxa"/>
            <w:vAlign w:val="bottom"/>
            <w:tcBorders>
              <w:left w:val="single" w:sz="8" w:color="auto"/>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and warrants on the international capital markets or through private</w:t>
            </w:r>
          </w:p>
        </w:tc>
        <w:tc>
          <w:tcPr>
            <w:tcW w:w="22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prévus  par  la  société,  ou  en  vue  d'émettre  des  obligations</w:t>
            </w:r>
          </w:p>
        </w:tc>
      </w:tr>
      <w:tr>
        <w:trPr>
          <w:trHeight w:val="203"/>
        </w:trPr>
        <w:tc>
          <w:tcPr>
            <w:tcW w:w="5540" w:type="dxa"/>
            <w:vAlign w:val="bottom"/>
            <w:tcBorders>
              <w:left w:val="single" w:sz="8" w:color="auto"/>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placement. If advance subscription rights are excluded, then (1)</w:t>
            </w:r>
          </w:p>
        </w:tc>
        <w:tc>
          <w:tcPr>
            <w:tcW w:w="22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convertibles  et  des  bons  de  souscription  sur  les  marchés</w:t>
            </w:r>
          </w:p>
        </w:tc>
      </w:tr>
      <w:tr>
        <w:trPr>
          <w:trHeight w:val="203"/>
        </w:trPr>
        <w:tc>
          <w:tcPr>
            <w:tcW w:w="5540" w:type="dxa"/>
            <w:vAlign w:val="bottom"/>
            <w:tcBorders>
              <w:left w:val="single" w:sz="8" w:color="auto"/>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the instruments are to be placed at market conditions, (2) the</w:t>
            </w:r>
          </w:p>
        </w:tc>
        <w:tc>
          <w:tcPr>
            <w:tcW w:w="22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internationaux de capitaux ou par placement privé. Si les droits de</w:t>
            </w:r>
          </w:p>
        </w:tc>
      </w:tr>
      <w:tr>
        <w:trPr>
          <w:trHeight w:val="203"/>
        </w:trPr>
        <w:tc>
          <w:tcPr>
            <w:tcW w:w="5540" w:type="dxa"/>
            <w:vAlign w:val="bottom"/>
            <w:tcBorders>
              <w:left w:val="single" w:sz="8" w:color="auto"/>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exercise period is not to exceed ten years from the date of issue</w:t>
            </w:r>
          </w:p>
        </w:tc>
        <w:tc>
          <w:tcPr>
            <w:tcW w:w="22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souscription  préférentiels  préalables  sont  exclus,  (1)  les</w:t>
            </w:r>
          </w:p>
        </w:tc>
      </w:tr>
      <w:tr>
        <w:trPr>
          <w:trHeight w:val="203"/>
        </w:trPr>
        <w:tc>
          <w:tcPr>
            <w:tcW w:w="5540" w:type="dxa"/>
            <w:vAlign w:val="bottom"/>
            <w:tcBorders>
              <w:left w:val="single" w:sz="8" w:color="auto"/>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for warrants and twenty years for conversion rights and (3) the</w:t>
            </w:r>
          </w:p>
        </w:tc>
        <w:tc>
          <w:tcPr>
            <w:tcW w:w="22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instruments doivent être attribués aux conditions du marché, (2) la</w:t>
            </w:r>
          </w:p>
        </w:tc>
      </w:tr>
      <w:tr>
        <w:trPr>
          <w:trHeight w:val="203"/>
        </w:trPr>
        <w:tc>
          <w:tcPr>
            <w:tcW w:w="5540" w:type="dxa"/>
            <w:vAlign w:val="bottom"/>
            <w:tcBorders>
              <w:left w:val="single" w:sz="8" w:color="auto"/>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conversion or exercise price for the new shares is to be set at least</w:t>
            </w:r>
          </w:p>
        </w:tc>
        <w:tc>
          <w:tcPr>
            <w:tcW w:w="22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période d'exercice ne doit pas dépasser dix ans à partir de la date</w:t>
            </w:r>
          </w:p>
        </w:tc>
      </w:tr>
      <w:tr>
        <w:trPr>
          <w:trHeight w:val="203"/>
        </w:trPr>
        <w:tc>
          <w:tcPr>
            <w:tcW w:w="5540" w:type="dxa"/>
            <w:vAlign w:val="bottom"/>
            <w:tcBorders>
              <w:left w:val="single" w:sz="8" w:color="auto"/>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in line with the market conditions prevailing at the date on which</w:t>
            </w:r>
          </w:p>
        </w:tc>
        <w:tc>
          <w:tcPr>
            <w:tcW w:w="22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d'émission des bons de souscription et vingt ans pour les droits de</w:t>
            </w:r>
          </w:p>
        </w:tc>
      </w:tr>
      <w:tr>
        <w:trPr>
          <w:trHeight w:val="203"/>
        </w:trPr>
        <w:tc>
          <w:tcPr>
            <w:tcW w:w="5540" w:type="dxa"/>
            <w:vAlign w:val="bottom"/>
            <w:tcBorders>
              <w:left w:val="single" w:sz="8" w:color="auto"/>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the instruments are issued. The respective holders of conversion</w:t>
            </w:r>
          </w:p>
        </w:tc>
        <w:tc>
          <w:tcPr>
            <w:tcW w:w="22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conversion et (3) le prix de conversion ou d'exercice des actions</w:t>
            </w:r>
          </w:p>
        </w:tc>
      </w:tr>
      <w:tr>
        <w:trPr>
          <w:trHeight w:val="203"/>
        </w:trPr>
        <w:tc>
          <w:tcPr>
            <w:tcW w:w="5540" w:type="dxa"/>
            <w:vAlign w:val="bottom"/>
            <w:tcBorders>
              <w:left w:val="single" w:sz="8" w:color="auto"/>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and/or option or warrant rights are entitled to subscribe the new</w:t>
            </w:r>
          </w:p>
        </w:tc>
        <w:tc>
          <w:tcPr>
            <w:tcW w:w="22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nouvelles  doit  être  fixé  au  moins  aux  conditions  du  marché</w:t>
            </w:r>
          </w:p>
        </w:tc>
      </w:tr>
      <w:tr>
        <w:trPr>
          <w:trHeight w:val="203"/>
        </w:trPr>
        <w:tc>
          <w:tcPr>
            <w:tcW w:w="5540" w:type="dxa"/>
            <w:vAlign w:val="bottom"/>
            <w:tcBorders>
              <w:left w:val="single" w:sz="8" w:color="auto"/>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shares.</w:t>
            </w:r>
          </w:p>
        </w:tc>
        <w:tc>
          <w:tcPr>
            <w:tcW w:w="22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prévalant à la date à laquelle les instruments sont émis. Les</w:t>
            </w:r>
          </w:p>
        </w:tc>
      </w:tr>
      <w:tr>
        <w:trPr>
          <w:trHeight w:val="203"/>
        </w:trPr>
        <w:tc>
          <w:tcPr>
            <w:tcW w:w="5540" w:type="dxa"/>
            <w:vAlign w:val="bottom"/>
            <w:tcBorders>
              <w:left w:val="single" w:sz="8" w:color="auto"/>
              <w:right w:val="single" w:sz="8" w:color="auto"/>
            </w:tcBorders>
          </w:tcPr>
          <w:p>
            <w:pPr>
              <w:spacing w:after="0"/>
              <w:rPr>
                <w:sz w:val="17"/>
                <w:szCs w:val="17"/>
                <w:color w:val="auto"/>
              </w:rPr>
            </w:pPr>
          </w:p>
        </w:tc>
        <w:tc>
          <w:tcPr>
            <w:tcW w:w="22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détenteurs respectifs de droits de conversion et/ou option ou de</w:t>
            </w:r>
          </w:p>
        </w:tc>
      </w:tr>
      <w:tr>
        <w:trPr>
          <w:trHeight w:val="217"/>
        </w:trPr>
        <w:tc>
          <w:tcPr>
            <w:tcW w:w="5540" w:type="dxa"/>
            <w:vAlign w:val="bottom"/>
            <w:tcBorders>
              <w:left w:val="single" w:sz="8" w:color="auto"/>
              <w:right w:val="single" w:sz="8" w:color="auto"/>
            </w:tcBorders>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548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bons de souscription ont le droit de souscrire les nouvelles actions.</w:t>
            </w:r>
          </w:p>
        </w:tc>
      </w:tr>
      <w:tr>
        <w:trPr>
          <w:trHeight w:val="54"/>
        </w:trPr>
        <w:tc>
          <w:tcPr>
            <w:tcW w:w="5540" w:type="dxa"/>
            <w:vAlign w:val="bottom"/>
            <w:tcBorders>
              <w:left w:val="single" w:sz="8" w:color="auto"/>
              <w:bottom w:val="single" w:sz="8" w:color="auto"/>
              <w:right w:val="single" w:sz="8" w:color="auto"/>
            </w:tcBorders>
          </w:tcPr>
          <w:p>
            <w:pPr>
              <w:spacing w:after="0"/>
              <w:rPr>
                <w:sz w:val="4"/>
                <w:szCs w:val="4"/>
                <w:color w:val="auto"/>
              </w:rPr>
            </w:pPr>
          </w:p>
        </w:tc>
        <w:tc>
          <w:tcPr>
            <w:tcW w:w="220" w:type="dxa"/>
            <w:vAlign w:val="bottom"/>
            <w:tcBorders>
              <w:bottom w:val="single" w:sz="8" w:color="auto"/>
              <w:right w:val="single" w:sz="8" w:color="auto"/>
            </w:tcBorders>
          </w:tcPr>
          <w:p>
            <w:pPr>
              <w:spacing w:after="0"/>
              <w:rPr>
                <w:sz w:val="4"/>
                <w:szCs w:val="4"/>
                <w:color w:val="auto"/>
              </w:rPr>
            </w:pPr>
          </w:p>
        </w:tc>
        <w:tc>
          <w:tcPr>
            <w:tcW w:w="5480" w:type="dxa"/>
            <w:vAlign w:val="bottom"/>
            <w:tcBorders>
              <w:bottom w:val="single" w:sz="8" w:color="auto"/>
              <w:right w:val="single" w:sz="8" w:color="auto"/>
            </w:tcBorders>
          </w:tcPr>
          <w:p>
            <w:pPr>
              <w:spacing w:after="0"/>
              <w:rPr>
                <w:sz w:val="4"/>
                <w:szCs w:val="4"/>
                <w:color w:val="auto"/>
              </w:rPr>
            </w:pPr>
          </w:p>
        </w:tc>
      </w:tr>
      <w:tr>
        <w:trPr>
          <w:trHeight w:val="263"/>
        </w:trPr>
        <w:tc>
          <w:tcPr>
            <w:tcW w:w="554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The  acquisition  of  registered  shares  through  the  exercise  of</w:t>
            </w:r>
          </w:p>
        </w:tc>
        <w:tc>
          <w:tcPr>
            <w:tcW w:w="220" w:type="dxa"/>
            <w:vAlign w:val="bottom"/>
            <w:tcBorders>
              <w:right w:val="single" w:sz="8" w:color="auto"/>
            </w:tcBorders>
          </w:tcPr>
          <w:p>
            <w:pPr>
              <w:spacing w:after="0"/>
              <w:rPr>
                <w:sz w:val="22"/>
                <w:szCs w:val="22"/>
                <w:color w:val="auto"/>
              </w:rPr>
            </w:pPr>
          </w:p>
        </w:tc>
        <w:tc>
          <w:tcPr>
            <w:tcW w:w="548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L'acquisition d'actions nominatives par l'exercice de droits ou de</w:t>
            </w:r>
          </w:p>
        </w:tc>
      </w:tr>
      <w:tr>
        <w:trPr>
          <w:trHeight w:val="203"/>
        </w:trPr>
        <w:tc>
          <w:tcPr>
            <w:tcW w:w="5540" w:type="dxa"/>
            <w:vAlign w:val="bottom"/>
            <w:tcBorders>
              <w:left w:val="single" w:sz="8" w:color="auto"/>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conversion rights or warrants and any transfers of registered</w:t>
            </w:r>
          </w:p>
        </w:tc>
        <w:tc>
          <w:tcPr>
            <w:tcW w:w="22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bons de conversion et les transferts d'actions nominatives sont</w:t>
            </w:r>
          </w:p>
        </w:tc>
      </w:tr>
      <w:tr>
        <w:trPr>
          <w:trHeight w:val="203"/>
        </w:trPr>
        <w:tc>
          <w:tcPr>
            <w:tcW w:w="5540" w:type="dxa"/>
            <w:vAlign w:val="bottom"/>
            <w:tcBorders>
              <w:left w:val="single" w:sz="8" w:color="auto"/>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shares shall be subject to the restrictions specified in Article 4 of</w:t>
            </w:r>
          </w:p>
        </w:tc>
        <w:tc>
          <w:tcPr>
            <w:tcW w:w="22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assujetties aux restrictions prévues par l'article 4 des statuts.</w:t>
            </w:r>
          </w:p>
        </w:tc>
      </w:tr>
      <w:tr>
        <w:trPr>
          <w:trHeight w:val="217"/>
        </w:trPr>
        <w:tc>
          <w:tcPr>
            <w:tcW w:w="554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the Articles of Association.</w:t>
            </w:r>
          </w:p>
        </w:tc>
        <w:tc>
          <w:tcPr>
            <w:tcW w:w="220" w:type="dxa"/>
            <w:vAlign w:val="bottom"/>
            <w:tcBorders>
              <w:right w:val="single" w:sz="8" w:color="auto"/>
            </w:tcBorders>
          </w:tcPr>
          <w:p>
            <w:pPr>
              <w:spacing w:after="0"/>
              <w:rPr>
                <w:sz w:val="18"/>
                <w:szCs w:val="18"/>
                <w:color w:val="auto"/>
              </w:rPr>
            </w:pPr>
          </w:p>
        </w:tc>
        <w:tc>
          <w:tcPr>
            <w:tcW w:w="5480" w:type="dxa"/>
            <w:vAlign w:val="bottom"/>
            <w:tcBorders>
              <w:right w:val="single" w:sz="8" w:color="auto"/>
            </w:tcBorders>
          </w:tcPr>
          <w:p>
            <w:pPr>
              <w:spacing w:after="0"/>
              <w:rPr>
                <w:sz w:val="18"/>
                <w:szCs w:val="18"/>
                <w:color w:val="auto"/>
              </w:rPr>
            </w:pPr>
          </w:p>
        </w:tc>
      </w:tr>
      <w:tr>
        <w:trPr>
          <w:trHeight w:val="54"/>
        </w:trPr>
        <w:tc>
          <w:tcPr>
            <w:tcW w:w="5540" w:type="dxa"/>
            <w:vAlign w:val="bottom"/>
            <w:tcBorders>
              <w:left w:val="single" w:sz="8" w:color="auto"/>
              <w:bottom w:val="single" w:sz="8" w:color="auto"/>
              <w:right w:val="single" w:sz="8" w:color="auto"/>
            </w:tcBorders>
          </w:tcPr>
          <w:p>
            <w:pPr>
              <w:spacing w:after="0"/>
              <w:rPr>
                <w:sz w:val="4"/>
                <w:szCs w:val="4"/>
                <w:color w:val="auto"/>
              </w:rPr>
            </w:pPr>
          </w:p>
        </w:tc>
        <w:tc>
          <w:tcPr>
            <w:tcW w:w="220" w:type="dxa"/>
            <w:vAlign w:val="bottom"/>
            <w:tcBorders>
              <w:bottom w:val="single" w:sz="8" w:color="auto"/>
              <w:right w:val="single" w:sz="8" w:color="auto"/>
            </w:tcBorders>
          </w:tcPr>
          <w:p>
            <w:pPr>
              <w:spacing w:after="0"/>
              <w:rPr>
                <w:sz w:val="4"/>
                <w:szCs w:val="4"/>
                <w:color w:val="auto"/>
              </w:rPr>
            </w:pPr>
          </w:p>
        </w:tc>
        <w:tc>
          <w:tcPr>
            <w:tcW w:w="5480" w:type="dxa"/>
            <w:vAlign w:val="bottom"/>
            <w:tcBorders>
              <w:bottom w:val="single" w:sz="8" w:color="auto"/>
              <w:right w:val="single" w:sz="8" w:color="auto"/>
            </w:tcBorders>
          </w:tcPr>
          <w:p>
            <w:pPr>
              <w:spacing w:after="0"/>
              <w:rPr>
                <w:sz w:val="4"/>
                <w:szCs w:val="4"/>
                <w:color w:val="auto"/>
              </w:rPr>
            </w:pPr>
          </w:p>
        </w:tc>
      </w:tr>
      <w:tr>
        <w:trPr>
          <w:trHeight w:val="241"/>
        </w:trPr>
        <w:tc>
          <w:tcPr>
            <w:tcW w:w="554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b w:val="1"/>
                <w:bCs w:val="1"/>
                <w:color w:val="auto"/>
              </w:rPr>
              <w:t>Art.  3c  Conditional  Share  Capital  Increase  for  Employee</w:t>
            </w:r>
          </w:p>
        </w:tc>
        <w:tc>
          <w:tcPr>
            <w:tcW w:w="220" w:type="dxa"/>
            <w:vAlign w:val="bottom"/>
            <w:tcBorders>
              <w:right w:val="single" w:sz="8" w:color="auto"/>
            </w:tcBorders>
          </w:tcPr>
          <w:p>
            <w:pPr>
              <w:spacing w:after="0"/>
              <w:rPr>
                <w:sz w:val="20"/>
                <w:szCs w:val="20"/>
                <w:color w:val="auto"/>
              </w:rPr>
            </w:pPr>
          </w:p>
        </w:tc>
        <w:tc>
          <w:tcPr>
            <w:tcW w:w="5480" w:type="dxa"/>
            <w:vAlign w:val="bottom"/>
            <w:tcBorders>
              <w:right w:val="single" w:sz="8" w:color="auto"/>
            </w:tcBorders>
          </w:tcPr>
          <w:p>
            <w:pPr>
              <w:ind w:left="60"/>
              <w:spacing w:after="0"/>
              <w:rPr>
                <w:sz w:val="20"/>
                <w:szCs w:val="20"/>
                <w:color w:val="auto"/>
              </w:rPr>
            </w:pPr>
            <w:r>
              <w:rPr>
                <w:rFonts w:ascii="Arial" w:cs="Arial" w:eastAsia="Arial" w:hAnsi="Arial"/>
                <w:sz w:val="18"/>
                <w:szCs w:val="18"/>
                <w:b w:val="1"/>
                <w:bCs w:val="1"/>
                <w:color w:val="auto"/>
              </w:rPr>
              <w:t>Art. 3c Augmentation conditionnelle du capital-actions pour</w:t>
            </w:r>
          </w:p>
        </w:tc>
      </w:tr>
      <w:tr>
        <w:trPr>
          <w:trHeight w:val="239"/>
        </w:trPr>
        <w:tc>
          <w:tcPr>
            <w:tcW w:w="554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b w:val="1"/>
                <w:bCs w:val="1"/>
                <w:color w:val="auto"/>
              </w:rPr>
              <w:t>Benefit Plans</w:t>
            </w:r>
          </w:p>
        </w:tc>
        <w:tc>
          <w:tcPr>
            <w:tcW w:w="220" w:type="dxa"/>
            <w:vAlign w:val="bottom"/>
            <w:tcBorders>
              <w:right w:val="single" w:sz="8" w:color="auto"/>
            </w:tcBorders>
          </w:tcPr>
          <w:p>
            <w:pPr>
              <w:spacing w:after="0"/>
              <w:rPr>
                <w:sz w:val="20"/>
                <w:szCs w:val="20"/>
                <w:color w:val="auto"/>
              </w:rPr>
            </w:pPr>
          </w:p>
        </w:tc>
        <w:tc>
          <w:tcPr>
            <w:tcW w:w="5480" w:type="dxa"/>
            <w:vAlign w:val="bottom"/>
            <w:tcBorders>
              <w:right w:val="single" w:sz="8" w:color="auto"/>
            </w:tcBorders>
          </w:tcPr>
          <w:p>
            <w:pPr>
              <w:ind w:left="60"/>
              <w:spacing w:after="0"/>
              <w:rPr>
                <w:sz w:val="20"/>
                <w:szCs w:val="20"/>
                <w:color w:val="auto"/>
              </w:rPr>
            </w:pPr>
            <w:r>
              <w:rPr>
                <w:rFonts w:ascii="Arial" w:cs="Arial" w:eastAsia="Arial" w:hAnsi="Arial"/>
                <w:sz w:val="18"/>
                <w:szCs w:val="18"/>
                <w:b w:val="1"/>
                <w:bCs w:val="1"/>
                <w:color w:val="auto"/>
              </w:rPr>
              <w:t>les plans d'avantages sociaux</w:t>
            </w:r>
          </w:p>
        </w:tc>
      </w:tr>
      <w:tr>
        <w:trPr>
          <w:trHeight w:val="54"/>
        </w:trPr>
        <w:tc>
          <w:tcPr>
            <w:tcW w:w="5540" w:type="dxa"/>
            <w:vAlign w:val="bottom"/>
            <w:tcBorders>
              <w:left w:val="single" w:sz="8" w:color="auto"/>
              <w:bottom w:val="single" w:sz="8" w:color="auto"/>
              <w:right w:val="single" w:sz="8" w:color="auto"/>
            </w:tcBorders>
          </w:tcPr>
          <w:p>
            <w:pPr>
              <w:spacing w:after="0"/>
              <w:rPr>
                <w:sz w:val="4"/>
                <w:szCs w:val="4"/>
                <w:color w:val="auto"/>
              </w:rPr>
            </w:pPr>
          </w:p>
        </w:tc>
        <w:tc>
          <w:tcPr>
            <w:tcW w:w="220" w:type="dxa"/>
            <w:vAlign w:val="bottom"/>
            <w:tcBorders>
              <w:bottom w:val="single" w:sz="8" w:color="auto"/>
              <w:right w:val="single" w:sz="8" w:color="auto"/>
            </w:tcBorders>
          </w:tcPr>
          <w:p>
            <w:pPr>
              <w:spacing w:after="0"/>
              <w:rPr>
                <w:sz w:val="4"/>
                <w:szCs w:val="4"/>
                <w:color w:val="auto"/>
              </w:rPr>
            </w:pPr>
          </w:p>
        </w:tc>
        <w:tc>
          <w:tcPr>
            <w:tcW w:w="5480" w:type="dxa"/>
            <w:vAlign w:val="bottom"/>
            <w:tcBorders>
              <w:bottom w:val="single" w:sz="8" w:color="auto"/>
              <w:right w:val="single" w:sz="8" w:color="auto"/>
            </w:tcBorders>
          </w:tcPr>
          <w:p>
            <w:pPr>
              <w:spacing w:after="0"/>
              <w:rPr>
                <w:sz w:val="4"/>
                <w:szCs w:val="4"/>
                <w:color w:val="auto"/>
              </w:rPr>
            </w:pPr>
          </w:p>
        </w:tc>
      </w:tr>
      <w:tr>
        <w:trPr>
          <w:trHeight w:val="263"/>
        </w:trPr>
        <w:tc>
          <w:tcPr>
            <w:tcW w:w="554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The share capital of the Company shall be increased by an amount</w:t>
            </w:r>
          </w:p>
        </w:tc>
        <w:tc>
          <w:tcPr>
            <w:tcW w:w="220" w:type="dxa"/>
            <w:vAlign w:val="bottom"/>
            <w:tcBorders>
              <w:right w:val="single" w:sz="8" w:color="auto"/>
            </w:tcBorders>
          </w:tcPr>
          <w:p>
            <w:pPr>
              <w:spacing w:after="0"/>
              <w:rPr>
                <w:sz w:val="22"/>
                <w:szCs w:val="22"/>
                <w:color w:val="auto"/>
              </w:rPr>
            </w:pPr>
          </w:p>
        </w:tc>
        <w:tc>
          <w:tcPr>
            <w:tcW w:w="548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Le capital social de la société sera augmenté d'un montant ne</w:t>
            </w:r>
          </w:p>
        </w:tc>
      </w:tr>
      <w:tr>
        <w:trPr>
          <w:trHeight w:val="203"/>
        </w:trPr>
        <w:tc>
          <w:tcPr>
            <w:tcW w:w="5540" w:type="dxa"/>
            <w:vAlign w:val="bottom"/>
            <w:tcBorders>
              <w:left w:val="single" w:sz="8" w:color="auto"/>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not exceeding CHF 64’557.72 through the issue of a maximum of</w:t>
            </w:r>
          </w:p>
        </w:tc>
        <w:tc>
          <w:tcPr>
            <w:tcW w:w="22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dépassant pas CHF 64’557.72 par l'émission d'un maximum de</w:t>
            </w:r>
          </w:p>
        </w:tc>
      </w:tr>
      <w:tr>
        <w:trPr>
          <w:trHeight w:val="203"/>
        </w:trPr>
        <w:tc>
          <w:tcPr>
            <w:tcW w:w="5540" w:type="dxa"/>
            <w:vAlign w:val="bottom"/>
            <w:tcBorders>
              <w:left w:val="single" w:sz="8" w:color="auto"/>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3'228'886 registered shares, payable in full, each with a nominal</w:t>
            </w:r>
          </w:p>
        </w:tc>
        <w:tc>
          <w:tcPr>
            <w:tcW w:w="22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3'228'886  actions  nominatives,  entièrement  libérées,  chacune</w:t>
            </w:r>
          </w:p>
        </w:tc>
      </w:tr>
      <w:tr>
        <w:trPr>
          <w:trHeight w:val="217"/>
        </w:trPr>
        <w:tc>
          <w:tcPr>
            <w:tcW w:w="554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value of CHF 0.02, in connection with the exercise of option</w:t>
            </w:r>
          </w:p>
        </w:tc>
        <w:tc>
          <w:tcPr>
            <w:tcW w:w="220" w:type="dxa"/>
            <w:vAlign w:val="bottom"/>
            <w:tcBorders>
              <w:right w:val="single" w:sz="8" w:color="auto"/>
            </w:tcBorders>
          </w:tcPr>
          <w:p>
            <w:pPr>
              <w:spacing w:after="0"/>
              <w:rPr>
                <w:sz w:val="18"/>
                <w:szCs w:val="18"/>
                <w:color w:val="auto"/>
              </w:rPr>
            </w:pPr>
          </w:p>
        </w:tc>
        <w:tc>
          <w:tcPr>
            <w:tcW w:w="548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avec une valeur nominale de</w:t>
            </w:r>
          </w:p>
        </w:tc>
      </w:tr>
      <w:tr>
        <w:trPr>
          <w:trHeight w:val="54"/>
        </w:trPr>
        <w:tc>
          <w:tcPr>
            <w:tcW w:w="5540" w:type="dxa"/>
            <w:vAlign w:val="bottom"/>
            <w:tcBorders>
              <w:left w:val="single" w:sz="8" w:color="auto"/>
              <w:bottom w:val="single" w:sz="8" w:color="auto"/>
              <w:right w:val="single" w:sz="8" w:color="auto"/>
            </w:tcBorders>
          </w:tcPr>
          <w:p>
            <w:pPr>
              <w:spacing w:after="0"/>
              <w:rPr>
                <w:sz w:val="4"/>
                <w:szCs w:val="4"/>
                <w:color w:val="auto"/>
              </w:rPr>
            </w:pPr>
          </w:p>
        </w:tc>
        <w:tc>
          <w:tcPr>
            <w:tcW w:w="220" w:type="dxa"/>
            <w:vAlign w:val="bottom"/>
            <w:tcBorders>
              <w:bottom w:val="single" w:sz="8" w:color="auto"/>
              <w:right w:val="single" w:sz="8" w:color="auto"/>
            </w:tcBorders>
          </w:tcPr>
          <w:p>
            <w:pPr>
              <w:spacing w:after="0"/>
              <w:rPr>
                <w:sz w:val="4"/>
                <w:szCs w:val="4"/>
                <w:color w:val="auto"/>
              </w:rPr>
            </w:pPr>
          </w:p>
        </w:tc>
        <w:tc>
          <w:tcPr>
            <w:tcW w:w="5480" w:type="dxa"/>
            <w:vAlign w:val="bottom"/>
            <w:tcBorders>
              <w:bottom w:val="single" w:sz="8" w:color="auto"/>
              <w:right w:val="single" w:sz="8" w:color="auto"/>
            </w:tcBorders>
          </w:tcPr>
          <w:p>
            <w:pPr>
              <w:spacing w:after="0"/>
              <w:rPr>
                <w:sz w:val="4"/>
                <w:szCs w:val="4"/>
                <w:color w:val="auto"/>
              </w:rPr>
            </w:pPr>
          </w:p>
        </w:tc>
      </w:tr>
      <w:tr>
        <w:trPr>
          <w:trHeight w:val="453"/>
        </w:trPr>
        <w:tc>
          <w:tcPr>
            <w:tcW w:w="55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54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249" w:right="339" w:bottom="1440" w:gutter="0" w:footer="0" w:header="0"/>
        </w:sectPr>
      </w:pPr>
    </w:p>
    <w:bookmarkStart w:id="42" w:name="page43"/>
    <w:bookmarkEnd w:id="42"/>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187"/>
        </w:trPr>
        <w:tc>
          <w:tcPr>
            <w:tcW w:w="554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5480" w:type="dxa"/>
            <w:vAlign w:val="bottom"/>
            <w:tcBorders>
              <w:bottom w:val="single" w:sz="8" w:color="auto"/>
            </w:tcBorders>
          </w:tcPr>
          <w:p>
            <w:pPr>
              <w:ind w:left="5340"/>
              <w:spacing w:after="0"/>
              <w:rPr>
                <w:sz w:val="20"/>
                <w:szCs w:val="20"/>
                <w:color w:val="auto"/>
              </w:rPr>
            </w:pPr>
            <w:r>
              <w:rPr>
                <w:rFonts w:ascii="Arial" w:cs="Arial" w:eastAsia="Arial" w:hAnsi="Arial"/>
                <w:sz w:val="16"/>
                <w:szCs w:val="16"/>
                <w:color w:val="auto"/>
              </w:rPr>
              <w:t>4</w:t>
            </w:r>
          </w:p>
        </w:tc>
      </w:tr>
      <w:tr>
        <w:trPr>
          <w:trHeight w:val="263"/>
        </w:trPr>
        <w:tc>
          <w:tcPr>
            <w:tcW w:w="554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rights granted to any employee of the Company or a subsidiary,</w:t>
            </w:r>
          </w:p>
        </w:tc>
        <w:tc>
          <w:tcPr>
            <w:tcW w:w="220" w:type="dxa"/>
            <w:vAlign w:val="bottom"/>
            <w:tcBorders>
              <w:right w:val="single" w:sz="8" w:color="auto"/>
            </w:tcBorders>
          </w:tcPr>
          <w:p>
            <w:pPr>
              <w:spacing w:after="0"/>
              <w:rPr>
                <w:sz w:val="22"/>
                <w:szCs w:val="22"/>
                <w:color w:val="auto"/>
              </w:rPr>
            </w:pPr>
          </w:p>
        </w:tc>
        <w:tc>
          <w:tcPr>
            <w:tcW w:w="548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CHF 0.02, dans le cadre de l'exercice de droits d'option accordés</w:t>
            </w:r>
          </w:p>
        </w:tc>
      </w:tr>
      <w:tr>
        <w:trPr>
          <w:trHeight w:val="203"/>
        </w:trPr>
        <w:tc>
          <w:tcPr>
            <w:tcW w:w="5540" w:type="dxa"/>
            <w:vAlign w:val="bottom"/>
            <w:tcBorders>
              <w:left w:val="single" w:sz="8" w:color="auto"/>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and any consultant, members of the Board of Directors, or other</w:t>
            </w:r>
          </w:p>
        </w:tc>
        <w:tc>
          <w:tcPr>
            <w:tcW w:w="22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à tout employé de la Société ou d'une succursale, et à tout</w:t>
            </w:r>
          </w:p>
        </w:tc>
      </w:tr>
      <w:tr>
        <w:trPr>
          <w:trHeight w:val="203"/>
        </w:trPr>
        <w:tc>
          <w:tcPr>
            <w:tcW w:w="5540" w:type="dxa"/>
            <w:vAlign w:val="bottom"/>
            <w:tcBorders>
              <w:left w:val="single" w:sz="8" w:color="auto"/>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person providing services to the Company or a subsidiary.</w:t>
            </w:r>
          </w:p>
        </w:tc>
        <w:tc>
          <w:tcPr>
            <w:tcW w:w="22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consultant, aux membres du conseil d'administration, ou à d'autres</w:t>
            </w:r>
          </w:p>
        </w:tc>
      </w:tr>
      <w:tr>
        <w:trPr>
          <w:trHeight w:val="203"/>
        </w:trPr>
        <w:tc>
          <w:tcPr>
            <w:tcW w:w="5540" w:type="dxa"/>
            <w:vAlign w:val="bottom"/>
            <w:tcBorders>
              <w:left w:val="single" w:sz="8" w:color="auto"/>
              <w:right w:val="single" w:sz="8" w:color="auto"/>
            </w:tcBorders>
          </w:tcPr>
          <w:p>
            <w:pPr>
              <w:spacing w:after="0"/>
              <w:rPr>
                <w:sz w:val="17"/>
                <w:szCs w:val="17"/>
                <w:color w:val="auto"/>
              </w:rPr>
            </w:pPr>
          </w:p>
        </w:tc>
        <w:tc>
          <w:tcPr>
            <w:tcW w:w="22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personnes fournissant des services en faveur de la Société ou</w:t>
            </w:r>
          </w:p>
        </w:tc>
      </w:tr>
      <w:tr>
        <w:trPr>
          <w:trHeight w:val="217"/>
        </w:trPr>
        <w:tc>
          <w:tcPr>
            <w:tcW w:w="5540" w:type="dxa"/>
            <w:vAlign w:val="bottom"/>
            <w:tcBorders>
              <w:left w:val="single" w:sz="8" w:color="auto"/>
              <w:right w:val="single" w:sz="8" w:color="auto"/>
            </w:tcBorders>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548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d'une filiale.</w:t>
            </w:r>
          </w:p>
        </w:tc>
      </w:tr>
      <w:tr>
        <w:trPr>
          <w:trHeight w:val="54"/>
        </w:trPr>
        <w:tc>
          <w:tcPr>
            <w:tcW w:w="5540" w:type="dxa"/>
            <w:vAlign w:val="bottom"/>
            <w:tcBorders>
              <w:left w:val="single" w:sz="8" w:color="auto"/>
              <w:bottom w:val="single" w:sz="8" w:color="auto"/>
              <w:right w:val="single" w:sz="8" w:color="auto"/>
            </w:tcBorders>
          </w:tcPr>
          <w:p>
            <w:pPr>
              <w:spacing w:after="0"/>
              <w:rPr>
                <w:sz w:val="4"/>
                <w:szCs w:val="4"/>
                <w:color w:val="auto"/>
              </w:rPr>
            </w:pPr>
          </w:p>
        </w:tc>
        <w:tc>
          <w:tcPr>
            <w:tcW w:w="220" w:type="dxa"/>
            <w:vAlign w:val="bottom"/>
            <w:tcBorders>
              <w:bottom w:val="single" w:sz="8" w:color="auto"/>
              <w:right w:val="single" w:sz="8" w:color="auto"/>
            </w:tcBorders>
          </w:tcPr>
          <w:p>
            <w:pPr>
              <w:spacing w:after="0"/>
              <w:rPr>
                <w:sz w:val="4"/>
                <w:szCs w:val="4"/>
                <w:color w:val="auto"/>
              </w:rPr>
            </w:pPr>
          </w:p>
        </w:tc>
        <w:tc>
          <w:tcPr>
            <w:tcW w:w="5480" w:type="dxa"/>
            <w:vAlign w:val="bottom"/>
            <w:tcBorders>
              <w:bottom w:val="single" w:sz="8" w:color="auto"/>
              <w:right w:val="single" w:sz="8" w:color="auto"/>
            </w:tcBorders>
          </w:tcPr>
          <w:p>
            <w:pPr>
              <w:spacing w:after="0"/>
              <w:rPr>
                <w:sz w:val="4"/>
                <w:szCs w:val="4"/>
                <w:color w:val="auto"/>
              </w:rPr>
            </w:pPr>
          </w:p>
        </w:tc>
      </w:tr>
      <w:tr>
        <w:trPr>
          <w:trHeight w:val="263"/>
        </w:trPr>
        <w:tc>
          <w:tcPr>
            <w:tcW w:w="554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Shareholders' subscription rights shall be excluded with regard to</w:t>
            </w:r>
          </w:p>
        </w:tc>
        <w:tc>
          <w:tcPr>
            <w:tcW w:w="220" w:type="dxa"/>
            <w:vAlign w:val="bottom"/>
            <w:tcBorders>
              <w:right w:val="single" w:sz="8" w:color="auto"/>
            </w:tcBorders>
          </w:tcPr>
          <w:p>
            <w:pPr>
              <w:spacing w:after="0"/>
              <w:rPr>
                <w:sz w:val="22"/>
                <w:szCs w:val="22"/>
                <w:color w:val="auto"/>
              </w:rPr>
            </w:pPr>
          </w:p>
        </w:tc>
        <w:tc>
          <w:tcPr>
            <w:tcW w:w="548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Le droit de souscription préférentiel des actionnaires est exclu à</w:t>
            </w:r>
          </w:p>
        </w:tc>
      </w:tr>
      <w:tr>
        <w:trPr>
          <w:trHeight w:val="203"/>
        </w:trPr>
        <w:tc>
          <w:tcPr>
            <w:tcW w:w="5540" w:type="dxa"/>
            <w:vAlign w:val="bottom"/>
            <w:tcBorders>
              <w:left w:val="single" w:sz="8" w:color="auto"/>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these shares. These new registered shares may be issued at a</w:t>
            </w:r>
          </w:p>
        </w:tc>
        <w:tc>
          <w:tcPr>
            <w:tcW w:w="22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l'égard de ces actions. Ces nouvelles actions nominatives peuvent</w:t>
            </w:r>
          </w:p>
        </w:tc>
      </w:tr>
      <w:tr>
        <w:trPr>
          <w:trHeight w:val="203"/>
        </w:trPr>
        <w:tc>
          <w:tcPr>
            <w:tcW w:w="5540" w:type="dxa"/>
            <w:vAlign w:val="bottom"/>
            <w:tcBorders>
              <w:left w:val="single" w:sz="8" w:color="auto"/>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price below the current market price. The Board of Directors shall</w:t>
            </w:r>
          </w:p>
        </w:tc>
        <w:tc>
          <w:tcPr>
            <w:tcW w:w="22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être émises à un prix inférieur au prix du marché actuel. Le conseil</w:t>
            </w:r>
          </w:p>
        </w:tc>
      </w:tr>
      <w:tr>
        <w:trPr>
          <w:trHeight w:val="203"/>
        </w:trPr>
        <w:tc>
          <w:tcPr>
            <w:tcW w:w="5540" w:type="dxa"/>
            <w:vAlign w:val="bottom"/>
            <w:tcBorders>
              <w:left w:val="single" w:sz="8" w:color="auto"/>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specify the precise conditions of issue including the issue price of</w:t>
            </w:r>
          </w:p>
        </w:tc>
        <w:tc>
          <w:tcPr>
            <w:tcW w:w="22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d'administration doit préciser les conditions précises d'émission, y</w:t>
            </w:r>
          </w:p>
        </w:tc>
      </w:tr>
      <w:tr>
        <w:trPr>
          <w:trHeight w:val="217"/>
        </w:trPr>
        <w:tc>
          <w:tcPr>
            <w:tcW w:w="554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the shares.</w:t>
            </w:r>
          </w:p>
        </w:tc>
        <w:tc>
          <w:tcPr>
            <w:tcW w:w="220" w:type="dxa"/>
            <w:vAlign w:val="bottom"/>
            <w:tcBorders>
              <w:right w:val="single" w:sz="8" w:color="auto"/>
            </w:tcBorders>
          </w:tcPr>
          <w:p>
            <w:pPr>
              <w:spacing w:after="0"/>
              <w:rPr>
                <w:sz w:val="18"/>
                <w:szCs w:val="18"/>
                <w:color w:val="auto"/>
              </w:rPr>
            </w:pPr>
          </w:p>
        </w:tc>
        <w:tc>
          <w:tcPr>
            <w:tcW w:w="548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compris le prix d'émission des actions.</w:t>
            </w:r>
          </w:p>
        </w:tc>
      </w:tr>
      <w:tr>
        <w:trPr>
          <w:trHeight w:val="54"/>
        </w:trPr>
        <w:tc>
          <w:tcPr>
            <w:tcW w:w="5540" w:type="dxa"/>
            <w:vAlign w:val="bottom"/>
            <w:tcBorders>
              <w:left w:val="single" w:sz="8" w:color="auto"/>
              <w:bottom w:val="single" w:sz="8" w:color="auto"/>
              <w:right w:val="single" w:sz="8" w:color="auto"/>
            </w:tcBorders>
          </w:tcPr>
          <w:p>
            <w:pPr>
              <w:spacing w:after="0"/>
              <w:rPr>
                <w:sz w:val="4"/>
                <w:szCs w:val="4"/>
                <w:color w:val="auto"/>
              </w:rPr>
            </w:pPr>
          </w:p>
        </w:tc>
        <w:tc>
          <w:tcPr>
            <w:tcW w:w="220" w:type="dxa"/>
            <w:vAlign w:val="bottom"/>
            <w:tcBorders>
              <w:bottom w:val="single" w:sz="8" w:color="auto"/>
              <w:right w:val="single" w:sz="8" w:color="auto"/>
            </w:tcBorders>
          </w:tcPr>
          <w:p>
            <w:pPr>
              <w:spacing w:after="0"/>
              <w:rPr>
                <w:sz w:val="4"/>
                <w:szCs w:val="4"/>
                <w:color w:val="auto"/>
              </w:rPr>
            </w:pPr>
          </w:p>
        </w:tc>
        <w:tc>
          <w:tcPr>
            <w:tcW w:w="5480" w:type="dxa"/>
            <w:vAlign w:val="bottom"/>
            <w:tcBorders>
              <w:bottom w:val="single" w:sz="8" w:color="auto"/>
              <w:right w:val="single" w:sz="8" w:color="auto"/>
            </w:tcBorders>
          </w:tcPr>
          <w:p>
            <w:pPr>
              <w:spacing w:after="0"/>
              <w:rPr>
                <w:sz w:val="4"/>
                <w:szCs w:val="4"/>
                <w:color w:val="auto"/>
              </w:rPr>
            </w:pPr>
          </w:p>
        </w:tc>
      </w:tr>
      <w:tr>
        <w:trPr>
          <w:trHeight w:val="263"/>
        </w:trPr>
        <w:tc>
          <w:tcPr>
            <w:tcW w:w="554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The acquisition of registered shares in connection with employee</w:t>
            </w:r>
          </w:p>
        </w:tc>
        <w:tc>
          <w:tcPr>
            <w:tcW w:w="220" w:type="dxa"/>
            <w:vAlign w:val="bottom"/>
            <w:tcBorders>
              <w:right w:val="single" w:sz="8" w:color="auto"/>
            </w:tcBorders>
          </w:tcPr>
          <w:p>
            <w:pPr>
              <w:spacing w:after="0"/>
              <w:rPr>
                <w:sz w:val="22"/>
                <w:szCs w:val="22"/>
                <w:color w:val="auto"/>
              </w:rPr>
            </w:pPr>
          </w:p>
        </w:tc>
        <w:tc>
          <w:tcPr>
            <w:tcW w:w="548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L'acquisition  d'actions  nominatives  dans  le  cadre  de  la</w:t>
            </w:r>
          </w:p>
        </w:tc>
      </w:tr>
      <w:tr>
        <w:trPr>
          <w:trHeight w:val="203"/>
        </w:trPr>
        <w:tc>
          <w:tcPr>
            <w:tcW w:w="5540" w:type="dxa"/>
            <w:vAlign w:val="bottom"/>
            <w:tcBorders>
              <w:left w:val="single" w:sz="8" w:color="auto"/>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participation and any further transfers of registered shares shall be</w:t>
            </w:r>
          </w:p>
        </w:tc>
        <w:tc>
          <w:tcPr>
            <w:tcW w:w="22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participation  des  employés  et  d'autres  transferts  d'actions</w:t>
            </w:r>
          </w:p>
        </w:tc>
      </w:tr>
      <w:tr>
        <w:trPr>
          <w:trHeight w:val="203"/>
        </w:trPr>
        <w:tc>
          <w:tcPr>
            <w:tcW w:w="5540" w:type="dxa"/>
            <w:vAlign w:val="bottom"/>
            <w:tcBorders>
              <w:left w:val="single" w:sz="8" w:color="auto"/>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subject to the restrictions specified in Article 4 of the Articles of</w:t>
            </w:r>
          </w:p>
        </w:tc>
        <w:tc>
          <w:tcPr>
            <w:tcW w:w="22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nominatives sont soumis aux restrictions prévues à l'article 4 des</w:t>
            </w:r>
          </w:p>
        </w:tc>
      </w:tr>
      <w:tr>
        <w:trPr>
          <w:trHeight w:val="217"/>
        </w:trPr>
        <w:tc>
          <w:tcPr>
            <w:tcW w:w="554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Association.</w:t>
            </w:r>
          </w:p>
        </w:tc>
        <w:tc>
          <w:tcPr>
            <w:tcW w:w="220" w:type="dxa"/>
            <w:vAlign w:val="bottom"/>
            <w:tcBorders>
              <w:right w:val="single" w:sz="8" w:color="auto"/>
            </w:tcBorders>
          </w:tcPr>
          <w:p>
            <w:pPr>
              <w:spacing w:after="0"/>
              <w:rPr>
                <w:sz w:val="18"/>
                <w:szCs w:val="18"/>
                <w:color w:val="auto"/>
              </w:rPr>
            </w:pPr>
          </w:p>
        </w:tc>
        <w:tc>
          <w:tcPr>
            <w:tcW w:w="548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statuts.</w:t>
            </w:r>
          </w:p>
        </w:tc>
      </w:tr>
      <w:tr>
        <w:trPr>
          <w:trHeight w:val="54"/>
        </w:trPr>
        <w:tc>
          <w:tcPr>
            <w:tcW w:w="5540" w:type="dxa"/>
            <w:vAlign w:val="bottom"/>
            <w:tcBorders>
              <w:left w:val="single" w:sz="8" w:color="auto"/>
              <w:bottom w:val="single" w:sz="8" w:color="auto"/>
              <w:right w:val="single" w:sz="8" w:color="auto"/>
            </w:tcBorders>
          </w:tcPr>
          <w:p>
            <w:pPr>
              <w:spacing w:after="0"/>
              <w:rPr>
                <w:sz w:val="4"/>
                <w:szCs w:val="4"/>
                <w:color w:val="auto"/>
              </w:rPr>
            </w:pPr>
          </w:p>
        </w:tc>
        <w:tc>
          <w:tcPr>
            <w:tcW w:w="220" w:type="dxa"/>
            <w:vAlign w:val="bottom"/>
            <w:tcBorders>
              <w:bottom w:val="single" w:sz="8" w:color="auto"/>
              <w:right w:val="single" w:sz="8" w:color="auto"/>
            </w:tcBorders>
          </w:tcPr>
          <w:p>
            <w:pPr>
              <w:spacing w:after="0"/>
              <w:rPr>
                <w:sz w:val="4"/>
                <w:szCs w:val="4"/>
                <w:color w:val="auto"/>
              </w:rPr>
            </w:pPr>
          </w:p>
        </w:tc>
        <w:tc>
          <w:tcPr>
            <w:tcW w:w="5480" w:type="dxa"/>
            <w:vAlign w:val="bottom"/>
            <w:tcBorders>
              <w:bottom w:val="single" w:sz="8" w:color="auto"/>
              <w:right w:val="single" w:sz="8" w:color="auto"/>
            </w:tcBorders>
          </w:tcPr>
          <w:p>
            <w:pPr>
              <w:spacing w:after="0"/>
              <w:rPr>
                <w:sz w:val="4"/>
                <w:szCs w:val="4"/>
                <w:color w:val="auto"/>
              </w:rPr>
            </w:pPr>
          </w:p>
        </w:tc>
      </w:tr>
      <w:tr>
        <w:trPr>
          <w:trHeight w:val="277"/>
        </w:trPr>
        <w:tc>
          <w:tcPr>
            <w:tcW w:w="554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b w:val="1"/>
                <w:bCs w:val="1"/>
                <w:color w:val="auto"/>
              </w:rPr>
              <w:t>Art. 4 Share Register</w:t>
            </w:r>
          </w:p>
        </w:tc>
        <w:tc>
          <w:tcPr>
            <w:tcW w:w="220" w:type="dxa"/>
            <w:vAlign w:val="bottom"/>
            <w:tcBorders>
              <w:right w:val="single" w:sz="8" w:color="auto"/>
            </w:tcBorders>
          </w:tcPr>
          <w:p>
            <w:pPr>
              <w:spacing w:after="0"/>
              <w:rPr>
                <w:sz w:val="24"/>
                <w:szCs w:val="24"/>
                <w:color w:val="auto"/>
              </w:rPr>
            </w:pPr>
          </w:p>
        </w:tc>
        <w:tc>
          <w:tcPr>
            <w:tcW w:w="5480" w:type="dxa"/>
            <w:vAlign w:val="bottom"/>
            <w:tcBorders>
              <w:right w:val="single" w:sz="8" w:color="auto"/>
            </w:tcBorders>
          </w:tcPr>
          <w:p>
            <w:pPr>
              <w:ind w:left="60"/>
              <w:spacing w:after="0"/>
              <w:rPr>
                <w:sz w:val="20"/>
                <w:szCs w:val="20"/>
                <w:color w:val="auto"/>
              </w:rPr>
            </w:pPr>
            <w:r>
              <w:rPr>
                <w:rFonts w:ascii="Arial" w:cs="Arial" w:eastAsia="Arial" w:hAnsi="Arial"/>
                <w:sz w:val="18"/>
                <w:szCs w:val="18"/>
                <w:b w:val="1"/>
                <w:bCs w:val="1"/>
                <w:color w:val="auto"/>
              </w:rPr>
              <w:t>Art. 4 Registre des actions</w:t>
            </w:r>
          </w:p>
        </w:tc>
      </w:tr>
      <w:tr>
        <w:trPr>
          <w:trHeight w:val="391"/>
        </w:trPr>
        <w:tc>
          <w:tcPr>
            <w:tcW w:w="554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The Company shall maintain a share register in which it shall</w:t>
            </w:r>
          </w:p>
        </w:tc>
        <w:tc>
          <w:tcPr>
            <w:tcW w:w="220" w:type="dxa"/>
            <w:vAlign w:val="bottom"/>
            <w:tcBorders>
              <w:right w:val="single" w:sz="8" w:color="auto"/>
            </w:tcBorders>
          </w:tcPr>
          <w:p>
            <w:pPr>
              <w:spacing w:after="0"/>
              <w:rPr>
                <w:sz w:val="24"/>
                <w:szCs w:val="24"/>
                <w:color w:val="auto"/>
              </w:rPr>
            </w:pPr>
          </w:p>
        </w:tc>
        <w:tc>
          <w:tcPr>
            <w:tcW w:w="548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La société tient un registre des actions nominatives, dans lequel</w:t>
            </w:r>
          </w:p>
        </w:tc>
      </w:tr>
      <w:tr>
        <w:trPr>
          <w:trHeight w:val="203"/>
        </w:trPr>
        <w:tc>
          <w:tcPr>
            <w:tcW w:w="5540" w:type="dxa"/>
            <w:vAlign w:val="bottom"/>
            <w:tcBorders>
              <w:left w:val="single" w:sz="8" w:color="auto"/>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register the name, first name and place of residence (in case of</w:t>
            </w:r>
          </w:p>
        </w:tc>
        <w:tc>
          <w:tcPr>
            <w:tcW w:w="22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sont inscrits le nom, le prénom et l'adresse (dans le cas d'une</w:t>
            </w:r>
          </w:p>
        </w:tc>
      </w:tr>
      <w:tr>
        <w:trPr>
          <w:trHeight w:val="203"/>
        </w:trPr>
        <w:tc>
          <w:tcPr>
            <w:tcW w:w="5540" w:type="dxa"/>
            <w:vAlign w:val="bottom"/>
            <w:tcBorders>
              <w:left w:val="single" w:sz="8" w:color="auto"/>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legal  persons  the  place  of  incorporation)  of  the  owners  and</w:t>
            </w:r>
          </w:p>
        </w:tc>
        <w:tc>
          <w:tcPr>
            <w:tcW w:w="22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personne morale, le siège) des propriétaires et des usufruitiers des</w:t>
            </w:r>
          </w:p>
        </w:tc>
      </w:tr>
      <w:tr>
        <w:trPr>
          <w:trHeight w:val="203"/>
        </w:trPr>
        <w:tc>
          <w:tcPr>
            <w:tcW w:w="5540" w:type="dxa"/>
            <w:vAlign w:val="bottom"/>
            <w:tcBorders>
              <w:left w:val="single" w:sz="8" w:color="auto"/>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usufructuaries of its registered shares. Natural and legal persons</w:t>
            </w:r>
          </w:p>
        </w:tc>
        <w:tc>
          <w:tcPr>
            <w:tcW w:w="22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actions.  Les  personnes  physiques  et  morales  ainsi  que  les</w:t>
            </w:r>
          </w:p>
        </w:tc>
      </w:tr>
      <w:tr>
        <w:trPr>
          <w:trHeight w:val="203"/>
        </w:trPr>
        <w:tc>
          <w:tcPr>
            <w:tcW w:w="5540" w:type="dxa"/>
            <w:vAlign w:val="bottom"/>
            <w:tcBorders>
              <w:left w:val="single" w:sz="8" w:color="auto"/>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as well as legal representatives of minors etc. entitled by law to the</w:t>
            </w:r>
          </w:p>
        </w:tc>
        <w:tc>
          <w:tcPr>
            <w:tcW w:w="22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représentants légaux des mineurs etc. autorisés par la loi à voter</w:t>
            </w:r>
          </w:p>
        </w:tc>
      </w:tr>
      <w:tr>
        <w:trPr>
          <w:trHeight w:val="203"/>
        </w:trPr>
        <w:tc>
          <w:tcPr>
            <w:tcW w:w="5540" w:type="dxa"/>
            <w:vAlign w:val="bottom"/>
            <w:tcBorders>
              <w:left w:val="single" w:sz="8" w:color="auto"/>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voting rights of a share which they do not own will be noted in the</w:t>
            </w:r>
          </w:p>
        </w:tc>
        <w:tc>
          <w:tcPr>
            <w:tcW w:w="22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alors qu'ils ne sont pas propriétaires des actions seront, sur</w:t>
            </w:r>
          </w:p>
        </w:tc>
      </w:tr>
      <w:tr>
        <w:trPr>
          <w:trHeight w:val="217"/>
        </w:trPr>
        <w:tc>
          <w:tcPr>
            <w:tcW w:w="554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share register upon request.</w:t>
            </w:r>
          </w:p>
        </w:tc>
        <w:tc>
          <w:tcPr>
            <w:tcW w:w="220" w:type="dxa"/>
            <w:vAlign w:val="bottom"/>
            <w:tcBorders>
              <w:right w:val="single" w:sz="8" w:color="auto"/>
            </w:tcBorders>
          </w:tcPr>
          <w:p>
            <w:pPr>
              <w:spacing w:after="0"/>
              <w:rPr>
                <w:sz w:val="18"/>
                <w:szCs w:val="18"/>
                <w:color w:val="auto"/>
              </w:rPr>
            </w:pPr>
          </w:p>
        </w:tc>
        <w:tc>
          <w:tcPr>
            <w:tcW w:w="548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demande, inscrits dans le registre des actions.</w:t>
            </w:r>
          </w:p>
        </w:tc>
      </w:tr>
      <w:tr>
        <w:trPr>
          <w:trHeight w:val="54"/>
        </w:trPr>
        <w:tc>
          <w:tcPr>
            <w:tcW w:w="5540" w:type="dxa"/>
            <w:vAlign w:val="bottom"/>
            <w:tcBorders>
              <w:left w:val="single" w:sz="8" w:color="auto"/>
              <w:bottom w:val="single" w:sz="8" w:color="auto"/>
              <w:right w:val="single" w:sz="8" w:color="auto"/>
            </w:tcBorders>
          </w:tcPr>
          <w:p>
            <w:pPr>
              <w:spacing w:after="0"/>
              <w:rPr>
                <w:sz w:val="4"/>
                <w:szCs w:val="4"/>
                <w:color w:val="auto"/>
              </w:rPr>
            </w:pPr>
          </w:p>
        </w:tc>
        <w:tc>
          <w:tcPr>
            <w:tcW w:w="220" w:type="dxa"/>
            <w:vAlign w:val="bottom"/>
            <w:tcBorders>
              <w:bottom w:val="single" w:sz="8" w:color="auto"/>
              <w:right w:val="single" w:sz="8" w:color="auto"/>
            </w:tcBorders>
          </w:tcPr>
          <w:p>
            <w:pPr>
              <w:spacing w:after="0"/>
              <w:rPr>
                <w:sz w:val="4"/>
                <w:szCs w:val="4"/>
                <w:color w:val="auto"/>
              </w:rPr>
            </w:pPr>
          </w:p>
        </w:tc>
        <w:tc>
          <w:tcPr>
            <w:tcW w:w="5480" w:type="dxa"/>
            <w:vAlign w:val="bottom"/>
            <w:tcBorders>
              <w:bottom w:val="single" w:sz="8" w:color="auto"/>
              <w:right w:val="single" w:sz="8" w:color="auto"/>
            </w:tcBorders>
          </w:tcPr>
          <w:p>
            <w:pPr>
              <w:spacing w:after="0"/>
              <w:rPr>
                <w:sz w:val="4"/>
                <w:szCs w:val="4"/>
                <w:color w:val="auto"/>
              </w:rPr>
            </w:pPr>
          </w:p>
        </w:tc>
      </w:tr>
      <w:tr>
        <w:trPr>
          <w:trHeight w:val="263"/>
        </w:trPr>
        <w:tc>
          <w:tcPr>
            <w:tcW w:w="554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Upon request, acquirers of shares will be registered in the share</w:t>
            </w:r>
          </w:p>
        </w:tc>
        <w:tc>
          <w:tcPr>
            <w:tcW w:w="220" w:type="dxa"/>
            <w:vAlign w:val="bottom"/>
            <w:tcBorders>
              <w:right w:val="single" w:sz="8" w:color="auto"/>
            </w:tcBorders>
          </w:tcPr>
          <w:p>
            <w:pPr>
              <w:spacing w:after="0"/>
              <w:rPr>
                <w:sz w:val="22"/>
                <w:szCs w:val="22"/>
                <w:color w:val="auto"/>
              </w:rPr>
            </w:pPr>
          </w:p>
        </w:tc>
        <w:tc>
          <w:tcPr>
            <w:tcW w:w="548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Sur demande, les acquéreurs d'actions seront inscrits dans le</w:t>
            </w:r>
          </w:p>
        </w:tc>
      </w:tr>
      <w:tr>
        <w:trPr>
          <w:trHeight w:val="203"/>
        </w:trPr>
        <w:tc>
          <w:tcPr>
            <w:tcW w:w="5540" w:type="dxa"/>
            <w:vAlign w:val="bottom"/>
            <w:tcBorders>
              <w:left w:val="single" w:sz="8" w:color="auto"/>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register without limitation as shareholders if they expressly certify</w:t>
            </w:r>
          </w:p>
        </w:tc>
        <w:tc>
          <w:tcPr>
            <w:tcW w:w="22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registre  des  actions  sans  limitation  comme  actionnaires  s'ils</w:t>
            </w:r>
          </w:p>
        </w:tc>
      </w:tr>
      <w:tr>
        <w:trPr>
          <w:trHeight w:val="203"/>
        </w:trPr>
        <w:tc>
          <w:tcPr>
            <w:tcW w:w="5540" w:type="dxa"/>
            <w:vAlign w:val="bottom"/>
            <w:tcBorders>
              <w:left w:val="single" w:sz="8" w:color="auto"/>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that they acquired the shares in their own name and for their own</w:t>
            </w:r>
          </w:p>
        </w:tc>
        <w:tc>
          <w:tcPr>
            <w:tcW w:w="22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attestent expressément qu'ils ont acquis les actions en leur propre</w:t>
            </w:r>
          </w:p>
        </w:tc>
      </w:tr>
      <w:tr>
        <w:trPr>
          <w:trHeight w:val="217"/>
        </w:trPr>
        <w:tc>
          <w:tcPr>
            <w:tcW w:w="554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account.</w:t>
            </w:r>
          </w:p>
        </w:tc>
        <w:tc>
          <w:tcPr>
            <w:tcW w:w="220" w:type="dxa"/>
            <w:vAlign w:val="bottom"/>
            <w:tcBorders>
              <w:right w:val="single" w:sz="8" w:color="auto"/>
            </w:tcBorders>
          </w:tcPr>
          <w:p>
            <w:pPr>
              <w:spacing w:after="0"/>
              <w:rPr>
                <w:sz w:val="18"/>
                <w:szCs w:val="18"/>
                <w:color w:val="auto"/>
              </w:rPr>
            </w:pPr>
          </w:p>
        </w:tc>
        <w:tc>
          <w:tcPr>
            <w:tcW w:w="548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nom et pour leur propre compte.</w:t>
            </w:r>
          </w:p>
        </w:tc>
      </w:tr>
      <w:tr>
        <w:trPr>
          <w:trHeight w:val="54"/>
        </w:trPr>
        <w:tc>
          <w:tcPr>
            <w:tcW w:w="5540" w:type="dxa"/>
            <w:vAlign w:val="bottom"/>
            <w:tcBorders>
              <w:left w:val="single" w:sz="8" w:color="auto"/>
              <w:bottom w:val="single" w:sz="8" w:color="auto"/>
              <w:right w:val="single" w:sz="8" w:color="auto"/>
            </w:tcBorders>
          </w:tcPr>
          <w:p>
            <w:pPr>
              <w:spacing w:after="0"/>
              <w:rPr>
                <w:sz w:val="4"/>
                <w:szCs w:val="4"/>
                <w:color w:val="auto"/>
              </w:rPr>
            </w:pPr>
          </w:p>
        </w:tc>
        <w:tc>
          <w:tcPr>
            <w:tcW w:w="220" w:type="dxa"/>
            <w:vAlign w:val="bottom"/>
            <w:tcBorders>
              <w:bottom w:val="single" w:sz="8" w:color="auto"/>
              <w:right w:val="single" w:sz="8" w:color="auto"/>
            </w:tcBorders>
          </w:tcPr>
          <w:p>
            <w:pPr>
              <w:spacing w:after="0"/>
              <w:rPr>
                <w:sz w:val="4"/>
                <w:szCs w:val="4"/>
                <w:color w:val="auto"/>
              </w:rPr>
            </w:pPr>
          </w:p>
        </w:tc>
        <w:tc>
          <w:tcPr>
            <w:tcW w:w="5480" w:type="dxa"/>
            <w:vAlign w:val="bottom"/>
            <w:tcBorders>
              <w:bottom w:val="single" w:sz="8" w:color="auto"/>
              <w:right w:val="single" w:sz="8" w:color="auto"/>
            </w:tcBorders>
          </w:tcPr>
          <w:p>
            <w:pPr>
              <w:spacing w:after="0"/>
              <w:rPr>
                <w:sz w:val="4"/>
                <w:szCs w:val="4"/>
                <w:color w:val="auto"/>
              </w:rPr>
            </w:pPr>
          </w:p>
        </w:tc>
      </w:tr>
      <w:tr>
        <w:trPr>
          <w:trHeight w:val="263"/>
        </w:trPr>
        <w:tc>
          <w:tcPr>
            <w:tcW w:w="554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Persons  who  do  not  expressly  declare  in  the  registration</w:t>
            </w:r>
          </w:p>
        </w:tc>
        <w:tc>
          <w:tcPr>
            <w:tcW w:w="220" w:type="dxa"/>
            <w:vAlign w:val="bottom"/>
            <w:tcBorders>
              <w:right w:val="single" w:sz="8" w:color="auto"/>
            </w:tcBorders>
          </w:tcPr>
          <w:p>
            <w:pPr>
              <w:spacing w:after="0"/>
              <w:rPr>
                <w:sz w:val="22"/>
                <w:szCs w:val="22"/>
                <w:color w:val="auto"/>
              </w:rPr>
            </w:pPr>
          </w:p>
        </w:tc>
        <w:tc>
          <w:tcPr>
            <w:tcW w:w="548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Les  personnes  qui  ne  déclarent  pas  expressément  dans  la</w:t>
            </w:r>
          </w:p>
        </w:tc>
      </w:tr>
      <w:tr>
        <w:trPr>
          <w:trHeight w:val="203"/>
        </w:trPr>
        <w:tc>
          <w:tcPr>
            <w:tcW w:w="5540" w:type="dxa"/>
            <w:vAlign w:val="bottom"/>
            <w:tcBorders>
              <w:left w:val="single" w:sz="8" w:color="auto"/>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application that they are holding the shares on their own account</w:t>
            </w:r>
          </w:p>
        </w:tc>
        <w:tc>
          <w:tcPr>
            <w:tcW w:w="22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demande d'inscription qu'ils détiennent les actions pour leur propre</w:t>
            </w:r>
          </w:p>
        </w:tc>
      </w:tr>
      <w:tr>
        <w:trPr>
          <w:trHeight w:val="203"/>
        </w:trPr>
        <w:tc>
          <w:tcPr>
            <w:tcW w:w="5540" w:type="dxa"/>
            <w:vAlign w:val="bottom"/>
            <w:tcBorders>
              <w:left w:val="single" w:sz="8" w:color="auto"/>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(thereafter: nominees) shall forthwith be entered on the share</w:t>
            </w:r>
          </w:p>
        </w:tc>
        <w:tc>
          <w:tcPr>
            <w:tcW w:w="22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compte (par la suite: les candidats) doivent immédiatement être</w:t>
            </w:r>
          </w:p>
        </w:tc>
      </w:tr>
      <w:tr>
        <w:trPr>
          <w:trHeight w:val="203"/>
        </w:trPr>
        <w:tc>
          <w:tcPr>
            <w:tcW w:w="5540" w:type="dxa"/>
            <w:vAlign w:val="bottom"/>
            <w:tcBorders>
              <w:left w:val="single" w:sz="8" w:color="auto"/>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register as shareholders with voting rights up to a maximum of 3</w:t>
            </w:r>
          </w:p>
        </w:tc>
        <w:tc>
          <w:tcPr>
            <w:tcW w:w="22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inscrits dans le registre des actions comme actionnaires avec droit</w:t>
            </w:r>
          </w:p>
        </w:tc>
      </w:tr>
      <w:tr>
        <w:trPr>
          <w:trHeight w:val="203"/>
        </w:trPr>
        <w:tc>
          <w:tcPr>
            <w:tcW w:w="5540" w:type="dxa"/>
            <w:vAlign w:val="bottom"/>
            <w:tcBorders>
              <w:left w:val="single" w:sz="8" w:color="auto"/>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percent of the share capital. Beyond that limit, registered shares of</w:t>
            </w:r>
          </w:p>
        </w:tc>
        <w:tc>
          <w:tcPr>
            <w:tcW w:w="22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de vote pour un maximum de 3 pour cent du capital-actions. Au-</w:t>
            </w:r>
          </w:p>
        </w:tc>
      </w:tr>
      <w:tr>
        <w:trPr>
          <w:trHeight w:val="203"/>
        </w:trPr>
        <w:tc>
          <w:tcPr>
            <w:tcW w:w="5540" w:type="dxa"/>
            <w:vAlign w:val="bottom"/>
            <w:tcBorders>
              <w:left w:val="single" w:sz="8" w:color="auto"/>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nominees shall only be entered as voting if the nominees in</w:t>
            </w:r>
          </w:p>
        </w:tc>
        <w:tc>
          <w:tcPr>
            <w:tcW w:w="22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delà de cette limite, les actions nominatives des candidats ne sont</w:t>
            </w:r>
          </w:p>
        </w:tc>
      </w:tr>
      <w:tr>
        <w:trPr>
          <w:trHeight w:val="217"/>
        </w:trPr>
        <w:tc>
          <w:tcPr>
            <w:tcW w:w="554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question confirm in</w:t>
            </w:r>
          </w:p>
        </w:tc>
        <w:tc>
          <w:tcPr>
            <w:tcW w:w="220" w:type="dxa"/>
            <w:vAlign w:val="bottom"/>
            <w:tcBorders>
              <w:right w:val="single" w:sz="8" w:color="auto"/>
            </w:tcBorders>
          </w:tcPr>
          <w:p>
            <w:pPr>
              <w:spacing w:after="0"/>
              <w:rPr>
                <w:sz w:val="18"/>
                <w:szCs w:val="18"/>
                <w:color w:val="auto"/>
              </w:rPr>
            </w:pPr>
          </w:p>
        </w:tc>
        <w:tc>
          <w:tcPr>
            <w:tcW w:w="5480" w:type="dxa"/>
            <w:vAlign w:val="bottom"/>
            <w:tcBorders>
              <w:right w:val="single" w:sz="8" w:color="auto"/>
            </w:tcBorders>
          </w:tcPr>
          <w:p>
            <w:pPr>
              <w:spacing w:after="0"/>
              <w:rPr>
                <w:sz w:val="18"/>
                <w:szCs w:val="18"/>
                <w:color w:val="auto"/>
              </w:rPr>
            </w:pPr>
          </w:p>
        </w:tc>
      </w:tr>
      <w:tr>
        <w:trPr>
          <w:trHeight w:val="54"/>
        </w:trPr>
        <w:tc>
          <w:tcPr>
            <w:tcW w:w="5540" w:type="dxa"/>
            <w:vAlign w:val="bottom"/>
            <w:tcBorders>
              <w:left w:val="single" w:sz="8" w:color="auto"/>
              <w:bottom w:val="single" w:sz="8" w:color="auto"/>
              <w:right w:val="single" w:sz="8" w:color="auto"/>
            </w:tcBorders>
          </w:tcPr>
          <w:p>
            <w:pPr>
              <w:spacing w:after="0"/>
              <w:rPr>
                <w:sz w:val="4"/>
                <w:szCs w:val="4"/>
                <w:color w:val="auto"/>
              </w:rPr>
            </w:pPr>
          </w:p>
        </w:tc>
        <w:tc>
          <w:tcPr>
            <w:tcW w:w="220" w:type="dxa"/>
            <w:vAlign w:val="bottom"/>
            <w:tcBorders>
              <w:bottom w:val="single" w:sz="8" w:color="auto"/>
              <w:right w:val="single" w:sz="8" w:color="auto"/>
            </w:tcBorders>
          </w:tcPr>
          <w:p>
            <w:pPr>
              <w:spacing w:after="0"/>
              <w:rPr>
                <w:sz w:val="4"/>
                <w:szCs w:val="4"/>
                <w:color w:val="auto"/>
              </w:rPr>
            </w:pPr>
          </w:p>
        </w:tc>
        <w:tc>
          <w:tcPr>
            <w:tcW w:w="5480" w:type="dxa"/>
            <w:vAlign w:val="bottom"/>
            <w:tcBorders>
              <w:bottom w:val="single" w:sz="8" w:color="auto"/>
              <w:right w:val="single" w:sz="8" w:color="auto"/>
            </w:tcBorders>
          </w:tcPr>
          <w:p>
            <w:pPr>
              <w:spacing w:after="0"/>
              <w:rPr>
                <w:sz w:val="4"/>
                <w:szCs w:val="4"/>
                <w:color w:val="auto"/>
              </w:rPr>
            </w:pPr>
          </w:p>
        </w:tc>
      </w:tr>
      <w:tr>
        <w:trPr>
          <w:trHeight w:val="452"/>
        </w:trPr>
        <w:tc>
          <w:tcPr>
            <w:tcW w:w="55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54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249" w:right="339" w:bottom="1440" w:gutter="0" w:footer="0" w:header="0"/>
        </w:sectPr>
      </w:pPr>
    </w:p>
    <w:bookmarkStart w:id="43" w:name="page44"/>
    <w:bookmarkEnd w:id="43"/>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187"/>
        </w:trPr>
        <w:tc>
          <w:tcPr>
            <w:tcW w:w="554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5480" w:type="dxa"/>
            <w:vAlign w:val="bottom"/>
            <w:tcBorders>
              <w:bottom w:val="single" w:sz="8" w:color="auto"/>
            </w:tcBorders>
          </w:tcPr>
          <w:p>
            <w:pPr>
              <w:ind w:left="5340"/>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263"/>
        </w:trPr>
        <w:tc>
          <w:tcPr>
            <w:tcW w:w="554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writing that they are willing to disclose the names, addresses and</w:t>
            </w:r>
          </w:p>
        </w:tc>
        <w:tc>
          <w:tcPr>
            <w:tcW w:w="220" w:type="dxa"/>
            <w:vAlign w:val="bottom"/>
            <w:tcBorders>
              <w:right w:val="single" w:sz="8" w:color="auto"/>
            </w:tcBorders>
          </w:tcPr>
          <w:p>
            <w:pPr>
              <w:spacing w:after="0"/>
              <w:rPr>
                <w:sz w:val="22"/>
                <w:szCs w:val="22"/>
                <w:color w:val="auto"/>
              </w:rPr>
            </w:pPr>
          </w:p>
        </w:tc>
        <w:tc>
          <w:tcPr>
            <w:tcW w:w="548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inscrites avec droit de vote que si les candidats en question</w:t>
            </w:r>
          </w:p>
        </w:tc>
        <w:tc>
          <w:tcPr>
            <w:tcW w:w="0" w:type="dxa"/>
            <w:vAlign w:val="bottom"/>
          </w:tcPr>
          <w:p>
            <w:pPr>
              <w:spacing w:after="0"/>
              <w:rPr>
                <w:sz w:val="1"/>
                <w:szCs w:val="1"/>
                <w:color w:val="auto"/>
              </w:rPr>
            </w:pPr>
          </w:p>
        </w:tc>
      </w:tr>
      <w:tr>
        <w:trPr>
          <w:trHeight w:val="203"/>
        </w:trPr>
        <w:tc>
          <w:tcPr>
            <w:tcW w:w="5540" w:type="dxa"/>
            <w:vAlign w:val="bottom"/>
            <w:tcBorders>
              <w:left w:val="single" w:sz="8" w:color="auto"/>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shareholdings of the persons on whose account they hold 0.5</w:t>
            </w:r>
          </w:p>
        </w:tc>
        <w:tc>
          <w:tcPr>
            <w:tcW w:w="22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confirment  par  écrit  qu'ils  sont  prêts  à  divulguer  les  noms,</w:t>
            </w:r>
          </w:p>
        </w:tc>
        <w:tc>
          <w:tcPr>
            <w:tcW w:w="0" w:type="dxa"/>
            <w:vAlign w:val="bottom"/>
          </w:tcPr>
          <w:p>
            <w:pPr>
              <w:spacing w:after="0"/>
              <w:rPr>
                <w:sz w:val="1"/>
                <w:szCs w:val="1"/>
                <w:color w:val="auto"/>
              </w:rPr>
            </w:pPr>
          </w:p>
        </w:tc>
      </w:tr>
      <w:tr>
        <w:trPr>
          <w:trHeight w:val="203"/>
        </w:trPr>
        <w:tc>
          <w:tcPr>
            <w:tcW w:w="5540" w:type="dxa"/>
            <w:vAlign w:val="bottom"/>
            <w:tcBorders>
              <w:left w:val="single" w:sz="8" w:color="auto"/>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percent or more of the share capital. The Board of Directors</w:t>
            </w:r>
          </w:p>
        </w:tc>
        <w:tc>
          <w:tcPr>
            <w:tcW w:w="22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adresses  et  participations  des  personnes  pour  le  compte</w:t>
            </w:r>
          </w:p>
        </w:tc>
        <w:tc>
          <w:tcPr>
            <w:tcW w:w="0" w:type="dxa"/>
            <w:vAlign w:val="bottom"/>
          </w:tcPr>
          <w:p>
            <w:pPr>
              <w:spacing w:after="0"/>
              <w:rPr>
                <w:sz w:val="1"/>
                <w:szCs w:val="1"/>
                <w:color w:val="auto"/>
              </w:rPr>
            </w:pPr>
          </w:p>
        </w:tc>
      </w:tr>
      <w:tr>
        <w:trPr>
          <w:trHeight w:val="203"/>
        </w:trPr>
        <w:tc>
          <w:tcPr>
            <w:tcW w:w="5540" w:type="dxa"/>
            <w:vAlign w:val="bottom"/>
            <w:tcBorders>
              <w:left w:val="single" w:sz="8" w:color="auto"/>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concludes agreements with nominees that among other things</w:t>
            </w:r>
          </w:p>
        </w:tc>
        <w:tc>
          <w:tcPr>
            <w:tcW w:w="22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desquelles ils détiennent 0,5 pour cent ou plus du capital-actions.</w:t>
            </w:r>
          </w:p>
        </w:tc>
        <w:tc>
          <w:tcPr>
            <w:tcW w:w="0" w:type="dxa"/>
            <w:vAlign w:val="bottom"/>
          </w:tcPr>
          <w:p>
            <w:pPr>
              <w:spacing w:after="0"/>
              <w:rPr>
                <w:sz w:val="1"/>
                <w:szCs w:val="1"/>
                <w:color w:val="auto"/>
              </w:rPr>
            </w:pPr>
          </w:p>
        </w:tc>
      </w:tr>
      <w:tr>
        <w:trPr>
          <w:trHeight w:val="203"/>
        </w:trPr>
        <w:tc>
          <w:tcPr>
            <w:tcW w:w="5540" w:type="dxa"/>
            <w:vAlign w:val="bottom"/>
            <w:tcBorders>
              <w:left w:val="single" w:sz="8" w:color="auto"/>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govern the representation of shareholders and the voting rights.</w:t>
            </w:r>
          </w:p>
        </w:tc>
        <w:tc>
          <w:tcPr>
            <w:tcW w:w="22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Le conseil d'administration conclut des accords avec les candidats</w:t>
            </w:r>
          </w:p>
        </w:tc>
        <w:tc>
          <w:tcPr>
            <w:tcW w:w="0" w:type="dxa"/>
            <w:vAlign w:val="bottom"/>
          </w:tcPr>
          <w:p>
            <w:pPr>
              <w:spacing w:after="0"/>
              <w:rPr>
                <w:sz w:val="1"/>
                <w:szCs w:val="1"/>
                <w:color w:val="auto"/>
              </w:rPr>
            </w:pPr>
          </w:p>
        </w:tc>
      </w:tr>
      <w:tr>
        <w:trPr>
          <w:trHeight w:val="203"/>
        </w:trPr>
        <w:tc>
          <w:tcPr>
            <w:tcW w:w="5540" w:type="dxa"/>
            <w:vAlign w:val="bottom"/>
            <w:tcBorders>
              <w:left w:val="single" w:sz="8" w:color="auto"/>
              <w:right w:val="single" w:sz="8" w:color="auto"/>
            </w:tcBorders>
          </w:tcPr>
          <w:p>
            <w:pPr>
              <w:spacing w:after="0"/>
              <w:rPr>
                <w:sz w:val="17"/>
                <w:szCs w:val="17"/>
                <w:color w:val="auto"/>
              </w:rPr>
            </w:pPr>
          </w:p>
        </w:tc>
        <w:tc>
          <w:tcPr>
            <w:tcW w:w="22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qui,  entre  autres  choses,  régissent  la  représentation  des</w:t>
            </w:r>
          </w:p>
        </w:tc>
        <w:tc>
          <w:tcPr>
            <w:tcW w:w="0" w:type="dxa"/>
            <w:vAlign w:val="bottom"/>
          </w:tcPr>
          <w:p>
            <w:pPr>
              <w:spacing w:after="0"/>
              <w:rPr>
                <w:sz w:val="1"/>
                <w:szCs w:val="1"/>
                <w:color w:val="auto"/>
              </w:rPr>
            </w:pPr>
          </w:p>
        </w:tc>
      </w:tr>
      <w:tr>
        <w:trPr>
          <w:trHeight w:val="217"/>
        </w:trPr>
        <w:tc>
          <w:tcPr>
            <w:tcW w:w="5540" w:type="dxa"/>
            <w:vAlign w:val="bottom"/>
            <w:tcBorders>
              <w:left w:val="single" w:sz="8" w:color="auto"/>
              <w:right w:val="single" w:sz="8" w:color="auto"/>
            </w:tcBorders>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548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actionnaires et des droits de vote.</w:t>
            </w:r>
          </w:p>
        </w:tc>
        <w:tc>
          <w:tcPr>
            <w:tcW w:w="0" w:type="dxa"/>
            <w:vAlign w:val="bottom"/>
          </w:tcPr>
          <w:p>
            <w:pPr>
              <w:spacing w:after="0"/>
              <w:rPr>
                <w:sz w:val="1"/>
                <w:szCs w:val="1"/>
                <w:color w:val="auto"/>
              </w:rPr>
            </w:pPr>
          </w:p>
        </w:tc>
      </w:tr>
      <w:tr>
        <w:trPr>
          <w:trHeight w:val="54"/>
        </w:trPr>
        <w:tc>
          <w:tcPr>
            <w:tcW w:w="5540" w:type="dxa"/>
            <w:vAlign w:val="bottom"/>
            <w:tcBorders>
              <w:left w:val="single" w:sz="8" w:color="auto"/>
              <w:bottom w:val="single" w:sz="8" w:color="auto"/>
              <w:right w:val="single" w:sz="8" w:color="auto"/>
            </w:tcBorders>
          </w:tcPr>
          <w:p>
            <w:pPr>
              <w:spacing w:after="0"/>
              <w:rPr>
                <w:sz w:val="4"/>
                <w:szCs w:val="4"/>
                <w:color w:val="auto"/>
              </w:rPr>
            </w:pPr>
          </w:p>
        </w:tc>
        <w:tc>
          <w:tcPr>
            <w:tcW w:w="220" w:type="dxa"/>
            <w:vAlign w:val="bottom"/>
            <w:tcBorders>
              <w:bottom w:val="single" w:sz="8" w:color="auto"/>
              <w:right w:val="single" w:sz="8" w:color="auto"/>
            </w:tcBorders>
          </w:tcPr>
          <w:p>
            <w:pPr>
              <w:spacing w:after="0"/>
              <w:rPr>
                <w:sz w:val="4"/>
                <w:szCs w:val="4"/>
                <w:color w:val="auto"/>
              </w:rPr>
            </w:pPr>
          </w:p>
        </w:tc>
        <w:tc>
          <w:tcPr>
            <w:tcW w:w="548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554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After hearing the registered shareholder or nominee, the Board of</w:t>
            </w:r>
          </w:p>
        </w:tc>
        <w:tc>
          <w:tcPr>
            <w:tcW w:w="220" w:type="dxa"/>
            <w:vAlign w:val="bottom"/>
            <w:tcBorders>
              <w:right w:val="single" w:sz="8" w:color="auto"/>
            </w:tcBorders>
          </w:tcPr>
          <w:p>
            <w:pPr>
              <w:spacing w:after="0"/>
              <w:rPr>
                <w:sz w:val="22"/>
                <w:szCs w:val="22"/>
                <w:color w:val="auto"/>
              </w:rPr>
            </w:pPr>
          </w:p>
        </w:tc>
        <w:tc>
          <w:tcPr>
            <w:tcW w:w="548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Après avoir entendu l'actionnaire enregistré ou le candidat, le</w:t>
            </w:r>
          </w:p>
        </w:tc>
        <w:tc>
          <w:tcPr>
            <w:tcW w:w="0" w:type="dxa"/>
            <w:vAlign w:val="bottom"/>
          </w:tcPr>
          <w:p>
            <w:pPr>
              <w:spacing w:after="0"/>
              <w:rPr>
                <w:sz w:val="1"/>
                <w:szCs w:val="1"/>
                <w:color w:val="auto"/>
              </w:rPr>
            </w:pPr>
          </w:p>
        </w:tc>
      </w:tr>
      <w:tr>
        <w:trPr>
          <w:trHeight w:val="203"/>
        </w:trPr>
        <w:tc>
          <w:tcPr>
            <w:tcW w:w="5540" w:type="dxa"/>
            <w:vAlign w:val="bottom"/>
            <w:tcBorders>
              <w:left w:val="single" w:sz="8" w:color="auto"/>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Directors may remove entries in the share register with retroactive</w:t>
            </w:r>
          </w:p>
        </w:tc>
        <w:tc>
          <w:tcPr>
            <w:tcW w:w="22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conseil d'administration peut supprimer des inscriptions dans le</w:t>
            </w:r>
          </w:p>
        </w:tc>
        <w:tc>
          <w:tcPr>
            <w:tcW w:w="0" w:type="dxa"/>
            <w:vAlign w:val="bottom"/>
          </w:tcPr>
          <w:p>
            <w:pPr>
              <w:spacing w:after="0"/>
              <w:rPr>
                <w:sz w:val="1"/>
                <w:szCs w:val="1"/>
                <w:color w:val="auto"/>
              </w:rPr>
            </w:pPr>
          </w:p>
        </w:tc>
      </w:tr>
      <w:tr>
        <w:trPr>
          <w:trHeight w:val="203"/>
        </w:trPr>
        <w:tc>
          <w:tcPr>
            <w:tcW w:w="5540" w:type="dxa"/>
            <w:vAlign w:val="bottom"/>
            <w:tcBorders>
              <w:left w:val="single" w:sz="8" w:color="auto"/>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effect as per the date of entry, if such entry was based on false</w:t>
            </w:r>
          </w:p>
        </w:tc>
        <w:tc>
          <w:tcPr>
            <w:tcW w:w="22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registre des actions avec effet rétroactif à la date d'inscription, si</w:t>
            </w:r>
          </w:p>
        </w:tc>
        <w:tc>
          <w:tcPr>
            <w:tcW w:w="0" w:type="dxa"/>
            <w:vAlign w:val="bottom"/>
          </w:tcPr>
          <w:p>
            <w:pPr>
              <w:spacing w:after="0"/>
              <w:rPr>
                <w:sz w:val="1"/>
                <w:szCs w:val="1"/>
                <w:color w:val="auto"/>
              </w:rPr>
            </w:pPr>
          </w:p>
        </w:tc>
      </w:tr>
      <w:tr>
        <w:trPr>
          <w:trHeight w:val="203"/>
        </w:trPr>
        <w:tc>
          <w:tcPr>
            <w:tcW w:w="5540" w:type="dxa"/>
            <w:vAlign w:val="bottom"/>
            <w:tcBorders>
              <w:left w:val="single" w:sz="8" w:color="auto"/>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information. The party affected must be informed of such removal</w:t>
            </w:r>
          </w:p>
        </w:tc>
        <w:tc>
          <w:tcPr>
            <w:tcW w:w="22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cette inscription était basée sur de fausses informations. La partie</w:t>
            </w:r>
          </w:p>
        </w:tc>
        <w:tc>
          <w:tcPr>
            <w:tcW w:w="0" w:type="dxa"/>
            <w:vAlign w:val="bottom"/>
          </w:tcPr>
          <w:p>
            <w:pPr>
              <w:spacing w:after="0"/>
              <w:rPr>
                <w:sz w:val="1"/>
                <w:szCs w:val="1"/>
                <w:color w:val="auto"/>
              </w:rPr>
            </w:pPr>
          </w:p>
        </w:tc>
      </w:tr>
      <w:tr>
        <w:trPr>
          <w:trHeight w:val="217"/>
        </w:trPr>
        <w:tc>
          <w:tcPr>
            <w:tcW w:w="554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immediately.</w:t>
            </w:r>
          </w:p>
        </w:tc>
        <w:tc>
          <w:tcPr>
            <w:tcW w:w="220" w:type="dxa"/>
            <w:vAlign w:val="bottom"/>
            <w:tcBorders>
              <w:right w:val="single" w:sz="8" w:color="auto"/>
            </w:tcBorders>
          </w:tcPr>
          <w:p>
            <w:pPr>
              <w:spacing w:after="0"/>
              <w:rPr>
                <w:sz w:val="18"/>
                <w:szCs w:val="18"/>
                <w:color w:val="auto"/>
              </w:rPr>
            </w:pPr>
          </w:p>
        </w:tc>
        <w:tc>
          <w:tcPr>
            <w:tcW w:w="548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touchée doit être immédiatement informée de cette suppression.</w:t>
            </w:r>
          </w:p>
        </w:tc>
        <w:tc>
          <w:tcPr>
            <w:tcW w:w="0" w:type="dxa"/>
            <w:vAlign w:val="bottom"/>
          </w:tcPr>
          <w:p>
            <w:pPr>
              <w:spacing w:after="0"/>
              <w:rPr>
                <w:sz w:val="1"/>
                <w:szCs w:val="1"/>
                <w:color w:val="auto"/>
              </w:rPr>
            </w:pPr>
          </w:p>
        </w:tc>
      </w:tr>
      <w:tr>
        <w:trPr>
          <w:trHeight w:val="54"/>
        </w:trPr>
        <w:tc>
          <w:tcPr>
            <w:tcW w:w="5540" w:type="dxa"/>
            <w:vAlign w:val="bottom"/>
            <w:tcBorders>
              <w:left w:val="single" w:sz="8" w:color="auto"/>
              <w:bottom w:val="single" w:sz="8" w:color="auto"/>
              <w:right w:val="single" w:sz="8" w:color="auto"/>
            </w:tcBorders>
          </w:tcPr>
          <w:p>
            <w:pPr>
              <w:spacing w:after="0"/>
              <w:rPr>
                <w:sz w:val="4"/>
                <w:szCs w:val="4"/>
                <w:color w:val="auto"/>
              </w:rPr>
            </w:pPr>
          </w:p>
        </w:tc>
        <w:tc>
          <w:tcPr>
            <w:tcW w:w="220" w:type="dxa"/>
            <w:vAlign w:val="bottom"/>
            <w:tcBorders>
              <w:bottom w:val="single" w:sz="8" w:color="auto"/>
              <w:right w:val="single" w:sz="8" w:color="auto"/>
            </w:tcBorders>
          </w:tcPr>
          <w:p>
            <w:pPr>
              <w:spacing w:after="0"/>
              <w:rPr>
                <w:sz w:val="4"/>
                <w:szCs w:val="4"/>
                <w:color w:val="auto"/>
              </w:rPr>
            </w:pPr>
          </w:p>
        </w:tc>
        <w:tc>
          <w:tcPr>
            <w:tcW w:w="548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554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No individual or legal entity may, directly or indirectly, formally,</w:t>
            </w:r>
          </w:p>
        </w:tc>
        <w:tc>
          <w:tcPr>
            <w:tcW w:w="220" w:type="dxa"/>
            <w:vAlign w:val="bottom"/>
            <w:tcBorders>
              <w:right w:val="single" w:sz="8" w:color="auto"/>
            </w:tcBorders>
          </w:tcPr>
          <w:p>
            <w:pPr>
              <w:spacing w:after="0"/>
              <w:rPr>
                <w:sz w:val="22"/>
                <w:szCs w:val="22"/>
                <w:color w:val="auto"/>
              </w:rPr>
            </w:pPr>
          </w:p>
        </w:tc>
        <w:tc>
          <w:tcPr>
            <w:tcW w:w="548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Aucune personne physique ou morale ne peut, directement ou</w:t>
            </w:r>
          </w:p>
        </w:tc>
        <w:tc>
          <w:tcPr>
            <w:tcW w:w="0" w:type="dxa"/>
            <w:vAlign w:val="bottom"/>
          </w:tcPr>
          <w:p>
            <w:pPr>
              <w:spacing w:after="0"/>
              <w:rPr>
                <w:sz w:val="1"/>
                <w:szCs w:val="1"/>
                <w:color w:val="auto"/>
              </w:rPr>
            </w:pPr>
          </w:p>
        </w:tc>
      </w:tr>
      <w:tr>
        <w:trPr>
          <w:trHeight w:val="203"/>
        </w:trPr>
        <w:tc>
          <w:tcPr>
            <w:tcW w:w="5540" w:type="dxa"/>
            <w:vAlign w:val="bottom"/>
            <w:tcBorders>
              <w:left w:val="single" w:sz="8" w:color="auto"/>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constructively or beneficially own (as defined in the next paragraph</w:t>
            </w:r>
          </w:p>
        </w:tc>
        <w:tc>
          <w:tcPr>
            <w:tcW w:w="22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indirectement, formellement ou implicitement détenir à son profit</w:t>
            </w:r>
          </w:p>
        </w:tc>
        <w:tc>
          <w:tcPr>
            <w:tcW w:w="0" w:type="dxa"/>
            <w:vAlign w:val="bottom"/>
          </w:tcPr>
          <w:p>
            <w:pPr>
              <w:spacing w:after="0"/>
              <w:rPr>
                <w:sz w:val="1"/>
                <w:szCs w:val="1"/>
                <w:color w:val="auto"/>
              </w:rPr>
            </w:pPr>
          </w:p>
        </w:tc>
      </w:tr>
      <w:tr>
        <w:trPr>
          <w:trHeight w:val="203"/>
        </w:trPr>
        <w:tc>
          <w:tcPr>
            <w:tcW w:w="5540" w:type="dxa"/>
            <w:vAlign w:val="bottom"/>
            <w:tcBorders>
              <w:left w:val="single" w:sz="8" w:color="auto"/>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below) or otherwise control voting rights ("Controlled Shares") with</w:t>
            </w:r>
          </w:p>
        </w:tc>
        <w:tc>
          <w:tcPr>
            <w:tcW w:w="22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(comme défini dans le paragraphe ci-dessous) ou, d'une autre</w:t>
            </w:r>
          </w:p>
        </w:tc>
        <w:tc>
          <w:tcPr>
            <w:tcW w:w="0" w:type="dxa"/>
            <w:vAlign w:val="bottom"/>
          </w:tcPr>
          <w:p>
            <w:pPr>
              <w:spacing w:after="0"/>
              <w:rPr>
                <w:sz w:val="1"/>
                <w:szCs w:val="1"/>
                <w:color w:val="auto"/>
              </w:rPr>
            </w:pPr>
          </w:p>
        </w:tc>
      </w:tr>
      <w:tr>
        <w:trPr>
          <w:trHeight w:val="203"/>
        </w:trPr>
        <w:tc>
          <w:tcPr>
            <w:tcW w:w="5540" w:type="dxa"/>
            <w:vAlign w:val="bottom"/>
            <w:tcBorders>
              <w:left w:val="single" w:sz="8" w:color="auto"/>
              <w:right w:val="single" w:sz="8" w:color="auto"/>
            </w:tcBorders>
          </w:tcPr>
          <w:p>
            <w:pPr>
              <w:ind w:left="100"/>
              <w:spacing w:after="0" w:line="203" w:lineRule="exact"/>
              <w:rPr>
                <w:sz w:val="20"/>
                <w:szCs w:val="20"/>
                <w:color w:val="auto"/>
              </w:rPr>
            </w:pPr>
            <w:r>
              <w:rPr>
                <w:rFonts w:ascii="Arial" w:cs="Arial" w:eastAsia="Arial" w:hAnsi="Arial"/>
                <w:sz w:val="15"/>
                <w:szCs w:val="15"/>
                <w:color w:val="auto"/>
              </w:rPr>
              <w:t xml:space="preserve">respect to 33 </w:t>
            </w:r>
            <w:r>
              <w:rPr>
                <w:rFonts w:ascii="Arial" w:cs="Arial" w:eastAsia="Arial" w:hAnsi="Arial"/>
                <w:sz w:val="23"/>
                <w:szCs w:val="23"/>
                <w:color w:val="auto"/>
                <w:vertAlign w:val="superscript"/>
              </w:rPr>
              <w:t>1</w:t>
            </w:r>
            <w:r>
              <w:rPr>
                <w:rFonts w:ascii="Arial" w:cs="Arial" w:eastAsia="Arial" w:hAnsi="Arial"/>
                <w:sz w:val="15"/>
                <w:szCs w:val="15"/>
                <w:color w:val="auto"/>
              </w:rPr>
              <w:t>/</w:t>
            </w:r>
            <w:r>
              <w:rPr>
                <w:rFonts w:ascii="Arial" w:cs="Arial" w:eastAsia="Arial" w:hAnsi="Arial"/>
                <w:sz w:val="23"/>
                <w:szCs w:val="23"/>
                <w:color w:val="auto"/>
                <w:vertAlign w:val="subscript"/>
              </w:rPr>
              <w:t>3</w:t>
            </w:r>
            <w:r>
              <w:rPr>
                <w:rFonts w:ascii="Arial" w:cs="Arial" w:eastAsia="Arial" w:hAnsi="Arial"/>
                <w:sz w:val="15"/>
                <w:szCs w:val="15"/>
                <w:color w:val="auto"/>
              </w:rPr>
              <w:t xml:space="preserve">  % or more of the registered share capital</w:t>
            </w:r>
          </w:p>
        </w:tc>
        <w:tc>
          <w:tcPr>
            <w:tcW w:w="22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tcPr>
          <w:p>
            <w:pPr>
              <w:ind w:left="60"/>
              <w:spacing w:after="0" w:line="203" w:lineRule="exact"/>
              <w:rPr>
                <w:sz w:val="20"/>
                <w:szCs w:val="20"/>
                <w:color w:val="auto"/>
              </w:rPr>
            </w:pPr>
            <w:r>
              <w:rPr>
                <w:rFonts w:ascii="Arial" w:cs="Arial" w:eastAsia="Arial" w:hAnsi="Arial"/>
                <w:sz w:val="18"/>
                <w:szCs w:val="18"/>
                <w:color w:val="auto"/>
              </w:rPr>
              <w:t>manière, contrôler le droit de vote (les "Actions Contrôlées") de 33</w:t>
            </w:r>
          </w:p>
        </w:tc>
        <w:tc>
          <w:tcPr>
            <w:tcW w:w="0" w:type="dxa"/>
            <w:vAlign w:val="bottom"/>
          </w:tcPr>
          <w:p>
            <w:pPr>
              <w:spacing w:after="0"/>
              <w:rPr>
                <w:sz w:val="1"/>
                <w:szCs w:val="1"/>
                <w:color w:val="auto"/>
              </w:rPr>
            </w:pPr>
          </w:p>
        </w:tc>
      </w:tr>
      <w:tr>
        <w:trPr>
          <w:trHeight w:val="203"/>
        </w:trPr>
        <w:tc>
          <w:tcPr>
            <w:tcW w:w="5540" w:type="dxa"/>
            <w:vAlign w:val="bottom"/>
            <w:tcBorders>
              <w:left w:val="single" w:sz="8" w:color="auto"/>
              <w:right w:val="single" w:sz="8" w:color="auto"/>
            </w:tcBorders>
            <w:vMerge w:val="restart"/>
          </w:tcPr>
          <w:p>
            <w:pPr>
              <w:ind w:left="100"/>
              <w:spacing w:after="0"/>
              <w:rPr>
                <w:sz w:val="20"/>
                <w:szCs w:val="20"/>
                <w:color w:val="auto"/>
              </w:rPr>
            </w:pPr>
            <w:r>
              <w:rPr>
                <w:rFonts w:ascii="Arial" w:cs="Arial" w:eastAsia="Arial" w:hAnsi="Arial"/>
                <w:sz w:val="18"/>
                <w:szCs w:val="18"/>
                <w:color w:val="auto"/>
              </w:rPr>
              <w:t>recorded in the Commercial Register except if such individual or</w:t>
            </w:r>
          </w:p>
        </w:tc>
        <w:tc>
          <w:tcPr>
            <w:tcW w:w="22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tcPr>
          <w:p>
            <w:pPr>
              <w:ind w:left="60"/>
              <w:spacing w:after="0" w:line="202" w:lineRule="exact"/>
              <w:rPr>
                <w:sz w:val="20"/>
                <w:szCs w:val="20"/>
                <w:color w:val="auto"/>
              </w:rPr>
            </w:pPr>
            <w:r>
              <w:rPr>
                <w:rFonts w:ascii="Arial" w:cs="Arial" w:eastAsia="Arial" w:hAnsi="Arial"/>
                <w:sz w:val="23"/>
                <w:szCs w:val="23"/>
                <w:color w:val="auto"/>
                <w:vertAlign w:val="superscript"/>
              </w:rPr>
              <w:t>1</w:t>
            </w:r>
            <w:r>
              <w:rPr>
                <w:rFonts w:ascii="Arial" w:cs="Arial" w:eastAsia="Arial" w:hAnsi="Arial"/>
                <w:sz w:val="15"/>
                <w:szCs w:val="15"/>
                <w:color w:val="auto"/>
              </w:rPr>
              <w:t>/  % ou plus du capital-actions nominatif tel qu'inscrit au registre</w:t>
            </w:r>
          </w:p>
        </w:tc>
        <w:tc>
          <w:tcPr>
            <w:tcW w:w="0" w:type="dxa"/>
            <w:vAlign w:val="bottom"/>
          </w:tcPr>
          <w:p>
            <w:pPr>
              <w:spacing w:after="0"/>
              <w:rPr>
                <w:sz w:val="1"/>
                <w:szCs w:val="1"/>
                <w:color w:val="auto"/>
              </w:rPr>
            </w:pPr>
          </w:p>
        </w:tc>
      </w:tr>
      <w:tr>
        <w:trPr>
          <w:trHeight w:val="67"/>
        </w:trPr>
        <w:tc>
          <w:tcPr>
            <w:tcW w:w="5540" w:type="dxa"/>
            <w:vAlign w:val="bottom"/>
            <w:tcBorders>
              <w:left w:val="single" w:sz="8" w:color="auto"/>
              <w:right w:val="single" w:sz="8" w:color="auto"/>
            </w:tcBorders>
            <w:vMerge w:val="continue"/>
          </w:tcPr>
          <w:p>
            <w:pPr>
              <w:spacing w:after="0"/>
              <w:rPr>
                <w:sz w:val="5"/>
                <w:szCs w:val="5"/>
                <w:color w:val="auto"/>
              </w:rPr>
            </w:pPr>
          </w:p>
        </w:tc>
        <w:tc>
          <w:tcPr>
            <w:tcW w:w="220" w:type="dxa"/>
            <w:vAlign w:val="bottom"/>
            <w:tcBorders>
              <w:right w:val="single" w:sz="8" w:color="auto"/>
            </w:tcBorders>
          </w:tcPr>
          <w:p>
            <w:pPr>
              <w:spacing w:after="0"/>
              <w:rPr>
                <w:sz w:val="5"/>
                <w:szCs w:val="5"/>
                <w:color w:val="auto"/>
              </w:rPr>
            </w:pPr>
          </w:p>
        </w:tc>
        <w:tc>
          <w:tcPr>
            <w:tcW w:w="5480" w:type="dxa"/>
            <w:vAlign w:val="bottom"/>
            <w:tcBorders>
              <w:right w:val="single" w:sz="8" w:color="auto"/>
            </w:tcBorders>
          </w:tcPr>
          <w:p>
            <w:pPr>
              <w:ind w:left="200"/>
              <w:spacing w:after="0" w:line="67" w:lineRule="exact"/>
              <w:rPr>
                <w:sz w:val="20"/>
                <w:szCs w:val="20"/>
                <w:color w:val="auto"/>
              </w:rPr>
            </w:pPr>
            <w:r>
              <w:rPr>
                <w:rFonts w:ascii="Arial" w:cs="Arial" w:eastAsia="Arial" w:hAnsi="Arial"/>
                <w:sz w:val="7"/>
                <w:szCs w:val="7"/>
                <w:color w:val="auto"/>
              </w:rPr>
              <w:t>3</w:t>
            </w:r>
          </w:p>
        </w:tc>
        <w:tc>
          <w:tcPr>
            <w:tcW w:w="0" w:type="dxa"/>
            <w:vAlign w:val="bottom"/>
          </w:tcPr>
          <w:p>
            <w:pPr>
              <w:spacing w:after="0"/>
              <w:rPr>
                <w:sz w:val="1"/>
                <w:szCs w:val="1"/>
                <w:color w:val="auto"/>
              </w:rPr>
            </w:pPr>
          </w:p>
        </w:tc>
      </w:tr>
      <w:tr>
        <w:trPr>
          <w:trHeight w:val="203"/>
        </w:trPr>
        <w:tc>
          <w:tcPr>
            <w:tcW w:w="5540" w:type="dxa"/>
            <w:vAlign w:val="bottom"/>
            <w:tcBorders>
              <w:left w:val="single" w:sz="8" w:color="auto"/>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legal entity has submitted prior to the acquisition of such Controlled</w:t>
            </w:r>
          </w:p>
        </w:tc>
        <w:tc>
          <w:tcPr>
            <w:tcW w:w="22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du  commerce  sauf  si  cette  personne  physique  ou  morale  a</w:t>
            </w:r>
          </w:p>
        </w:tc>
        <w:tc>
          <w:tcPr>
            <w:tcW w:w="0" w:type="dxa"/>
            <w:vAlign w:val="bottom"/>
          </w:tcPr>
          <w:p>
            <w:pPr>
              <w:spacing w:after="0"/>
              <w:rPr>
                <w:sz w:val="1"/>
                <w:szCs w:val="1"/>
                <w:color w:val="auto"/>
              </w:rPr>
            </w:pPr>
          </w:p>
        </w:tc>
      </w:tr>
      <w:tr>
        <w:trPr>
          <w:trHeight w:val="203"/>
        </w:trPr>
        <w:tc>
          <w:tcPr>
            <w:tcW w:w="5540" w:type="dxa"/>
            <w:vAlign w:val="bottom"/>
            <w:tcBorders>
              <w:left w:val="single" w:sz="8" w:color="auto"/>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Shares an orderly tender offer to all shareholders with a minimum</w:t>
            </w:r>
          </w:p>
        </w:tc>
        <w:tc>
          <w:tcPr>
            <w:tcW w:w="22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présenté avant l'acquisition de ces Actions Contrôlée une offre</w:t>
            </w:r>
          </w:p>
        </w:tc>
        <w:tc>
          <w:tcPr>
            <w:tcW w:w="0" w:type="dxa"/>
            <w:vAlign w:val="bottom"/>
          </w:tcPr>
          <w:p>
            <w:pPr>
              <w:spacing w:after="0"/>
              <w:rPr>
                <w:sz w:val="1"/>
                <w:szCs w:val="1"/>
                <w:color w:val="auto"/>
              </w:rPr>
            </w:pPr>
          </w:p>
        </w:tc>
      </w:tr>
      <w:tr>
        <w:trPr>
          <w:trHeight w:val="203"/>
        </w:trPr>
        <w:tc>
          <w:tcPr>
            <w:tcW w:w="5540" w:type="dxa"/>
            <w:vAlign w:val="bottom"/>
            <w:tcBorders>
              <w:left w:val="single" w:sz="8" w:color="auto"/>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price of the higher of (i) the volume weighted average price of the</w:t>
            </w:r>
          </w:p>
        </w:tc>
        <w:tc>
          <w:tcPr>
            <w:tcW w:w="22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publique d'achat en bonne et due forme à tous les actionnaires à</w:t>
            </w:r>
          </w:p>
        </w:tc>
        <w:tc>
          <w:tcPr>
            <w:tcW w:w="0" w:type="dxa"/>
            <w:vAlign w:val="bottom"/>
          </w:tcPr>
          <w:p>
            <w:pPr>
              <w:spacing w:after="0"/>
              <w:rPr>
                <w:sz w:val="1"/>
                <w:szCs w:val="1"/>
                <w:color w:val="auto"/>
              </w:rPr>
            </w:pPr>
          </w:p>
        </w:tc>
      </w:tr>
      <w:tr>
        <w:trPr>
          <w:trHeight w:val="203"/>
        </w:trPr>
        <w:tc>
          <w:tcPr>
            <w:tcW w:w="5540" w:type="dxa"/>
            <w:vAlign w:val="bottom"/>
            <w:tcBorders>
              <w:left w:val="single" w:sz="8" w:color="auto"/>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last 60 trading days prior to the publication of the tender offer or (ii)</w:t>
            </w:r>
          </w:p>
        </w:tc>
        <w:tc>
          <w:tcPr>
            <w:tcW w:w="22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un prix minimum équivalent au montant le plus élevé entre (i) le</w:t>
            </w:r>
          </w:p>
        </w:tc>
        <w:tc>
          <w:tcPr>
            <w:tcW w:w="0" w:type="dxa"/>
            <w:vAlign w:val="bottom"/>
          </w:tcPr>
          <w:p>
            <w:pPr>
              <w:spacing w:after="0"/>
              <w:rPr>
                <w:sz w:val="1"/>
                <w:szCs w:val="1"/>
                <w:color w:val="auto"/>
              </w:rPr>
            </w:pPr>
          </w:p>
        </w:tc>
      </w:tr>
      <w:tr>
        <w:trPr>
          <w:trHeight w:val="203"/>
        </w:trPr>
        <w:tc>
          <w:tcPr>
            <w:tcW w:w="5540" w:type="dxa"/>
            <w:vAlign w:val="bottom"/>
            <w:tcBorders>
              <w:left w:val="single" w:sz="8" w:color="auto"/>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the highest price paid by such individual or legal entity in the 12</w:t>
            </w:r>
          </w:p>
        </w:tc>
        <w:tc>
          <w:tcPr>
            <w:tcW w:w="22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cours moyen pondéré en fonction du volume des 60 derniers jours</w:t>
            </w:r>
          </w:p>
        </w:tc>
        <w:tc>
          <w:tcPr>
            <w:tcW w:w="0" w:type="dxa"/>
            <w:vAlign w:val="bottom"/>
          </w:tcPr>
          <w:p>
            <w:pPr>
              <w:spacing w:after="0"/>
              <w:rPr>
                <w:sz w:val="1"/>
                <w:szCs w:val="1"/>
                <w:color w:val="auto"/>
              </w:rPr>
            </w:pPr>
          </w:p>
        </w:tc>
      </w:tr>
      <w:tr>
        <w:trPr>
          <w:trHeight w:val="203"/>
        </w:trPr>
        <w:tc>
          <w:tcPr>
            <w:tcW w:w="5540" w:type="dxa"/>
            <w:vAlign w:val="bottom"/>
            <w:tcBorders>
              <w:left w:val="single" w:sz="8" w:color="auto"/>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months preceding to the publication of the tender offer. Those</w:t>
            </w:r>
          </w:p>
        </w:tc>
        <w:tc>
          <w:tcPr>
            <w:tcW w:w="22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de bourse précédant la publication de l'offre publique d'achat et (ii)</w:t>
            </w:r>
          </w:p>
        </w:tc>
        <w:tc>
          <w:tcPr>
            <w:tcW w:w="0" w:type="dxa"/>
            <w:vAlign w:val="bottom"/>
          </w:tcPr>
          <w:p>
            <w:pPr>
              <w:spacing w:after="0"/>
              <w:rPr>
                <w:sz w:val="1"/>
                <w:szCs w:val="1"/>
                <w:color w:val="auto"/>
              </w:rPr>
            </w:pPr>
          </w:p>
        </w:tc>
      </w:tr>
      <w:tr>
        <w:trPr>
          <w:trHeight w:val="203"/>
        </w:trPr>
        <w:tc>
          <w:tcPr>
            <w:tcW w:w="5540" w:type="dxa"/>
            <w:vAlign w:val="bottom"/>
            <w:tcBorders>
              <w:left w:val="single" w:sz="8" w:color="auto"/>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associated through capital, voting power, joint management or in</w:t>
            </w:r>
          </w:p>
        </w:tc>
        <w:tc>
          <w:tcPr>
            <w:tcW w:w="22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le plus haut prix payé par cette personne physique ou morale dans</w:t>
            </w:r>
          </w:p>
        </w:tc>
        <w:tc>
          <w:tcPr>
            <w:tcW w:w="0" w:type="dxa"/>
            <w:vAlign w:val="bottom"/>
          </w:tcPr>
          <w:p>
            <w:pPr>
              <w:spacing w:after="0"/>
              <w:rPr>
                <w:sz w:val="1"/>
                <w:szCs w:val="1"/>
                <w:color w:val="auto"/>
              </w:rPr>
            </w:pPr>
          </w:p>
        </w:tc>
      </w:tr>
      <w:tr>
        <w:trPr>
          <w:trHeight w:val="203"/>
        </w:trPr>
        <w:tc>
          <w:tcPr>
            <w:tcW w:w="5540" w:type="dxa"/>
            <w:vAlign w:val="bottom"/>
            <w:tcBorders>
              <w:left w:val="single" w:sz="8" w:color="auto"/>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any other way, or joining for the acquisition of shares, shall be</w:t>
            </w:r>
          </w:p>
        </w:tc>
        <w:tc>
          <w:tcPr>
            <w:tcW w:w="22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les 12 mois précédant la publication de l'offre publique d'achat. Les</w:t>
            </w:r>
          </w:p>
        </w:tc>
        <w:tc>
          <w:tcPr>
            <w:tcW w:w="0" w:type="dxa"/>
            <w:vAlign w:val="bottom"/>
          </w:tcPr>
          <w:p>
            <w:pPr>
              <w:spacing w:after="0"/>
              <w:rPr>
                <w:sz w:val="1"/>
                <w:szCs w:val="1"/>
                <w:color w:val="auto"/>
              </w:rPr>
            </w:pPr>
          </w:p>
        </w:tc>
      </w:tr>
      <w:tr>
        <w:trPr>
          <w:trHeight w:val="203"/>
        </w:trPr>
        <w:tc>
          <w:tcPr>
            <w:tcW w:w="5540" w:type="dxa"/>
            <w:vAlign w:val="bottom"/>
            <w:tcBorders>
              <w:left w:val="single" w:sz="8" w:color="auto"/>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regarded as one person. The registered shares exceeding the limit</w:t>
            </w:r>
          </w:p>
        </w:tc>
        <w:tc>
          <w:tcPr>
            <w:tcW w:w="22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personnes associées par le capital, les droits de vote, une gestion</w:t>
            </w:r>
          </w:p>
        </w:tc>
        <w:tc>
          <w:tcPr>
            <w:tcW w:w="0" w:type="dxa"/>
            <w:vAlign w:val="bottom"/>
          </w:tcPr>
          <w:p>
            <w:pPr>
              <w:spacing w:after="0"/>
              <w:rPr>
                <w:sz w:val="1"/>
                <w:szCs w:val="1"/>
                <w:color w:val="auto"/>
              </w:rPr>
            </w:pPr>
          </w:p>
        </w:tc>
      </w:tr>
      <w:tr>
        <w:trPr>
          <w:trHeight w:val="203"/>
        </w:trPr>
        <w:tc>
          <w:tcPr>
            <w:tcW w:w="5540" w:type="dxa"/>
            <w:vAlign w:val="bottom"/>
            <w:tcBorders>
              <w:left w:val="single" w:sz="8" w:color="auto"/>
              <w:right w:val="single" w:sz="8" w:color="auto"/>
            </w:tcBorders>
          </w:tcPr>
          <w:p>
            <w:pPr>
              <w:ind w:left="100"/>
              <w:spacing w:after="0" w:line="203" w:lineRule="exact"/>
              <w:rPr>
                <w:sz w:val="20"/>
                <w:szCs w:val="20"/>
                <w:color w:val="auto"/>
              </w:rPr>
            </w:pPr>
            <w:r>
              <w:rPr>
                <w:rFonts w:ascii="Arial" w:cs="Arial" w:eastAsia="Arial" w:hAnsi="Arial"/>
                <w:sz w:val="15"/>
                <w:szCs w:val="15"/>
                <w:color w:val="auto"/>
              </w:rPr>
              <w:t xml:space="preserve">of 33 </w:t>
            </w:r>
            <w:r>
              <w:rPr>
                <w:rFonts w:ascii="Arial" w:cs="Arial" w:eastAsia="Arial" w:hAnsi="Arial"/>
                <w:sz w:val="23"/>
                <w:szCs w:val="23"/>
                <w:color w:val="auto"/>
                <w:vertAlign w:val="superscript"/>
              </w:rPr>
              <w:t>1</w:t>
            </w:r>
            <w:r>
              <w:rPr>
                <w:rFonts w:ascii="Arial" w:cs="Arial" w:eastAsia="Arial" w:hAnsi="Arial"/>
                <w:sz w:val="15"/>
                <w:szCs w:val="15"/>
                <w:color w:val="auto"/>
              </w:rPr>
              <w:t>/</w:t>
            </w:r>
            <w:r>
              <w:rPr>
                <w:rFonts w:ascii="Arial" w:cs="Arial" w:eastAsia="Arial" w:hAnsi="Arial"/>
                <w:sz w:val="23"/>
                <w:szCs w:val="23"/>
                <w:color w:val="auto"/>
                <w:vertAlign w:val="subscript"/>
              </w:rPr>
              <w:t>3</w:t>
            </w:r>
            <w:r>
              <w:rPr>
                <w:rFonts w:ascii="Arial" w:cs="Arial" w:eastAsia="Arial" w:hAnsi="Arial"/>
                <w:sz w:val="15"/>
                <w:szCs w:val="15"/>
                <w:color w:val="auto"/>
              </w:rPr>
              <w:t xml:space="preserve"> % and not benefiting from the exemption regarding a</w:t>
            </w:r>
          </w:p>
        </w:tc>
        <w:tc>
          <w:tcPr>
            <w:tcW w:w="22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tcPr>
          <w:p>
            <w:pPr>
              <w:ind w:left="60"/>
              <w:spacing w:after="0" w:line="203" w:lineRule="exact"/>
              <w:rPr>
                <w:sz w:val="20"/>
                <w:szCs w:val="20"/>
                <w:color w:val="auto"/>
              </w:rPr>
            </w:pPr>
            <w:r>
              <w:rPr>
                <w:rFonts w:ascii="Arial" w:cs="Arial" w:eastAsia="Arial" w:hAnsi="Arial"/>
                <w:sz w:val="18"/>
                <w:szCs w:val="18"/>
                <w:color w:val="auto"/>
              </w:rPr>
              <w:t>commune ou de toute autre manière, ou qui se joignent pour une</w:t>
            </w:r>
          </w:p>
        </w:tc>
        <w:tc>
          <w:tcPr>
            <w:tcW w:w="0" w:type="dxa"/>
            <w:vAlign w:val="bottom"/>
          </w:tcPr>
          <w:p>
            <w:pPr>
              <w:spacing w:after="0"/>
              <w:rPr>
                <w:sz w:val="1"/>
                <w:szCs w:val="1"/>
                <w:color w:val="auto"/>
              </w:rPr>
            </w:pPr>
          </w:p>
        </w:tc>
      </w:tr>
      <w:tr>
        <w:trPr>
          <w:trHeight w:val="202"/>
        </w:trPr>
        <w:tc>
          <w:tcPr>
            <w:tcW w:w="5540" w:type="dxa"/>
            <w:vAlign w:val="bottom"/>
            <w:tcBorders>
              <w:left w:val="single" w:sz="8" w:color="auto"/>
              <w:right w:val="single" w:sz="8" w:color="auto"/>
            </w:tcBorders>
            <w:vMerge w:val="restart"/>
          </w:tcPr>
          <w:p>
            <w:pPr>
              <w:ind w:left="100"/>
              <w:spacing w:after="0"/>
              <w:rPr>
                <w:sz w:val="20"/>
                <w:szCs w:val="20"/>
                <w:color w:val="auto"/>
              </w:rPr>
            </w:pPr>
            <w:r>
              <w:rPr>
                <w:rFonts w:ascii="Arial" w:cs="Arial" w:eastAsia="Arial" w:hAnsi="Arial"/>
                <w:sz w:val="18"/>
                <w:szCs w:val="18"/>
                <w:color w:val="auto"/>
              </w:rPr>
              <w:t>tender offer shall be entered in the share register as shares without</w:t>
            </w:r>
          </w:p>
        </w:tc>
        <w:tc>
          <w:tcPr>
            <w:tcW w:w="22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tcPr>
          <w:p>
            <w:pPr>
              <w:ind w:left="60"/>
              <w:spacing w:after="0" w:line="201" w:lineRule="exact"/>
              <w:rPr>
                <w:sz w:val="20"/>
                <w:szCs w:val="20"/>
                <w:color w:val="auto"/>
              </w:rPr>
            </w:pPr>
            <w:r>
              <w:rPr>
                <w:rFonts w:ascii="Arial" w:cs="Arial" w:eastAsia="Arial" w:hAnsi="Arial"/>
                <w:sz w:val="18"/>
                <w:szCs w:val="18"/>
                <w:color w:val="auto"/>
              </w:rPr>
              <w:t>acquisition d'actions, sont considérées comme une personne. Les</w:t>
            </w:r>
          </w:p>
        </w:tc>
        <w:tc>
          <w:tcPr>
            <w:tcW w:w="0" w:type="dxa"/>
            <w:vAlign w:val="bottom"/>
          </w:tcPr>
          <w:p>
            <w:pPr>
              <w:spacing w:after="0"/>
              <w:rPr>
                <w:sz w:val="1"/>
                <w:szCs w:val="1"/>
                <w:color w:val="auto"/>
              </w:rPr>
            </w:pPr>
          </w:p>
        </w:tc>
      </w:tr>
      <w:tr>
        <w:trPr>
          <w:trHeight w:val="67"/>
        </w:trPr>
        <w:tc>
          <w:tcPr>
            <w:tcW w:w="5540" w:type="dxa"/>
            <w:vAlign w:val="bottom"/>
            <w:tcBorders>
              <w:left w:val="single" w:sz="8" w:color="auto"/>
              <w:right w:val="single" w:sz="8" w:color="auto"/>
            </w:tcBorders>
            <w:vMerge w:val="continue"/>
          </w:tcPr>
          <w:p>
            <w:pPr>
              <w:spacing w:after="0"/>
              <w:rPr>
                <w:sz w:val="5"/>
                <w:szCs w:val="5"/>
                <w:color w:val="auto"/>
              </w:rPr>
            </w:pPr>
          </w:p>
        </w:tc>
        <w:tc>
          <w:tcPr>
            <w:tcW w:w="220" w:type="dxa"/>
            <w:vAlign w:val="bottom"/>
            <w:tcBorders>
              <w:right w:val="single" w:sz="8" w:color="auto"/>
            </w:tcBorders>
          </w:tcPr>
          <w:p>
            <w:pPr>
              <w:spacing w:after="0"/>
              <w:rPr>
                <w:sz w:val="5"/>
                <w:szCs w:val="5"/>
                <w:color w:val="auto"/>
              </w:rPr>
            </w:pPr>
          </w:p>
        </w:tc>
        <w:tc>
          <w:tcPr>
            <w:tcW w:w="5480" w:type="dxa"/>
            <w:vAlign w:val="bottom"/>
            <w:tcBorders>
              <w:right w:val="single" w:sz="8" w:color="auto"/>
            </w:tcBorders>
            <w:vMerge w:val="restart"/>
          </w:tcPr>
          <w:p>
            <w:pPr>
              <w:ind w:left="60"/>
              <w:spacing w:after="0" w:line="270" w:lineRule="exact"/>
              <w:rPr>
                <w:sz w:val="20"/>
                <w:szCs w:val="20"/>
                <w:color w:val="auto"/>
              </w:rPr>
            </w:pPr>
            <w:r>
              <w:rPr>
                <w:rFonts w:ascii="Arial" w:cs="Arial" w:eastAsia="Arial" w:hAnsi="Arial"/>
                <w:sz w:val="18"/>
                <w:szCs w:val="18"/>
                <w:color w:val="auto"/>
              </w:rPr>
              <w:t xml:space="preserve">actions  nominatives  dépassant  la  limite  de  33  </w:t>
            </w:r>
            <w:r>
              <w:rPr>
                <w:rFonts w:ascii="Arial" w:cs="Arial" w:eastAsia="Arial" w:hAnsi="Arial"/>
                <w:sz w:val="29"/>
                <w:szCs w:val="29"/>
                <w:color w:val="auto"/>
                <w:vertAlign w:val="superscript"/>
              </w:rPr>
              <w:t>1</w:t>
            </w:r>
            <w:r>
              <w:rPr>
                <w:rFonts w:ascii="Arial" w:cs="Arial" w:eastAsia="Arial" w:hAnsi="Arial"/>
                <w:sz w:val="18"/>
                <w:szCs w:val="18"/>
                <w:color w:val="auto"/>
              </w:rPr>
              <w:t>/</w:t>
            </w:r>
            <w:r>
              <w:rPr>
                <w:rFonts w:ascii="Arial" w:cs="Arial" w:eastAsia="Arial" w:hAnsi="Arial"/>
                <w:sz w:val="29"/>
                <w:szCs w:val="29"/>
                <w:color w:val="auto"/>
                <w:vertAlign w:val="subscript"/>
              </w:rPr>
              <w:t>3</w:t>
            </w:r>
            <w:r>
              <w:rPr>
                <w:rFonts w:ascii="Arial" w:cs="Arial" w:eastAsia="Arial" w:hAnsi="Arial"/>
                <w:sz w:val="18"/>
                <w:szCs w:val="18"/>
                <w:color w:val="auto"/>
              </w:rPr>
              <w:t xml:space="preserve">  %  et  ne</w:t>
            </w:r>
          </w:p>
        </w:tc>
        <w:tc>
          <w:tcPr>
            <w:tcW w:w="0" w:type="dxa"/>
            <w:vAlign w:val="bottom"/>
          </w:tcPr>
          <w:p>
            <w:pPr>
              <w:spacing w:after="0"/>
              <w:rPr>
                <w:sz w:val="1"/>
                <w:szCs w:val="1"/>
                <w:color w:val="auto"/>
              </w:rPr>
            </w:pPr>
          </w:p>
        </w:tc>
      </w:tr>
      <w:tr>
        <w:trPr>
          <w:trHeight w:val="203"/>
        </w:trPr>
        <w:tc>
          <w:tcPr>
            <w:tcW w:w="5540" w:type="dxa"/>
            <w:vAlign w:val="bottom"/>
            <w:tcBorders>
              <w:left w:val="single" w:sz="8" w:color="auto"/>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voting rights.</w:t>
            </w:r>
          </w:p>
        </w:tc>
        <w:tc>
          <w:tcPr>
            <w:tcW w:w="22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540" w:type="dxa"/>
            <w:vAlign w:val="bottom"/>
            <w:tcBorders>
              <w:left w:val="single" w:sz="8" w:color="auto"/>
              <w:right w:val="single" w:sz="8" w:color="auto"/>
            </w:tcBorders>
          </w:tcPr>
          <w:p>
            <w:pPr>
              <w:spacing w:after="0"/>
              <w:rPr>
                <w:sz w:val="17"/>
                <w:szCs w:val="17"/>
                <w:color w:val="auto"/>
              </w:rPr>
            </w:pPr>
          </w:p>
        </w:tc>
        <w:tc>
          <w:tcPr>
            <w:tcW w:w="22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bénéficiant pas de l'exemption relative à une offre publique d'achat</w:t>
            </w:r>
          </w:p>
        </w:tc>
        <w:tc>
          <w:tcPr>
            <w:tcW w:w="0" w:type="dxa"/>
            <w:vAlign w:val="bottom"/>
          </w:tcPr>
          <w:p>
            <w:pPr>
              <w:spacing w:after="0"/>
              <w:rPr>
                <w:sz w:val="1"/>
                <w:szCs w:val="1"/>
                <w:color w:val="auto"/>
              </w:rPr>
            </w:pPr>
          </w:p>
        </w:tc>
      </w:tr>
      <w:tr>
        <w:trPr>
          <w:trHeight w:val="203"/>
        </w:trPr>
        <w:tc>
          <w:tcPr>
            <w:tcW w:w="5540" w:type="dxa"/>
            <w:vAlign w:val="bottom"/>
            <w:tcBorders>
              <w:left w:val="single" w:sz="8" w:color="auto"/>
              <w:right w:val="single" w:sz="8" w:color="auto"/>
            </w:tcBorders>
          </w:tcPr>
          <w:p>
            <w:pPr>
              <w:spacing w:after="0"/>
              <w:rPr>
                <w:sz w:val="17"/>
                <w:szCs w:val="17"/>
                <w:color w:val="auto"/>
              </w:rPr>
            </w:pPr>
          </w:p>
        </w:tc>
        <w:tc>
          <w:tcPr>
            <w:tcW w:w="22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sont inscrites dans le registre des actions comme des actions sans</w:t>
            </w:r>
          </w:p>
        </w:tc>
        <w:tc>
          <w:tcPr>
            <w:tcW w:w="0" w:type="dxa"/>
            <w:vAlign w:val="bottom"/>
          </w:tcPr>
          <w:p>
            <w:pPr>
              <w:spacing w:after="0"/>
              <w:rPr>
                <w:sz w:val="1"/>
                <w:szCs w:val="1"/>
                <w:color w:val="auto"/>
              </w:rPr>
            </w:pPr>
          </w:p>
        </w:tc>
      </w:tr>
      <w:tr>
        <w:trPr>
          <w:trHeight w:val="217"/>
        </w:trPr>
        <w:tc>
          <w:tcPr>
            <w:tcW w:w="5540" w:type="dxa"/>
            <w:vAlign w:val="bottom"/>
            <w:tcBorders>
              <w:left w:val="single" w:sz="8" w:color="auto"/>
              <w:right w:val="single" w:sz="8" w:color="auto"/>
            </w:tcBorders>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548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droit de vote.</w:t>
            </w:r>
          </w:p>
        </w:tc>
        <w:tc>
          <w:tcPr>
            <w:tcW w:w="0" w:type="dxa"/>
            <w:vAlign w:val="bottom"/>
          </w:tcPr>
          <w:p>
            <w:pPr>
              <w:spacing w:after="0"/>
              <w:rPr>
                <w:sz w:val="1"/>
                <w:szCs w:val="1"/>
                <w:color w:val="auto"/>
              </w:rPr>
            </w:pPr>
          </w:p>
        </w:tc>
      </w:tr>
      <w:tr>
        <w:trPr>
          <w:trHeight w:val="54"/>
        </w:trPr>
        <w:tc>
          <w:tcPr>
            <w:tcW w:w="5540" w:type="dxa"/>
            <w:vAlign w:val="bottom"/>
            <w:tcBorders>
              <w:left w:val="single" w:sz="8" w:color="auto"/>
              <w:bottom w:val="single" w:sz="8" w:color="auto"/>
              <w:right w:val="single" w:sz="8" w:color="auto"/>
            </w:tcBorders>
          </w:tcPr>
          <w:p>
            <w:pPr>
              <w:spacing w:after="0"/>
              <w:rPr>
                <w:sz w:val="4"/>
                <w:szCs w:val="4"/>
                <w:color w:val="auto"/>
              </w:rPr>
            </w:pPr>
          </w:p>
        </w:tc>
        <w:tc>
          <w:tcPr>
            <w:tcW w:w="220" w:type="dxa"/>
            <w:vAlign w:val="bottom"/>
            <w:tcBorders>
              <w:bottom w:val="single" w:sz="8" w:color="auto"/>
              <w:right w:val="single" w:sz="8" w:color="auto"/>
            </w:tcBorders>
          </w:tcPr>
          <w:p>
            <w:pPr>
              <w:spacing w:after="0"/>
              <w:rPr>
                <w:sz w:val="4"/>
                <w:szCs w:val="4"/>
                <w:color w:val="auto"/>
              </w:rPr>
            </w:pPr>
          </w:p>
        </w:tc>
        <w:tc>
          <w:tcPr>
            <w:tcW w:w="548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452"/>
        </w:trPr>
        <w:tc>
          <w:tcPr>
            <w:tcW w:w="55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54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249" w:right="339" w:bottom="1440" w:gutter="0" w:footer="0" w:header="0"/>
        </w:sectPr>
      </w:pPr>
    </w:p>
    <w:bookmarkStart w:id="44" w:name="page45"/>
    <w:bookmarkEnd w:id="44"/>
    <w:p>
      <w:pPr>
        <w:ind w:left="11007"/>
        <w:spacing w:after="0"/>
        <w:rPr>
          <w:sz w:val="20"/>
          <w:szCs w:val="20"/>
          <w:color w:val="auto"/>
        </w:rPr>
      </w:pPr>
      <w:r>
        <w:rPr>
          <w:rFonts w:ascii="Arial" w:cs="Arial" w:eastAsia="Arial" w:hAnsi="Arial"/>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-53340</wp:posOffset>
            </wp:positionH>
            <wp:positionV relativeFrom="paragraph">
              <wp:posOffset>1905</wp:posOffset>
            </wp:positionV>
            <wp:extent cx="7132320" cy="537464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5374640"/>
                    </a:xfrm>
                    <a:prstGeom prst="rect">
                      <a:avLst/>
                    </a:prstGeom>
                    <a:noFill/>
                  </pic:spPr>
                </pic:pic>
              </a:graphicData>
            </a:graphic>
          </wp:anchor>
        </w:drawing>
      </w:r>
    </w:p>
    <w:p>
      <w:pPr>
        <w:sectPr>
          <w:pgSz w:w="11900" w:h="16838" w:orient="portrait"/>
          <w:cols w:equalWidth="0" w:num="1">
            <w:col w:w="11107"/>
          </w:cols>
          <w:pgMar w:left="413" w:top="249" w:right="379" w:bottom="1440" w:gutter="0" w:footer="0" w:header="0"/>
        </w:sectPr>
      </w:pPr>
    </w:p>
    <w:p>
      <w:pPr>
        <w:spacing w:after="0" w:line="83" w:lineRule="exact"/>
        <w:rPr>
          <w:sz w:val="20"/>
          <w:szCs w:val="20"/>
          <w:color w:val="auto"/>
        </w:rPr>
      </w:pPr>
    </w:p>
    <w:p>
      <w:pPr>
        <w:ind w:left="7"/>
        <w:spacing w:after="0" w:line="246" w:lineRule="auto"/>
        <w:rPr>
          <w:sz w:val="20"/>
          <w:szCs w:val="20"/>
          <w:color w:val="auto"/>
        </w:rPr>
      </w:pPr>
      <w:r>
        <w:rPr>
          <w:rFonts w:ascii="Arial" w:cs="Arial" w:eastAsia="Arial" w:hAnsi="Arial"/>
          <w:sz w:val="18"/>
          <w:szCs w:val="18"/>
          <w:color w:val="auto"/>
        </w:rPr>
        <w:t>For the purposes of this Article 4, "Controlled Shares" in reference to any individual or entity means:</w:t>
      </w:r>
    </w:p>
    <w:p>
      <w:pPr>
        <w:spacing w:after="0" w:line="183" w:lineRule="exact"/>
        <w:rPr>
          <w:sz w:val="20"/>
          <w:szCs w:val="20"/>
          <w:color w:val="auto"/>
        </w:rPr>
      </w:pPr>
    </w:p>
    <w:p>
      <w:pPr>
        <w:ind w:left="387" w:hanging="387"/>
        <w:spacing w:after="0" w:line="246" w:lineRule="auto"/>
        <w:tabs>
          <w:tab w:leader="none" w:pos="407" w:val="left"/>
        </w:tabs>
        <w:numPr>
          <w:ilvl w:val="0"/>
          <w:numId w:val="61"/>
        </w:numPr>
        <w:rPr>
          <w:rFonts w:ascii="Arial" w:cs="Arial" w:eastAsia="Arial" w:hAnsi="Arial"/>
          <w:sz w:val="18"/>
          <w:szCs w:val="18"/>
          <w:color w:val="auto"/>
        </w:rPr>
      </w:pPr>
      <w:r>
        <w:rPr>
          <w:rFonts w:ascii="Arial" w:cs="Arial" w:eastAsia="Arial" w:hAnsi="Arial"/>
          <w:sz w:val="18"/>
          <w:szCs w:val="18"/>
          <w:color w:val="auto"/>
        </w:rPr>
        <w:t>all shares of the Company directly, indirectly or constructively owned by such individual or entity; provided that</w:t>
      </w:r>
    </w:p>
    <w:p>
      <w:pPr>
        <w:spacing w:after="0" w:line="183" w:lineRule="exact"/>
        <w:rPr>
          <w:rFonts w:ascii="Arial" w:cs="Arial" w:eastAsia="Arial" w:hAnsi="Arial"/>
          <w:sz w:val="18"/>
          <w:szCs w:val="18"/>
          <w:color w:val="auto"/>
        </w:rPr>
      </w:pPr>
    </w:p>
    <w:p>
      <w:pPr>
        <w:jc w:val="both"/>
        <w:ind w:left="767" w:hanging="384"/>
        <w:spacing w:after="0" w:line="238" w:lineRule="auto"/>
        <w:tabs>
          <w:tab w:leader="none" w:pos="1051" w:val="left"/>
        </w:tabs>
        <w:numPr>
          <w:ilvl w:val="1"/>
          <w:numId w:val="61"/>
        </w:numPr>
        <w:rPr>
          <w:rFonts w:ascii="Arial" w:cs="Arial" w:eastAsia="Arial" w:hAnsi="Arial"/>
          <w:sz w:val="18"/>
          <w:szCs w:val="18"/>
          <w:color w:val="auto"/>
        </w:rPr>
      </w:pPr>
      <w:r>
        <w:rPr>
          <w:rFonts w:ascii="Arial" w:cs="Arial" w:eastAsia="Arial" w:hAnsi="Arial"/>
          <w:sz w:val="18"/>
          <w:szCs w:val="18"/>
          <w:color w:val="auto"/>
        </w:rPr>
        <w:t>shares owned, directly or indirectly, by or for a partnership, or trust or estate will be considered as being owned proportionately by its partners, or beneficiaries; and</w:t>
      </w:r>
    </w:p>
    <w:p>
      <w:pPr>
        <w:spacing w:after="0" w:line="191" w:lineRule="exact"/>
        <w:rPr>
          <w:rFonts w:ascii="Arial" w:cs="Arial" w:eastAsia="Arial" w:hAnsi="Arial"/>
          <w:sz w:val="18"/>
          <w:szCs w:val="18"/>
          <w:color w:val="auto"/>
        </w:rPr>
      </w:pPr>
    </w:p>
    <w:p>
      <w:pPr>
        <w:jc w:val="both"/>
        <w:ind w:left="767" w:hanging="384"/>
        <w:spacing w:after="0" w:line="238" w:lineRule="auto"/>
        <w:tabs>
          <w:tab w:leader="none" w:pos="734" w:val="left"/>
        </w:tabs>
        <w:numPr>
          <w:ilvl w:val="1"/>
          <w:numId w:val="61"/>
        </w:numPr>
        <w:rPr>
          <w:rFonts w:ascii="Arial" w:cs="Arial" w:eastAsia="Arial" w:hAnsi="Arial"/>
          <w:sz w:val="18"/>
          <w:szCs w:val="18"/>
          <w:color w:val="auto"/>
        </w:rPr>
      </w:pPr>
      <w:r>
        <w:rPr>
          <w:rFonts w:ascii="Arial" w:cs="Arial" w:eastAsia="Arial" w:hAnsi="Arial"/>
          <w:sz w:val="18"/>
          <w:szCs w:val="18"/>
          <w:color w:val="auto"/>
        </w:rPr>
        <w:t>shares owned, directly or indirectly, by or for a corporation will be considered as being owned proportionately by any shareholder owning 50% or more of the outstanding voting shares of such corporation; and</w:t>
      </w:r>
    </w:p>
    <w:p>
      <w:pPr>
        <w:spacing w:after="0" w:line="191" w:lineRule="exact"/>
        <w:rPr>
          <w:rFonts w:ascii="Arial" w:cs="Arial" w:eastAsia="Arial" w:hAnsi="Arial"/>
          <w:sz w:val="18"/>
          <w:szCs w:val="18"/>
          <w:color w:val="auto"/>
        </w:rPr>
      </w:pPr>
    </w:p>
    <w:p>
      <w:pPr>
        <w:ind w:left="767" w:hanging="384"/>
        <w:spacing w:after="0" w:line="246" w:lineRule="auto"/>
        <w:tabs>
          <w:tab w:leader="none" w:pos="746" w:val="left"/>
        </w:tabs>
        <w:numPr>
          <w:ilvl w:val="1"/>
          <w:numId w:val="61"/>
        </w:numPr>
        <w:rPr>
          <w:rFonts w:ascii="Arial" w:cs="Arial" w:eastAsia="Arial" w:hAnsi="Arial"/>
          <w:sz w:val="18"/>
          <w:szCs w:val="18"/>
          <w:color w:val="auto"/>
        </w:rPr>
      </w:pPr>
      <w:r>
        <w:rPr>
          <w:rFonts w:ascii="Arial" w:cs="Arial" w:eastAsia="Arial" w:hAnsi="Arial"/>
          <w:sz w:val="18"/>
          <w:szCs w:val="18"/>
          <w:color w:val="auto"/>
        </w:rPr>
        <w:t>shares subject to options, warrants or other similar rights shall be deemed to be owned; and</w:t>
      </w:r>
    </w:p>
    <w:p>
      <w:pPr>
        <w:spacing w:after="0" w:line="183" w:lineRule="exact"/>
        <w:rPr>
          <w:rFonts w:ascii="Arial" w:cs="Arial" w:eastAsia="Arial" w:hAnsi="Arial"/>
          <w:sz w:val="18"/>
          <w:szCs w:val="18"/>
          <w:color w:val="auto"/>
        </w:rPr>
      </w:pPr>
    </w:p>
    <w:p>
      <w:pPr>
        <w:ind w:left="387" w:hanging="387"/>
        <w:spacing w:after="0" w:line="246" w:lineRule="auto"/>
        <w:tabs>
          <w:tab w:leader="none" w:pos="532" w:val="left"/>
        </w:tabs>
        <w:numPr>
          <w:ilvl w:val="0"/>
          <w:numId w:val="61"/>
        </w:numPr>
        <w:rPr>
          <w:rFonts w:ascii="Arial" w:cs="Arial" w:eastAsia="Arial" w:hAnsi="Arial"/>
          <w:sz w:val="18"/>
          <w:szCs w:val="18"/>
          <w:color w:val="auto"/>
        </w:rPr>
      </w:pPr>
      <w:r>
        <w:rPr>
          <w:rFonts w:ascii="Arial" w:cs="Arial" w:eastAsia="Arial" w:hAnsi="Arial"/>
          <w:sz w:val="18"/>
          <w:szCs w:val="18"/>
          <w:color w:val="auto"/>
        </w:rPr>
        <w:t>all shares of the Company directly, indirectly beneficially owned by such individual or entity; provided that</w:t>
      </w:r>
    </w:p>
    <w:p>
      <w:pPr>
        <w:spacing w:after="0" w:line="183" w:lineRule="exact"/>
        <w:rPr>
          <w:rFonts w:ascii="Arial" w:cs="Arial" w:eastAsia="Arial" w:hAnsi="Arial"/>
          <w:sz w:val="18"/>
          <w:szCs w:val="18"/>
          <w:color w:val="auto"/>
        </w:rPr>
      </w:pPr>
    </w:p>
    <w:p>
      <w:pPr>
        <w:jc w:val="both"/>
        <w:ind w:left="767" w:hanging="384"/>
        <w:spacing w:after="0" w:line="238" w:lineRule="auto"/>
        <w:tabs>
          <w:tab w:leader="none" w:pos="761" w:val="left"/>
        </w:tabs>
        <w:numPr>
          <w:ilvl w:val="1"/>
          <w:numId w:val="61"/>
        </w:numPr>
        <w:rPr>
          <w:rFonts w:ascii="Arial" w:cs="Arial" w:eastAsia="Arial" w:hAnsi="Arial"/>
          <w:sz w:val="18"/>
          <w:szCs w:val="18"/>
          <w:color w:val="auto"/>
        </w:rPr>
      </w:pPr>
      <w:r>
        <w:rPr>
          <w:rFonts w:ascii="Arial" w:cs="Arial" w:eastAsia="Arial" w:hAnsi="Arial"/>
          <w:sz w:val="18"/>
          <w:szCs w:val="18"/>
          <w:color w:val="auto"/>
        </w:rPr>
        <w:t>a beneficial owner of a security includes any person who, directly or indirectly, through any contract, arrangement, understanding, relationship, or otherwise alone or together with other such persons has or shares:</w:t>
      </w:r>
    </w:p>
    <w:p>
      <w:pPr>
        <w:spacing w:after="0" w:line="191" w:lineRule="exact"/>
        <w:rPr>
          <w:rFonts w:ascii="Arial" w:cs="Arial" w:eastAsia="Arial" w:hAnsi="Arial"/>
          <w:sz w:val="18"/>
          <w:szCs w:val="18"/>
          <w:color w:val="auto"/>
        </w:rPr>
      </w:pPr>
    </w:p>
    <w:p>
      <w:pPr>
        <w:ind w:left="1147" w:hanging="381"/>
        <w:spacing w:after="0" w:line="246" w:lineRule="auto"/>
        <w:tabs>
          <w:tab w:leader="none" w:pos="1154" w:val="left"/>
        </w:tabs>
        <w:numPr>
          <w:ilvl w:val="2"/>
          <w:numId w:val="61"/>
        </w:numPr>
        <w:rPr>
          <w:rFonts w:ascii="Arial" w:cs="Arial" w:eastAsia="Arial" w:hAnsi="Arial"/>
          <w:sz w:val="18"/>
          <w:szCs w:val="18"/>
          <w:color w:val="auto"/>
        </w:rPr>
      </w:pPr>
      <w:r>
        <w:rPr>
          <w:rFonts w:ascii="Arial" w:cs="Arial" w:eastAsia="Arial" w:hAnsi="Arial"/>
          <w:sz w:val="18"/>
          <w:szCs w:val="18"/>
          <w:color w:val="auto"/>
        </w:rPr>
        <w:t>voting power which includes the power to vote, or to direct the voting of, such security; and/or</w:t>
      </w:r>
    </w:p>
    <w:p>
      <w:pPr>
        <w:spacing w:after="0" w:line="183" w:lineRule="exact"/>
        <w:rPr>
          <w:rFonts w:ascii="Arial" w:cs="Arial" w:eastAsia="Arial" w:hAnsi="Arial"/>
          <w:sz w:val="18"/>
          <w:szCs w:val="18"/>
          <w:color w:val="auto"/>
        </w:rPr>
      </w:pPr>
    </w:p>
    <w:p>
      <w:pPr>
        <w:jc w:val="both"/>
        <w:ind w:left="1147" w:hanging="381"/>
        <w:spacing w:after="0" w:line="246" w:lineRule="auto"/>
        <w:tabs>
          <w:tab w:leader="none" w:pos="1314" w:val="left"/>
        </w:tabs>
        <w:numPr>
          <w:ilvl w:val="2"/>
          <w:numId w:val="61"/>
        </w:numPr>
        <w:rPr>
          <w:rFonts w:ascii="Arial" w:cs="Arial" w:eastAsia="Arial" w:hAnsi="Arial"/>
          <w:sz w:val="18"/>
          <w:szCs w:val="18"/>
          <w:color w:val="auto"/>
        </w:rPr>
      </w:pPr>
      <w:r>
        <w:rPr>
          <w:rFonts w:ascii="Arial" w:cs="Arial" w:eastAsia="Arial" w:hAnsi="Arial"/>
          <w:sz w:val="18"/>
          <w:szCs w:val="18"/>
          <w:color w:val="auto"/>
        </w:rPr>
        <w:t>investment power which includes the power to dispose, or to direct the disposition of, such security.</w:t>
      </w:r>
    </w:p>
    <w:p>
      <w:pPr>
        <w:spacing w:after="0" w:line="183" w:lineRule="exact"/>
        <w:rPr>
          <w:rFonts w:ascii="Arial" w:cs="Arial" w:eastAsia="Arial" w:hAnsi="Arial"/>
          <w:sz w:val="18"/>
          <w:szCs w:val="18"/>
          <w:color w:val="auto"/>
        </w:rPr>
      </w:pPr>
    </w:p>
    <w:p>
      <w:pPr>
        <w:ind w:left="767" w:hanging="384"/>
        <w:spacing w:after="0" w:line="246" w:lineRule="auto"/>
        <w:tabs>
          <w:tab w:leader="none" w:pos="781" w:val="left"/>
        </w:tabs>
        <w:numPr>
          <w:ilvl w:val="1"/>
          <w:numId w:val="61"/>
        </w:numPr>
        <w:rPr>
          <w:rFonts w:ascii="Arial" w:cs="Arial" w:eastAsia="Arial" w:hAnsi="Arial"/>
          <w:sz w:val="18"/>
          <w:szCs w:val="18"/>
          <w:color w:val="auto"/>
        </w:rPr>
      </w:pPr>
      <w:r>
        <w:rPr>
          <w:rFonts w:ascii="Arial" w:cs="Arial" w:eastAsia="Arial" w:hAnsi="Arial"/>
          <w:sz w:val="18"/>
          <w:szCs w:val="18"/>
          <w:color w:val="auto"/>
        </w:rPr>
        <w:t>Any person who, directly or indirectly, creates or uses a trust, proxy, power of attorney, pooling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-53340</wp:posOffset>
            </wp:positionH>
            <wp:positionV relativeFrom="paragraph">
              <wp:posOffset>1102995</wp:posOffset>
            </wp:positionV>
            <wp:extent cx="713232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63" w:lineRule="exact"/>
        <w:rPr>
          <w:sz w:val="20"/>
          <w:szCs w:val="20"/>
          <w:color w:val="auto"/>
        </w:rPr>
      </w:pPr>
    </w:p>
    <w:p>
      <w:pPr>
        <w:ind w:left="3" w:right="60"/>
        <w:spacing w:after="0" w:line="246" w:lineRule="auto"/>
        <w:rPr>
          <w:sz w:val="20"/>
          <w:szCs w:val="20"/>
          <w:color w:val="auto"/>
        </w:rPr>
      </w:pPr>
      <w:r>
        <w:rPr>
          <w:rFonts w:ascii="Arial" w:cs="Arial" w:eastAsia="Arial" w:hAnsi="Arial"/>
          <w:sz w:val="18"/>
          <w:szCs w:val="18"/>
          <w:color w:val="auto"/>
        </w:rPr>
        <w:t>Aux fins du présent article 4, Actions Contrôlées signifie en référence à toute personne physique ou morale:</w:t>
      </w:r>
    </w:p>
    <w:p>
      <w:pPr>
        <w:spacing w:after="0" w:line="183" w:lineRule="exact"/>
        <w:rPr>
          <w:sz w:val="20"/>
          <w:szCs w:val="20"/>
          <w:color w:val="auto"/>
        </w:rPr>
      </w:pPr>
    </w:p>
    <w:p>
      <w:pPr>
        <w:jc w:val="both"/>
        <w:ind w:left="383" w:right="60" w:hanging="383"/>
        <w:spacing w:after="0"/>
        <w:tabs>
          <w:tab w:leader="none" w:pos="428" w:val="left"/>
        </w:tabs>
        <w:numPr>
          <w:ilvl w:val="0"/>
          <w:numId w:val="62"/>
        </w:numPr>
        <w:rPr>
          <w:rFonts w:ascii="Arial" w:cs="Arial" w:eastAsia="Arial" w:hAnsi="Arial"/>
          <w:sz w:val="18"/>
          <w:szCs w:val="18"/>
          <w:color w:val="auto"/>
        </w:rPr>
      </w:pPr>
      <w:r>
        <w:rPr>
          <w:rFonts w:ascii="Arial" w:cs="Arial" w:eastAsia="Arial" w:hAnsi="Arial"/>
          <w:sz w:val="18"/>
          <w:szCs w:val="18"/>
          <w:color w:val="auto"/>
        </w:rPr>
        <w:t>toutes actions directement, indirectement ou implicitement détenues par cette personne physique ou morale, à condition que</w:t>
      </w:r>
    </w:p>
    <w:p>
      <w:pPr>
        <w:spacing w:after="0" w:line="189" w:lineRule="exact"/>
        <w:rPr>
          <w:rFonts w:ascii="Arial" w:cs="Arial" w:eastAsia="Arial" w:hAnsi="Arial"/>
          <w:sz w:val="18"/>
          <w:szCs w:val="18"/>
          <w:color w:val="auto"/>
        </w:rPr>
      </w:pPr>
    </w:p>
    <w:p>
      <w:pPr>
        <w:jc w:val="both"/>
        <w:ind w:left="763" w:right="40" w:hanging="380"/>
        <w:spacing w:after="0" w:line="238" w:lineRule="auto"/>
        <w:tabs>
          <w:tab w:leader="none" w:pos="845" w:val="left"/>
        </w:tabs>
        <w:numPr>
          <w:ilvl w:val="1"/>
          <w:numId w:val="62"/>
        </w:numPr>
        <w:rPr>
          <w:rFonts w:ascii="Arial" w:cs="Arial" w:eastAsia="Arial" w:hAnsi="Arial"/>
          <w:sz w:val="18"/>
          <w:szCs w:val="18"/>
          <w:color w:val="auto"/>
        </w:rPr>
      </w:pPr>
      <w:r>
        <w:rPr>
          <w:rFonts w:ascii="Arial" w:cs="Arial" w:eastAsia="Arial" w:hAnsi="Arial"/>
          <w:sz w:val="18"/>
          <w:szCs w:val="18"/>
          <w:color w:val="auto"/>
        </w:rPr>
        <w:t>les actions détenues, directement ou indirectement, par ou pour un partenariat, une fiducie ou une communauté d'héritiers sont considérées comme étant détenues proportionnellement par leurs partenaires ou bénéficiaires; et</w:t>
      </w:r>
    </w:p>
    <w:p>
      <w:pPr>
        <w:spacing w:after="0" w:line="188" w:lineRule="exact"/>
        <w:rPr>
          <w:rFonts w:ascii="Arial" w:cs="Arial" w:eastAsia="Arial" w:hAnsi="Arial"/>
          <w:sz w:val="18"/>
          <w:szCs w:val="18"/>
          <w:color w:val="auto"/>
        </w:rPr>
      </w:pPr>
    </w:p>
    <w:p>
      <w:pPr>
        <w:jc w:val="both"/>
        <w:ind w:left="763" w:right="40" w:hanging="380"/>
        <w:spacing w:after="0" w:line="238" w:lineRule="auto"/>
        <w:tabs>
          <w:tab w:leader="none" w:pos="789" w:val="left"/>
        </w:tabs>
        <w:numPr>
          <w:ilvl w:val="1"/>
          <w:numId w:val="62"/>
        </w:numPr>
        <w:rPr>
          <w:rFonts w:ascii="Arial" w:cs="Arial" w:eastAsia="Arial" w:hAnsi="Arial"/>
          <w:sz w:val="18"/>
          <w:szCs w:val="18"/>
          <w:color w:val="auto"/>
        </w:rPr>
      </w:pPr>
      <w:r>
        <w:rPr>
          <w:rFonts w:ascii="Arial" w:cs="Arial" w:eastAsia="Arial" w:hAnsi="Arial"/>
          <w:sz w:val="18"/>
          <w:szCs w:val="18"/>
          <w:color w:val="auto"/>
        </w:rPr>
        <w:t>les actions détenues, directement ou indirectement, par ou pour une société seront considérées comme étant détenues proportionnellement par tout actionnaire détenant 50% ou plus des actions avec droit de vote en circulation de cette société; et</w:t>
      </w:r>
    </w:p>
    <w:p>
      <w:pPr>
        <w:spacing w:after="0" w:line="188" w:lineRule="exact"/>
        <w:rPr>
          <w:rFonts w:ascii="Arial" w:cs="Arial" w:eastAsia="Arial" w:hAnsi="Arial"/>
          <w:sz w:val="18"/>
          <w:szCs w:val="18"/>
          <w:color w:val="auto"/>
        </w:rPr>
      </w:pPr>
    </w:p>
    <w:p>
      <w:pPr>
        <w:jc w:val="both"/>
        <w:ind w:left="763" w:right="40" w:hanging="380"/>
        <w:spacing w:after="0"/>
        <w:tabs>
          <w:tab w:leader="none" w:pos="898" w:val="left"/>
        </w:tabs>
        <w:numPr>
          <w:ilvl w:val="1"/>
          <w:numId w:val="62"/>
        </w:numPr>
        <w:rPr>
          <w:rFonts w:ascii="Arial" w:cs="Arial" w:eastAsia="Arial" w:hAnsi="Arial"/>
          <w:sz w:val="18"/>
          <w:szCs w:val="18"/>
          <w:color w:val="auto"/>
        </w:rPr>
      </w:pPr>
      <w:r>
        <w:rPr>
          <w:rFonts w:ascii="Arial" w:cs="Arial" w:eastAsia="Arial" w:hAnsi="Arial"/>
          <w:sz w:val="18"/>
          <w:szCs w:val="18"/>
          <w:color w:val="auto"/>
        </w:rPr>
        <w:t>les actions sujettes à des options, des bons de souscription ou autres droits semblables sont réputées être détenues; et</w:t>
      </w:r>
    </w:p>
    <w:p>
      <w:pPr>
        <w:spacing w:after="0" w:line="189" w:lineRule="exact"/>
        <w:rPr>
          <w:rFonts w:ascii="Arial" w:cs="Arial" w:eastAsia="Arial" w:hAnsi="Arial"/>
          <w:sz w:val="18"/>
          <w:szCs w:val="18"/>
          <w:color w:val="auto"/>
        </w:rPr>
      </w:pPr>
    </w:p>
    <w:p>
      <w:pPr>
        <w:jc w:val="both"/>
        <w:ind w:left="383" w:right="60" w:hanging="383"/>
        <w:spacing w:after="0"/>
        <w:tabs>
          <w:tab w:leader="none" w:pos="69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toutes actions de la société détenues directement, indirectement ou à son profit par cette personne physique ou morale, à condition que</w:t>
      </w:r>
    </w:p>
    <w:p>
      <w:pPr>
        <w:spacing w:after="0" w:line="189" w:lineRule="exact"/>
        <w:rPr>
          <w:rFonts w:ascii="Arial" w:cs="Arial" w:eastAsia="Arial" w:hAnsi="Arial"/>
          <w:sz w:val="18"/>
          <w:szCs w:val="18"/>
          <w:color w:val="auto"/>
        </w:rPr>
      </w:pPr>
    </w:p>
    <w:p>
      <w:pPr>
        <w:jc w:val="both"/>
        <w:ind w:left="763" w:right="40" w:hanging="380"/>
        <w:spacing w:after="0" w:line="238" w:lineRule="auto"/>
        <w:tabs>
          <w:tab w:leader="none" w:pos="740" w:val="left"/>
        </w:tabs>
        <w:numPr>
          <w:ilvl w:val="1"/>
          <w:numId w:val="62"/>
        </w:numPr>
        <w:rPr>
          <w:rFonts w:ascii="Arial" w:cs="Arial" w:eastAsia="Arial" w:hAnsi="Arial"/>
          <w:sz w:val="18"/>
          <w:szCs w:val="18"/>
          <w:color w:val="auto"/>
        </w:rPr>
      </w:pPr>
      <w:r>
        <w:rPr>
          <w:rFonts w:ascii="Arial" w:cs="Arial" w:eastAsia="Arial" w:hAnsi="Arial"/>
          <w:sz w:val="18"/>
          <w:szCs w:val="18"/>
          <w:color w:val="auto"/>
        </w:rPr>
        <w:t>un bénéficiaire effectif d'un titre comprend toute personne qui, directement ou indirectement, par le biais d'un contrat, d'un accord, d'une entente, d'une relation, ou autrement, seul ou avec d'autres personnes a ou partage:</w:t>
      </w:r>
    </w:p>
    <w:p>
      <w:pPr>
        <w:spacing w:after="0" w:line="188" w:lineRule="exact"/>
        <w:rPr>
          <w:rFonts w:ascii="Arial" w:cs="Arial" w:eastAsia="Arial" w:hAnsi="Arial"/>
          <w:sz w:val="18"/>
          <w:szCs w:val="18"/>
          <w:color w:val="auto"/>
        </w:rPr>
      </w:pPr>
    </w:p>
    <w:p>
      <w:pPr>
        <w:ind w:left="1143" w:right="60" w:hanging="377"/>
        <w:spacing w:after="0" w:line="246" w:lineRule="auto"/>
        <w:tabs>
          <w:tab w:leader="none" w:pos="1100" w:val="left"/>
        </w:tabs>
        <w:numPr>
          <w:ilvl w:val="2"/>
          <w:numId w:val="62"/>
        </w:numPr>
        <w:rPr>
          <w:rFonts w:ascii="Arial" w:cs="Arial" w:eastAsia="Arial" w:hAnsi="Arial"/>
          <w:sz w:val="18"/>
          <w:szCs w:val="18"/>
          <w:color w:val="auto"/>
        </w:rPr>
      </w:pPr>
      <w:r>
        <w:rPr>
          <w:rFonts w:ascii="Arial" w:cs="Arial" w:eastAsia="Arial" w:hAnsi="Arial"/>
          <w:sz w:val="18"/>
          <w:szCs w:val="18"/>
          <w:color w:val="auto"/>
        </w:rPr>
        <w:t>le pouvoir de voter, y compris le pouvoir de voter ou de diriger le vote d'un tel titre; et/ou</w:t>
      </w:r>
    </w:p>
    <w:p>
      <w:pPr>
        <w:spacing w:after="0" w:line="183" w:lineRule="exact"/>
        <w:rPr>
          <w:rFonts w:ascii="Arial" w:cs="Arial" w:eastAsia="Arial" w:hAnsi="Arial"/>
          <w:sz w:val="18"/>
          <w:szCs w:val="18"/>
          <w:color w:val="auto"/>
        </w:rPr>
      </w:pPr>
    </w:p>
    <w:p>
      <w:pPr>
        <w:ind w:left="1143" w:right="60" w:hanging="377"/>
        <w:spacing w:after="0" w:line="246" w:lineRule="auto"/>
        <w:tabs>
          <w:tab w:leader="none" w:pos="1088" w:val="left"/>
        </w:tabs>
        <w:numPr>
          <w:ilvl w:val="2"/>
          <w:numId w:val="62"/>
        </w:numPr>
        <w:rPr>
          <w:rFonts w:ascii="Arial" w:cs="Arial" w:eastAsia="Arial" w:hAnsi="Arial"/>
          <w:sz w:val="18"/>
          <w:szCs w:val="18"/>
          <w:color w:val="auto"/>
        </w:rPr>
      </w:pPr>
      <w:r>
        <w:rPr>
          <w:rFonts w:ascii="Arial" w:cs="Arial" w:eastAsia="Arial" w:hAnsi="Arial"/>
          <w:sz w:val="18"/>
          <w:szCs w:val="18"/>
          <w:color w:val="auto"/>
        </w:rPr>
        <w:t>le pouvoir d'investir, y compris le pouvoir de disposer ou de diriger la disposition d'un tel titre.</w:t>
      </w:r>
    </w:p>
    <w:p>
      <w:pPr>
        <w:spacing w:after="0" w:line="183" w:lineRule="exact"/>
        <w:rPr>
          <w:rFonts w:ascii="Arial" w:cs="Arial" w:eastAsia="Arial" w:hAnsi="Arial"/>
          <w:sz w:val="18"/>
          <w:szCs w:val="18"/>
          <w:color w:val="auto"/>
        </w:rPr>
      </w:pPr>
    </w:p>
    <w:p>
      <w:pPr>
        <w:ind w:left="763" w:right="60" w:hanging="380"/>
        <w:spacing w:after="0" w:line="246" w:lineRule="auto"/>
        <w:tabs>
          <w:tab w:leader="none" w:pos="794" w:val="left"/>
        </w:tabs>
        <w:numPr>
          <w:ilvl w:val="1"/>
          <w:numId w:val="62"/>
        </w:numPr>
        <w:rPr>
          <w:rFonts w:ascii="Arial" w:cs="Arial" w:eastAsia="Arial" w:hAnsi="Arial"/>
          <w:sz w:val="18"/>
          <w:szCs w:val="18"/>
          <w:color w:val="auto"/>
        </w:rPr>
      </w:pPr>
      <w:r>
        <w:rPr>
          <w:rFonts w:ascii="Arial" w:cs="Arial" w:eastAsia="Arial" w:hAnsi="Arial"/>
          <w:sz w:val="18"/>
          <w:szCs w:val="18"/>
          <w:color w:val="auto"/>
        </w:rPr>
        <w:t>Toute personne qui, directement ou indirectement, crée ou utilise une fiducie, une procuration, un pooling</w:t>
      </w:r>
    </w:p>
    <w:p>
      <w:pPr>
        <w:sectPr>
          <w:pgSz w:w="11900" w:h="16838" w:orient="portrait"/>
          <w:cols w:equalWidth="0" w:num="2">
            <w:col w:w="5347" w:space="377"/>
            <w:col w:w="5383"/>
          </w:cols>
          <w:pgMar w:left="413" w:top="249" w:right="379" w:bottom="1440" w:gutter="0" w:footer="0" w:header="0"/>
          <w:type w:val="continuous"/>
        </w:sectPr>
      </w:pPr>
    </w:p>
    <w:bookmarkStart w:id="45" w:name="page46"/>
    <w:bookmarkEnd w:id="45"/>
    <w:p>
      <w:pPr>
        <w:ind w:left="11000"/>
        <w:spacing w:after="0"/>
        <w:rPr>
          <w:sz w:val="20"/>
          <w:szCs w:val="20"/>
          <w:color w:val="auto"/>
        </w:rPr>
      </w:pPr>
      <w:r>
        <w:rPr>
          <w:rFonts w:ascii="Arial" w:cs="Arial" w:eastAsia="Arial" w:hAnsi="Arial"/>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1905</wp:posOffset>
            </wp:positionV>
            <wp:extent cx="7132320" cy="443166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4431665"/>
                    </a:xfrm>
                    <a:prstGeom prst="rect">
                      <a:avLst/>
                    </a:prstGeom>
                    <a:noFill/>
                  </pic:spPr>
                </pic:pic>
              </a:graphicData>
            </a:graphic>
          </wp:anchor>
        </w:drawing>
      </w:r>
    </w:p>
    <w:p>
      <w:pPr>
        <w:sectPr>
          <w:pgSz w:w="11900" w:h="16838" w:orient="portrait"/>
          <w:cols w:equalWidth="0" w:num="1">
            <w:col w:w="11100"/>
          </w:cols>
          <w:pgMar w:left="420" w:top="249" w:right="379" w:bottom="1440" w:gutter="0" w:footer="0" w:header="0"/>
        </w:sectPr>
      </w:pPr>
    </w:p>
    <w:p>
      <w:pPr>
        <w:spacing w:after="0" w:line="83" w:lineRule="exact"/>
        <w:rPr>
          <w:sz w:val="20"/>
          <w:szCs w:val="20"/>
          <w:color w:val="auto"/>
        </w:rPr>
      </w:pPr>
    </w:p>
    <w:p>
      <w:pPr>
        <w:jc w:val="both"/>
        <w:ind w:left="760" w:firstLine="18"/>
        <w:spacing w:after="0" w:line="237" w:lineRule="auto"/>
        <w:rPr>
          <w:sz w:val="20"/>
          <w:szCs w:val="20"/>
          <w:color w:val="auto"/>
        </w:rPr>
      </w:pPr>
      <w:r>
        <w:rPr>
          <w:rFonts w:ascii="Arial" w:cs="Arial" w:eastAsia="Arial" w:hAnsi="Arial"/>
          <w:sz w:val="18"/>
          <w:szCs w:val="18"/>
          <w:color w:val="auto"/>
        </w:rPr>
        <w:t>arrangement or any other contract, arrangement, or device with the purpose or effect of divesting such person of beneficial ownership of shares of the Company or preventing the vesting of such beneficial ownership as part of a plan or scheme to evade the provisions of these articles of association shall be deemed to be the beneficial owner of such shares.</w:t>
      </w:r>
    </w:p>
    <w:p>
      <w:pPr>
        <w:spacing w:after="0" w:line="189" w:lineRule="exact"/>
        <w:rPr>
          <w:sz w:val="20"/>
          <w:szCs w:val="20"/>
          <w:color w:val="auto"/>
        </w:rPr>
      </w:pPr>
    </w:p>
    <w:p>
      <w:pPr>
        <w:jc w:val="both"/>
        <w:ind w:left="760" w:hanging="384"/>
        <w:spacing w:after="0" w:line="236" w:lineRule="auto"/>
        <w:tabs>
          <w:tab w:leader="none" w:pos="801" w:val="left"/>
        </w:tabs>
        <w:numPr>
          <w:ilvl w:val="0"/>
          <w:numId w:val="63"/>
        </w:numPr>
        <w:rPr>
          <w:rFonts w:ascii="Arial" w:cs="Arial" w:eastAsia="Arial" w:hAnsi="Arial"/>
          <w:sz w:val="18"/>
          <w:szCs w:val="18"/>
          <w:color w:val="auto"/>
        </w:rPr>
      </w:pPr>
      <w:r>
        <w:rPr>
          <w:rFonts w:ascii="Arial" w:cs="Arial" w:eastAsia="Arial" w:hAnsi="Arial"/>
          <w:sz w:val="18"/>
          <w:szCs w:val="18"/>
          <w:color w:val="auto"/>
        </w:rPr>
        <w:t>A person shall be deemed to be the beneficial owner of shares if that person has the right to acquire beneficial ownership of such shares within 60 days, including but not limited to any right acquired: (A) through the exercise of any option, warrant or right; (B) through the conversion of a security; (C) pursuant to the power to revoke a trust, discretionary account, or similar arrangement; or (D) pursuant to the automatic termination of a trust, discretionary account or similar arrangement.</w:t>
      </w:r>
    </w:p>
    <w:p>
      <w:pPr>
        <w:spacing w:after="0" w:line="9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The limit of 33 </w:t>
      </w:r>
      <w:r>
        <w:rPr>
          <w:rFonts w:ascii="Arial" w:cs="Arial" w:eastAsia="Arial" w:hAnsi="Arial"/>
          <w:sz w:val="29"/>
          <w:szCs w:val="29"/>
          <w:color w:val="auto"/>
          <w:vertAlign w:val="superscript"/>
        </w:rPr>
        <w:t>1</w:t>
      </w:r>
      <w:r>
        <w:rPr>
          <w:rFonts w:ascii="Arial" w:cs="Arial" w:eastAsia="Arial" w:hAnsi="Arial"/>
          <w:sz w:val="18"/>
          <w:szCs w:val="18"/>
          <w:color w:val="auto"/>
        </w:rPr>
        <w:t>/</w:t>
      </w:r>
      <w:r>
        <w:rPr>
          <w:rFonts w:ascii="Arial" w:cs="Arial" w:eastAsia="Arial" w:hAnsi="Arial"/>
          <w:sz w:val="29"/>
          <w:szCs w:val="29"/>
          <w:color w:val="auto"/>
          <w:vertAlign w:val="subscript"/>
        </w:rPr>
        <w:t>3</w:t>
      </w:r>
      <w:r>
        <w:rPr>
          <w:rFonts w:ascii="Arial" w:cs="Arial" w:eastAsia="Arial" w:hAnsi="Arial"/>
          <w:sz w:val="18"/>
          <w:szCs w:val="18"/>
          <w:color w:val="auto"/>
        </w:rPr>
        <w:t xml:space="preserve"> % of the registered share capital also applies to</w:t>
      </w:r>
    </w:p>
    <w:p>
      <w:pPr>
        <w:spacing w:after="0" w:line="32" w:lineRule="exact"/>
        <w:rPr>
          <w:sz w:val="20"/>
          <w:szCs w:val="20"/>
          <w:color w:val="auto"/>
        </w:rPr>
      </w:pPr>
    </w:p>
    <w:p>
      <w:pPr>
        <w:jc w:val="both"/>
        <w:spacing w:after="0" w:line="234" w:lineRule="auto"/>
        <w:rPr>
          <w:sz w:val="20"/>
          <w:szCs w:val="20"/>
          <w:color w:val="auto"/>
        </w:rPr>
      </w:pPr>
      <w:r>
        <w:rPr>
          <w:rFonts w:ascii="Arial" w:cs="Arial" w:eastAsia="Arial" w:hAnsi="Arial"/>
          <w:sz w:val="18"/>
          <w:szCs w:val="18"/>
          <w:color w:val="auto"/>
        </w:rPr>
        <w:t>the subscription for, or acquisition of, registered shares by exercising option or convertible rights arising from registered or bearer securities or any other securities issued by the Company or third parties, as well as by means of exercising purchased preemptive rights arising from either registered or bearer shares.</w:t>
      </w:r>
    </w:p>
    <w:p>
      <w:pPr>
        <w:spacing w:after="0" w:line="4" w:lineRule="exact"/>
        <w:rPr>
          <w:sz w:val="20"/>
          <w:szCs w:val="20"/>
          <w:color w:val="auto"/>
        </w:rPr>
      </w:pPr>
    </w:p>
    <w:p>
      <w:pPr>
        <w:jc w:val="both"/>
        <w:spacing w:after="0" w:line="216" w:lineRule="auto"/>
        <w:rPr>
          <w:sz w:val="20"/>
          <w:szCs w:val="20"/>
          <w:color w:val="auto"/>
        </w:rPr>
      </w:pPr>
      <w:r>
        <w:rPr>
          <w:rFonts w:ascii="Arial" w:cs="Arial" w:eastAsia="Arial" w:hAnsi="Arial"/>
          <w:sz w:val="18"/>
          <w:szCs w:val="18"/>
          <w:color w:val="auto"/>
        </w:rPr>
        <w:t xml:space="preserve">The registered shares exceeding the limit of 33 </w:t>
      </w:r>
      <w:r>
        <w:rPr>
          <w:rFonts w:ascii="Arial" w:cs="Arial" w:eastAsia="Arial" w:hAnsi="Arial"/>
          <w:sz w:val="29"/>
          <w:szCs w:val="29"/>
          <w:color w:val="auto"/>
          <w:vertAlign w:val="superscript"/>
        </w:rPr>
        <w:t>1</w:t>
      </w:r>
      <w:r>
        <w:rPr>
          <w:rFonts w:ascii="Arial" w:cs="Arial" w:eastAsia="Arial" w:hAnsi="Arial"/>
          <w:sz w:val="18"/>
          <w:szCs w:val="18"/>
          <w:color w:val="auto"/>
        </w:rPr>
        <w:t>/</w:t>
      </w:r>
      <w:r>
        <w:rPr>
          <w:rFonts w:ascii="Arial" w:cs="Arial" w:eastAsia="Arial" w:hAnsi="Arial"/>
          <w:sz w:val="29"/>
          <w:szCs w:val="29"/>
          <w:color w:val="auto"/>
          <w:vertAlign w:val="subscript"/>
        </w:rPr>
        <w:t>3</w:t>
      </w:r>
      <w:r>
        <w:rPr>
          <w:rFonts w:ascii="Arial" w:cs="Arial" w:eastAsia="Arial" w:hAnsi="Arial"/>
          <w:sz w:val="18"/>
          <w:szCs w:val="18"/>
          <w:color w:val="auto"/>
        </w:rPr>
        <w:t xml:space="preserve"> % shall be entered in the share register as shares without voting rights.</w:t>
      </w:r>
    </w:p>
    <w:p>
      <w:pPr>
        <w:spacing w:after="0" w:line="188"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The Board of Directors may in special cases approve exceptions to the above regulations. The Board of Directors is in addition authorized, after due consultation with the person concerned, to delete with retroactive effect entries in the share register which were effected on the basis of false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463550</wp:posOffset>
            </wp:positionV>
            <wp:extent cx="713232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63" w:lineRule="exact"/>
        <w:rPr>
          <w:sz w:val="20"/>
          <w:szCs w:val="20"/>
          <w:color w:val="auto"/>
        </w:rPr>
      </w:pPr>
    </w:p>
    <w:p>
      <w:pPr>
        <w:jc w:val="both"/>
        <w:ind w:left="760" w:right="40" w:firstLine="25"/>
        <w:spacing w:after="0" w:line="234" w:lineRule="auto"/>
        <w:rPr>
          <w:sz w:val="20"/>
          <w:szCs w:val="20"/>
          <w:color w:val="auto"/>
        </w:rPr>
      </w:pPr>
      <w:r>
        <w:rPr>
          <w:rFonts w:ascii="Arial" w:cs="Arial" w:eastAsia="Arial" w:hAnsi="Arial"/>
          <w:sz w:val="18"/>
          <w:szCs w:val="18"/>
          <w:color w:val="auto"/>
        </w:rPr>
        <w:t>ou tout autre contrat, accord, ou un dispositif ayant pour objet ou pour effet de priver cette personne de la propriété effective des actions de la société ou d'en empêcher l'acquisition effective au moyen d'un plan ou programme visant à se soustraire aux dispositions de ces statuts est réputée être le propriétaire effectif de ces actions.</w:t>
      </w:r>
    </w:p>
    <w:p>
      <w:pPr>
        <w:spacing w:after="0" w:line="5" w:lineRule="exact"/>
        <w:rPr>
          <w:sz w:val="20"/>
          <w:szCs w:val="20"/>
          <w:color w:val="auto"/>
        </w:rPr>
      </w:pPr>
    </w:p>
    <w:p>
      <w:pPr>
        <w:jc w:val="both"/>
        <w:ind w:left="760" w:right="40" w:hanging="380"/>
        <w:spacing w:after="0" w:line="236" w:lineRule="auto"/>
        <w:tabs>
          <w:tab w:leader="none" w:pos="916" w:val="left"/>
        </w:tabs>
        <w:numPr>
          <w:ilvl w:val="0"/>
          <w:numId w:val="64"/>
        </w:numPr>
        <w:rPr>
          <w:rFonts w:ascii="Arial" w:cs="Arial" w:eastAsia="Arial" w:hAnsi="Arial"/>
          <w:sz w:val="18"/>
          <w:szCs w:val="18"/>
          <w:color w:val="auto"/>
        </w:rPr>
      </w:pPr>
      <w:r>
        <w:rPr>
          <w:rFonts w:ascii="Arial" w:cs="Arial" w:eastAsia="Arial" w:hAnsi="Arial"/>
          <w:sz w:val="18"/>
          <w:szCs w:val="18"/>
          <w:color w:val="auto"/>
        </w:rPr>
        <w:t>Une personne est réputée être propriétaire effective d'actions si cette personne a le droit d'acquérir la propriété effective de ces actions dans les 60 jours, y compris, mais pas limité à un droit acquis: (A) au moyen de l'exercice d'une option, d'un bon ou d'un droit de souscription; (B) par la conversion d'un titre; (C) en vertu du pouvoir de révoquer une fiducie, compte discrétionnaire ou accord semblable; ou (D) conformément à la résiliation automatique d'une fiducie, compte discrétionnaire ou accord semblable.</w:t>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La limite de 33 </w:t>
      </w:r>
      <w:r>
        <w:rPr>
          <w:rFonts w:ascii="Arial" w:cs="Arial" w:eastAsia="Arial" w:hAnsi="Arial"/>
          <w:sz w:val="29"/>
          <w:szCs w:val="29"/>
          <w:color w:val="auto"/>
          <w:vertAlign w:val="superscript"/>
        </w:rPr>
        <w:t>1</w:t>
      </w:r>
      <w:r>
        <w:rPr>
          <w:rFonts w:ascii="Arial" w:cs="Arial" w:eastAsia="Arial" w:hAnsi="Arial"/>
          <w:sz w:val="18"/>
          <w:szCs w:val="18"/>
          <w:color w:val="auto"/>
        </w:rPr>
        <w:t>/</w:t>
      </w:r>
      <w:r>
        <w:rPr>
          <w:rFonts w:ascii="Arial" w:cs="Arial" w:eastAsia="Arial" w:hAnsi="Arial"/>
          <w:sz w:val="29"/>
          <w:szCs w:val="29"/>
          <w:color w:val="auto"/>
          <w:vertAlign w:val="subscript"/>
        </w:rPr>
        <w:t>3</w:t>
      </w:r>
      <w:r>
        <w:rPr>
          <w:rFonts w:ascii="Arial" w:cs="Arial" w:eastAsia="Arial" w:hAnsi="Arial"/>
          <w:sz w:val="18"/>
          <w:szCs w:val="18"/>
          <w:color w:val="auto"/>
        </w:rPr>
        <w:t xml:space="preserve">  % du capital-actions nominatif s'applique</w:t>
      </w:r>
    </w:p>
    <w:p>
      <w:pPr>
        <w:spacing w:after="0" w:line="32" w:lineRule="exact"/>
        <w:rPr>
          <w:sz w:val="20"/>
          <w:szCs w:val="20"/>
          <w:color w:val="auto"/>
        </w:rPr>
      </w:pPr>
    </w:p>
    <w:p>
      <w:pPr>
        <w:jc w:val="both"/>
        <w:ind w:right="40"/>
        <w:spacing w:after="0" w:line="234" w:lineRule="auto"/>
        <w:rPr>
          <w:sz w:val="20"/>
          <w:szCs w:val="20"/>
          <w:color w:val="auto"/>
        </w:rPr>
      </w:pPr>
      <w:r>
        <w:rPr>
          <w:rFonts w:ascii="Arial" w:cs="Arial" w:eastAsia="Arial" w:hAnsi="Arial"/>
          <w:sz w:val="18"/>
          <w:szCs w:val="18"/>
          <w:color w:val="auto"/>
        </w:rPr>
        <w:t>également à la souscription ou l'acquisition d'actions nominatives par l'exercice d'options ou de droits convertibles découlant de titres nominatifs ou au porteur ou d'autres titres émis par la société ou par des tiers, ainsi que par le biais de l'exercice de droits de souscription préférentiels achetés découlant d'actions nominatives ou au porteur. Les actions nominatives dépassant la limite de 33</w:t>
      </w:r>
    </w:p>
    <w:p>
      <w:pPr>
        <w:spacing w:after="0" w:line="4" w:lineRule="exact"/>
        <w:rPr>
          <w:sz w:val="20"/>
          <w:szCs w:val="20"/>
          <w:color w:val="auto"/>
        </w:rPr>
      </w:pPr>
    </w:p>
    <w:p>
      <w:pPr>
        <w:jc w:val="both"/>
        <w:ind w:right="60"/>
        <w:spacing w:after="0" w:line="216" w:lineRule="auto"/>
        <w:rPr>
          <w:sz w:val="20"/>
          <w:szCs w:val="20"/>
          <w:color w:val="auto"/>
        </w:rPr>
      </w:pPr>
      <w:r>
        <w:rPr>
          <w:rFonts w:ascii="Arial" w:cs="Arial" w:eastAsia="Arial" w:hAnsi="Arial"/>
          <w:sz w:val="29"/>
          <w:szCs w:val="29"/>
          <w:color w:val="auto"/>
          <w:vertAlign w:val="superscript"/>
        </w:rPr>
        <w:t>1</w:t>
      </w:r>
      <w:r>
        <w:rPr>
          <w:rFonts w:ascii="Arial" w:cs="Arial" w:eastAsia="Arial" w:hAnsi="Arial"/>
          <w:sz w:val="18"/>
          <w:szCs w:val="18"/>
          <w:color w:val="auto"/>
        </w:rPr>
        <w:t>/</w:t>
      </w:r>
      <w:r>
        <w:rPr>
          <w:rFonts w:ascii="Arial" w:cs="Arial" w:eastAsia="Arial" w:hAnsi="Arial"/>
          <w:sz w:val="29"/>
          <w:szCs w:val="29"/>
          <w:color w:val="auto"/>
          <w:vertAlign w:val="subscript"/>
        </w:rPr>
        <w:t>3</w:t>
      </w:r>
      <w:r>
        <w:rPr>
          <w:rFonts w:ascii="Arial" w:cs="Arial" w:eastAsia="Arial" w:hAnsi="Arial"/>
          <w:sz w:val="18"/>
          <w:szCs w:val="18"/>
          <w:color w:val="auto"/>
        </w:rPr>
        <w:t xml:space="preserve"> % sont inscrites dans le registre des actions comme des actions sans droit de vote.</w:t>
      </w:r>
    </w:p>
    <w:p>
      <w:pPr>
        <w:spacing w:after="0" w:line="188" w:lineRule="exact"/>
        <w:rPr>
          <w:sz w:val="20"/>
          <w:szCs w:val="20"/>
          <w:color w:val="auto"/>
        </w:rPr>
      </w:pPr>
    </w:p>
    <w:p>
      <w:pPr>
        <w:jc w:val="both"/>
        <w:ind w:right="60"/>
        <w:spacing w:after="0" w:line="238" w:lineRule="auto"/>
        <w:rPr>
          <w:sz w:val="20"/>
          <w:szCs w:val="20"/>
          <w:color w:val="auto"/>
        </w:rPr>
      </w:pPr>
      <w:r>
        <w:rPr>
          <w:rFonts w:ascii="Arial" w:cs="Arial" w:eastAsia="Arial" w:hAnsi="Arial"/>
          <w:sz w:val="18"/>
          <w:szCs w:val="18"/>
          <w:color w:val="auto"/>
        </w:rPr>
        <w:t>Le conseil d'administration peut dans des cas particuliers approuver des exceptions aux règles précitées. Il est en outre autorisé, après consultation avec la personne concernée, de supprimer avec effet rétroactif des inscriptions du registre des actions qui ont été effectuées sur la base de fausses informations.</w:t>
      </w:r>
    </w:p>
    <w:p>
      <w:pPr>
        <w:sectPr>
          <w:pgSz w:w="11900" w:h="16838" w:orient="portrait"/>
          <w:cols w:equalWidth="0" w:num="2">
            <w:col w:w="5340" w:space="380"/>
            <w:col w:w="5380"/>
          </w:cols>
          <w:pgMar w:left="420" w:top="249" w:right="379" w:bottom="1440" w:gutter="0" w:footer="0" w:header="0"/>
          <w:type w:val="continuous"/>
        </w:sectPr>
      </w:pPr>
    </w:p>
    <w:bookmarkStart w:id="46" w:name="page47"/>
    <w:bookmarkEnd w:id="46"/>
    <w:tbl>
      <w:tblPr>
        <w:tblLayout w:type="fixed"/>
        <w:tblInd w:w="10" w:type="dxa"/>
        <w:tblCellMar>
          <w:top w:w="0" w:type="dxa"/>
          <w:left w:w="0" w:type="dxa"/>
          <w:bottom w:w="0" w:type="dxa"/>
          <w:right w:w="0" w:type="dxa"/>
        </w:tblCellMar>
      </w:tblPr>
      <w:tr>
        <w:trPr>
          <w:trHeight w:val="187"/>
        </w:trPr>
        <w:tc>
          <w:tcPr>
            <w:tcW w:w="440" w:type="dxa"/>
            <w:vAlign w:val="bottom"/>
            <w:tcBorders>
              <w:bottom w:val="single" w:sz="8" w:color="auto"/>
            </w:tcBorders>
          </w:tcPr>
          <w:p>
            <w:pPr>
              <w:spacing w:after="0"/>
              <w:rPr>
                <w:sz w:val="16"/>
                <w:szCs w:val="16"/>
                <w:color w:val="auto"/>
              </w:rPr>
            </w:pPr>
          </w:p>
        </w:tc>
        <w:tc>
          <w:tcPr>
            <w:tcW w:w="5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5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w:t>
            </w:r>
          </w:p>
        </w:tc>
      </w:tr>
      <w:tr>
        <w:trPr>
          <w:trHeight w:val="277"/>
        </w:trPr>
        <w:tc>
          <w:tcPr>
            <w:tcW w:w="5540" w:type="dxa"/>
            <w:vAlign w:val="bottom"/>
            <w:tcBorders>
              <w:left w:val="single" w:sz="8" w:color="auto"/>
              <w:right w:val="single" w:sz="8" w:color="auto"/>
            </w:tcBorders>
            <w:gridSpan w:val="2"/>
          </w:tcPr>
          <w:p>
            <w:pPr>
              <w:ind w:left="100"/>
              <w:spacing w:after="0"/>
              <w:rPr>
                <w:sz w:val="20"/>
                <w:szCs w:val="20"/>
                <w:color w:val="auto"/>
              </w:rPr>
            </w:pPr>
            <w:r>
              <w:rPr>
                <w:rFonts w:ascii="Arial" w:cs="Arial" w:eastAsia="Arial" w:hAnsi="Arial"/>
                <w:sz w:val="18"/>
                <w:szCs w:val="18"/>
                <w:b w:val="1"/>
                <w:bCs w:val="1"/>
                <w:color w:val="auto"/>
              </w:rPr>
              <w:t>Art. 5 Share Certificates and Intermediated Securities</w:t>
            </w:r>
          </w:p>
        </w:tc>
        <w:tc>
          <w:tcPr>
            <w:tcW w:w="220" w:type="dxa"/>
            <w:vAlign w:val="bottom"/>
            <w:tcBorders>
              <w:right w:val="single" w:sz="8" w:color="auto"/>
            </w:tcBorders>
          </w:tcPr>
          <w:p>
            <w:pPr>
              <w:spacing w:after="0"/>
              <w:rPr>
                <w:sz w:val="24"/>
                <w:szCs w:val="24"/>
                <w:color w:val="auto"/>
              </w:rPr>
            </w:pPr>
          </w:p>
        </w:tc>
        <w:tc>
          <w:tcPr>
            <w:tcW w:w="5480" w:type="dxa"/>
            <w:vAlign w:val="bottom"/>
            <w:tcBorders>
              <w:right w:val="single" w:sz="8" w:color="auto"/>
            </w:tcBorders>
            <w:gridSpan w:val="2"/>
          </w:tcPr>
          <w:p>
            <w:pPr>
              <w:ind w:left="60"/>
              <w:spacing w:after="0"/>
              <w:rPr>
                <w:sz w:val="20"/>
                <w:szCs w:val="20"/>
                <w:color w:val="auto"/>
              </w:rPr>
            </w:pPr>
            <w:r>
              <w:rPr>
                <w:rFonts w:ascii="Arial" w:cs="Arial" w:eastAsia="Arial" w:hAnsi="Arial"/>
                <w:sz w:val="18"/>
                <w:szCs w:val="18"/>
                <w:b w:val="1"/>
                <w:bCs w:val="1"/>
                <w:color w:val="auto"/>
              </w:rPr>
              <w:t>Art. 5 Certificats d'actions et titres intermédiés</w:t>
            </w:r>
          </w:p>
        </w:tc>
      </w:tr>
      <w:tr>
        <w:trPr>
          <w:trHeight w:val="391"/>
        </w:trPr>
        <w:tc>
          <w:tcPr>
            <w:tcW w:w="5540" w:type="dxa"/>
            <w:vAlign w:val="bottom"/>
            <w:tcBorders>
              <w:left w:val="single" w:sz="8" w:color="auto"/>
              <w:right w:val="single" w:sz="8" w:color="auto"/>
            </w:tcBorders>
            <w:gridSpan w:val="2"/>
          </w:tcPr>
          <w:p>
            <w:pPr>
              <w:ind w:left="100"/>
              <w:spacing w:after="0"/>
              <w:rPr>
                <w:sz w:val="20"/>
                <w:szCs w:val="20"/>
                <w:color w:val="auto"/>
              </w:rPr>
            </w:pPr>
            <w:r>
              <w:rPr>
                <w:rFonts w:ascii="Arial" w:cs="Arial" w:eastAsia="Arial" w:hAnsi="Arial"/>
                <w:sz w:val="18"/>
                <w:szCs w:val="18"/>
                <w:color w:val="auto"/>
              </w:rPr>
              <w:t>The Company may issue registered shares in the form of single</w:t>
            </w:r>
          </w:p>
        </w:tc>
        <w:tc>
          <w:tcPr>
            <w:tcW w:w="220" w:type="dxa"/>
            <w:vAlign w:val="bottom"/>
            <w:tcBorders>
              <w:right w:val="single" w:sz="8" w:color="auto"/>
            </w:tcBorders>
          </w:tcPr>
          <w:p>
            <w:pPr>
              <w:spacing w:after="0"/>
              <w:rPr>
                <w:sz w:val="24"/>
                <w:szCs w:val="24"/>
                <w:color w:val="auto"/>
              </w:rPr>
            </w:pPr>
          </w:p>
        </w:tc>
        <w:tc>
          <w:tcPr>
            <w:tcW w:w="5480" w:type="dxa"/>
            <w:vAlign w:val="bottom"/>
            <w:tcBorders>
              <w:right w:val="single" w:sz="8" w:color="auto"/>
            </w:tcBorders>
            <w:gridSpan w:val="2"/>
          </w:tcPr>
          <w:p>
            <w:pPr>
              <w:ind w:left="60"/>
              <w:spacing w:after="0"/>
              <w:rPr>
                <w:sz w:val="20"/>
                <w:szCs w:val="20"/>
                <w:color w:val="auto"/>
              </w:rPr>
            </w:pPr>
            <w:r>
              <w:rPr>
                <w:rFonts w:ascii="Arial" w:cs="Arial" w:eastAsia="Arial" w:hAnsi="Arial"/>
                <w:sz w:val="18"/>
                <w:szCs w:val="18"/>
                <w:color w:val="auto"/>
              </w:rPr>
              <w:t>La société peut émettre des actions nominatives sous forme de</w:t>
            </w:r>
          </w:p>
        </w:tc>
      </w:tr>
      <w:tr>
        <w:trPr>
          <w:trHeight w:val="203"/>
        </w:trPr>
        <w:tc>
          <w:tcPr>
            <w:tcW w:w="5540" w:type="dxa"/>
            <w:vAlign w:val="bottom"/>
            <w:tcBorders>
              <w:left w:val="single" w:sz="8" w:color="auto"/>
              <w:right w:val="single" w:sz="8" w:color="auto"/>
            </w:tcBorders>
            <w:gridSpan w:val="2"/>
          </w:tcPr>
          <w:p>
            <w:pPr>
              <w:ind w:left="100"/>
              <w:spacing w:after="0" w:line="202" w:lineRule="exact"/>
              <w:rPr>
                <w:sz w:val="20"/>
                <w:szCs w:val="20"/>
                <w:color w:val="auto"/>
              </w:rPr>
            </w:pPr>
            <w:r>
              <w:rPr>
                <w:rFonts w:ascii="Arial" w:cs="Arial" w:eastAsia="Arial" w:hAnsi="Arial"/>
                <w:sz w:val="18"/>
                <w:szCs w:val="18"/>
                <w:color w:val="auto"/>
              </w:rPr>
              <w:t>certificates, global certificates and uncertificated securities. Under</w:t>
            </w:r>
          </w:p>
        </w:tc>
        <w:tc>
          <w:tcPr>
            <w:tcW w:w="22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gridSpan w:val="2"/>
          </w:tcPr>
          <w:p>
            <w:pPr>
              <w:ind w:left="60"/>
              <w:spacing w:after="0" w:line="202" w:lineRule="exact"/>
              <w:rPr>
                <w:sz w:val="20"/>
                <w:szCs w:val="20"/>
                <w:color w:val="auto"/>
              </w:rPr>
            </w:pPr>
            <w:r>
              <w:rPr>
                <w:rFonts w:ascii="Arial" w:cs="Arial" w:eastAsia="Arial" w:hAnsi="Arial"/>
                <w:sz w:val="18"/>
                <w:szCs w:val="18"/>
                <w:color w:val="auto"/>
              </w:rPr>
              <w:t>certificats  individuels,  de  certificats  globaux  et  de  titres</w:t>
            </w:r>
          </w:p>
        </w:tc>
      </w:tr>
      <w:tr>
        <w:trPr>
          <w:trHeight w:val="203"/>
        </w:trPr>
        <w:tc>
          <w:tcPr>
            <w:tcW w:w="5540" w:type="dxa"/>
            <w:vAlign w:val="bottom"/>
            <w:tcBorders>
              <w:left w:val="single" w:sz="8" w:color="auto"/>
              <w:right w:val="single" w:sz="8" w:color="auto"/>
            </w:tcBorders>
            <w:gridSpan w:val="2"/>
          </w:tcPr>
          <w:p>
            <w:pPr>
              <w:ind w:left="100"/>
              <w:spacing w:after="0" w:line="202" w:lineRule="exact"/>
              <w:rPr>
                <w:sz w:val="20"/>
                <w:szCs w:val="20"/>
                <w:color w:val="auto"/>
              </w:rPr>
            </w:pPr>
            <w:r>
              <w:rPr>
                <w:rFonts w:ascii="Arial" w:cs="Arial" w:eastAsia="Arial" w:hAnsi="Arial"/>
                <w:sz w:val="18"/>
                <w:szCs w:val="18"/>
                <w:color w:val="auto"/>
              </w:rPr>
              <w:t>the conditions set forth by statutory law, the Company may convert</w:t>
            </w:r>
          </w:p>
        </w:tc>
        <w:tc>
          <w:tcPr>
            <w:tcW w:w="22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gridSpan w:val="2"/>
          </w:tcPr>
          <w:p>
            <w:pPr>
              <w:ind w:left="60"/>
              <w:spacing w:after="0" w:line="202" w:lineRule="exact"/>
              <w:rPr>
                <w:sz w:val="20"/>
                <w:szCs w:val="20"/>
                <w:color w:val="auto"/>
              </w:rPr>
            </w:pPr>
            <w:r>
              <w:rPr>
                <w:rFonts w:ascii="Arial" w:cs="Arial" w:eastAsia="Arial" w:hAnsi="Arial"/>
                <w:sz w:val="18"/>
                <w:szCs w:val="18"/>
                <w:color w:val="auto"/>
              </w:rPr>
              <w:t>dématérialisés. Dans les conditions prévues par la loi, la société</w:t>
            </w:r>
          </w:p>
        </w:tc>
      </w:tr>
      <w:tr>
        <w:trPr>
          <w:trHeight w:val="203"/>
        </w:trPr>
        <w:tc>
          <w:tcPr>
            <w:tcW w:w="5540" w:type="dxa"/>
            <w:vAlign w:val="bottom"/>
            <w:tcBorders>
              <w:left w:val="single" w:sz="8" w:color="auto"/>
              <w:right w:val="single" w:sz="8" w:color="auto"/>
            </w:tcBorders>
            <w:gridSpan w:val="2"/>
          </w:tcPr>
          <w:p>
            <w:pPr>
              <w:ind w:left="100"/>
              <w:spacing w:after="0" w:line="202" w:lineRule="exact"/>
              <w:rPr>
                <w:sz w:val="20"/>
                <w:szCs w:val="20"/>
                <w:color w:val="auto"/>
              </w:rPr>
            </w:pPr>
            <w:r>
              <w:rPr>
                <w:rFonts w:ascii="Arial" w:cs="Arial" w:eastAsia="Arial" w:hAnsi="Arial"/>
                <w:sz w:val="18"/>
                <w:szCs w:val="18"/>
                <w:color w:val="auto"/>
              </w:rPr>
              <w:t>its registered shares from one form into another form at any time</w:t>
            </w:r>
          </w:p>
        </w:tc>
        <w:tc>
          <w:tcPr>
            <w:tcW w:w="22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gridSpan w:val="2"/>
          </w:tcPr>
          <w:p>
            <w:pPr>
              <w:ind w:left="60"/>
              <w:spacing w:after="0" w:line="202" w:lineRule="exact"/>
              <w:rPr>
                <w:sz w:val="20"/>
                <w:szCs w:val="20"/>
                <w:color w:val="auto"/>
              </w:rPr>
            </w:pPr>
            <w:r>
              <w:rPr>
                <w:rFonts w:ascii="Arial" w:cs="Arial" w:eastAsia="Arial" w:hAnsi="Arial"/>
                <w:sz w:val="18"/>
                <w:szCs w:val="18"/>
                <w:color w:val="auto"/>
              </w:rPr>
              <w:t>peut convertir ses actions nominatives d'une forme en une autre</w:t>
            </w:r>
          </w:p>
        </w:tc>
      </w:tr>
      <w:tr>
        <w:trPr>
          <w:trHeight w:val="217"/>
        </w:trPr>
        <w:tc>
          <w:tcPr>
            <w:tcW w:w="5540" w:type="dxa"/>
            <w:vAlign w:val="bottom"/>
            <w:tcBorders>
              <w:left w:val="single" w:sz="8" w:color="auto"/>
              <w:right w:val="single" w:sz="8" w:color="auto"/>
            </w:tcBorders>
            <w:gridSpan w:val="2"/>
          </w:tcPr>
          <w:p>
            <w:pPr>
              <w:ind w:left="100"/>
              <w:spacing w:after="0"/>
              <w:rPr>
                <w:sz w:val="20"/>
                <w:szCs w:val="20"/>
                <w:color w:val="auto"/>
              </w:rPr>
            </w:pPr>
            <w:r>
              <w:rPr>
                <w:rFonts w:ascii="Arial" w:cs="Arial" w:eastAsia="Arial" w:hAnsi="Arial"/>
                <w:sz w:val="18"/>
                <w:szCs w:val="18"/>
                <w:color w:val="auto"/>
              </w:rPr>
              <w:t>and without the approval of the shareholders.</w:t>
            </w:r>
          </w:p>
        </w:tc>
        <w:tc>
          <w:tcPr>
            <w:tcW w:w="220" w:type="dxa"/>
            <w:vAlign w:val="bottom"/>
            <w:tcBorders>
              <w:right w:val="single" w:sz="8" w:color="auto"/>
            </w:tcBorders>
          </w:tcPr>
          <w:p>
            <w:pPr>
              <w:spacing w:after="0"/>
              <w:rPr>
                <w:sz w:val="18"/>
                <w:szCs w:val="18"/>
                <w:color w:val="auto"/>
              </w:rPr>
            </w:pPr>
          </w:p>
        </w:tc>
        <w:tc>
          <w:tcPr>
            <w:tcW w:w="5480" w:type="dxa"/>
            <w:vAlign w:val="bottom"/>
            <w:tcBorders>
              <w:right w:val="single" w:sz="8" w:color="auto"/>
            </w:tcBorders>
            <w:gridSpan w:val="2"/>
          </w:tcPr>
          <w:p>
            <w:pPr>
              <w:ind w:left="60"/>
              <w:spacing w:after="0"/>
              <w:rPr>
                <w:sz w:val="20"/>
                <w:szCs w:val="20"/>
                <w:color w:val="auto"/>
              </w:rPr>
            </w:pPr>
            <w:r>
              <w:rPr>
                <w:rFonts w:ascii="Arial" w:cs="Arial" w:eastAsia="Arial" w:hAnsi="Arial"/>
                <w:sz w:val="18"/>
                <w:szCs w:val="18"/>
                <w:color w:val="auto"/>
              </w:rPr>
              <w:t>forme, à tout moment et sans l'approbation des actionnaires.</w:t>
            </w:r>
          </w:p>
        </w:tc>
      </w:tr>
      <w:tr>
        <w:trPr>
          <w:trHeight w:val="54"/>
        </w:trPr>
        <w:tc>
          <w:tcPr>
            <w:tcW w:w="5540" w:type="dxa"/>
            <w:vAlign w:val="bottom"/>
            <w:tcBorders>
              <w:left w:val="single" w:sz="8" w:color="auto"/>
              <w:bottom w:val="single" w:sz="8" w:color="auto"/>
              <w:right w:val="single" w:sz="8" w:color="auto"/>
            </w:tcBorders>
            <w:gridSpan w:val="2"/>
          </w:tcPr>
          <w:p>
            <w:pPr>
              <w:spacing w:after="0"/>
              <w:rPr>
                <w:sz w:val="4"/>
                <w:szCs w:val="4"/>
                <w:color w:val="auto"/>
              </w:rPr>
            </w:pPr>
          </w:p>
        </w:tc>
        <w:tc>
          <w:tcPr>
            <w:tcW w:w="220" w:type="dxa"/>
            <w:vAlign w:val="bottom"/>
            <w:tcBorders>
              <w:bottom w:val="single" w:sz="8" w:color="auto"/>
              <w:right w:val="single" w:sz="8" w:color="auto"/>
            </w:tcBorders>
          </w:tcPr>
          <w:p>
            <w:pPr>
              <w:spacing w:after="0"/>
              <w:rPr>
                <w:sz w:val="4"/>
                <w:szCs w:val="4"/>
                <w:color w:val="auto"/>
              </w:rPr>
            </w:pPr>
          </w:p>
        </w:tc>
        <w:tc>
          <w:tcPr>
            <w:tcW w:w="5480" w:type="dxa"/>
            <w:vAlign w:val="bottom"/>
            <w:tcBorders>
              <w:bottom w:val="single" w:sz="8" w:color="auto"/>
              <w:right w:val="single" w:sz="8" w:color="auto"/>
            </w:tcBorders>
            <w:gridSpan w:val="2"/>
          </w:tcPr>
          <w:p>
            <w:pPr>
              <w:spacing w:after="0"/>
              <w:rPr>
                <w:sz w:val="4"/>
                <w:szCs w:val="4"/>
                <w:color w:val="auto"/>
              </w:rPr>
            </w:pPr>
          </w:p>
        </w:tc>
      </w:tr>
      <w:tr>
        <w:trPr>
          <w:trHeight w:val="263"/>
        </w:trPr>
        <w:tc>
          <w:tcPr>
            <w:tcW w:w="5540" w:type="dxa"/>
            <w:vAlign w:val="bottom"/>
            <w:tcBorders>
              <w:left w:val="single" w:sz="8" w:color="auto"/>
              <w:right w:val="single" w:sz="8" w:color="auto"/>
            </w:tcBorders>
            <w:gridSpan w:val="2"/>
          </w:tcPr>
          <w:p>
            <w:pPr>
              <w:ind w:left="100"/>
              <w:spacing w:after="0"/>
              <w:rPr>
                <w:sz w:val="20"/>
                <w:szCs w:val="20"/>
                <w:color w:val="auto"/>
              </w:rPr>
            </w:pPr>
            <w:r>
              <w:rPr>
                <w:rFonts w:ascii="Arial" w:cs="Arial" w:eastAsia="Arial" w:hAnsi="Arial"/>
                <w:sz w:val="18"/>
                <w:szCs w:val="18"/>
                <w:color w:val="auto"/>
              </w:rPr>
              <w:t>The shareholder has no right to demand a conversion of the</w:t>
            </w:r>
          </w:p>
        </w:tc>
        <w:tc>
          <w:tcPr>
            <w:tcW w:w="220" w:type="dxa"/>
            <w:vAlign w:val="bottom"/>
            <w:tcBorders>
              <w:right w:val="single" w:sz="8" w:color="auto"/>
            </w:tcBorders>
          </w:tcPr>
          <w:p>
            <w:pPr>
              <w:spacing w:after="0"/>
              <w:rPr>
                <w:sz w:val="22"/>
                <w:szCs w:val="22"/>
                <w:color w:val="auto"/>
              </w:rPr>
            </w:pPr>
          </w:p>
        </w:tc>
        <w:tc>
          <w:tcPr>
            <w:tcW w:w="5480" w:type="dxa"/>
            <w:vAlign w:val="bottom"/>
            <w:tcBorders>
              <w:right w:val="single" w:sz="8" w:color="auto"/>
            </w:tcBorders>
            <w:gridSpan w:val="2"/>
          </w:tcPr>
          <w:p>
            <w:pPr>
              <w:ind w:left="60"/>
              <w:spacing w:after="0"/>
              <w:rPr>
                <w:sz w:val="20"/>
                <w:szCs w:val="20"/>
                <w:color w:val="auto"/>
              </w:rPr>
            </w:pPr>
            <w:r>
              <w:rPr>
                <w:rFonts w:ascii="Arial" w:cs="Arial" w:eastAsia="Arial" w:hAnsi="Arial"/>
                <w:sz w:val="18"/>
                <w:szCs w:val="18"/>
                <w:color w:val="auto"/>
              </w:rPr>
              <w:t>L'actionnaire n'a pas le droit d'exiger une conversion d'actions</w:t>
            </w:r>
          </w:p>
        </w:tc>
      </w:tr>
      <w:tr>
        <w:trPr>
          <w:trHeight w:val="203"/>
        </w:trPr>
        <w:tc>
          <w:tcPr>
            <w:tcW w:w="5540" w:type="dxa"/>
            <w:vAlign w:val="bottom"/>
            <w:tcBorders>
              <w:left w:val="single" w:sz="8" w:color="auto"/>
              <w:right w:val="single" w:sz="8" w:color="auto"/>
            </w:tcBorders>
            <w:gridSpan w:val="2"/>
          </w:tcPr>
          <w:p>
            <w:pPr>
              <w:ind w:left="100"/>
              <w:spacing w:after="0" w:line="202" w:lineRule="exact"/>
              <w:rPr>
                <w:sz w:val="20"/>
                <w:szCs w:val="20"/>
                <w:color w:val="auto"/>
              </w:rPr>
            </w:pPr>
            <w:r>
              <w:rPr>
                <w:rFonts w:ascii="Arial" w:cs="Arial" w:eastAsia="Arial" w:hAnsi="Arial"/>
                <w:sz w:val="18"/>
                <w:szCs w:val="18"/>
                <w:color w:val="auto"/>
              </w:rPr>
              <w:t>registered shares. Each shareholder may, however, at any time</w:t>
            </w:r>
          </w:p>
        </w:tc>
        <w:tc>
          <w:tcPr>
            <w:tcW w:w="22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gridSpan w:val="2"/>
          </w:tcPr>
          <w:p>
            <w:pPr>
              <w:ind w:left="60"/>
              <w:spacing w:after="0" w:line="202" w:lineRule="exact"/>
              <w:rPr>
                <w:sz w:val="20"/>
                <w:szCs w:val="20"/>
                <w:color w:val="auto"/>
              </w:rPr>
            </w:pPr>
            <w:r>
              <w:rPr>
                <w:rFonts w:ascii="Arial" w:cs="Arial" w:eastAsia="Arial" w:hAnsi="Arial"/>
                <w:sz w:val="18"/>
                <w:szCs w:val="18"/>
                <w:color w:val="auto"/>
              </w:rPr>
              <w:t>nominatives. Chaque actionnaire peut toutefois, à tout moment,</w:t>
            </w:r>
          </w:p>
        </w:tc>
      </w:tr>
      <w:tr>
        <w:trPr>
          <w:trHeight w:val="203"/>
        </w:trPr>
        <w:tc>
          <w:tcPr>
            <w:tcW w:w="5540" w:type="dxa"/>
            <w:vAlign w:val="bottom"/>
            <w:tcBorders>
              <w:left w:val="single" w:sz="8" w:color="auto"/>
              <w:right w:val="single" w:sz="8" w:color="auto"/>
            </w:tcBorders>
            <w:gridSpan w:val="2"/>
          </w:tcPr>
          <w:p>
            <w:pPr>
              <w:ind w:left="100"/>
              <w:spacing w:after="0" w:line="202" w:lineRule="exact"/>
              <w:rPr>
                <w:sz w:val="20"/>
                <w:szCs w:val="20"/>
                <w:color w:val="auto"/>
              </w:rPr>
            </w:pPr>
            <w:r>
              <w:rPr>
                <w:rFonts w:ascii="Arial" w:cs="Arial" w:eastAsia="Arial" w:hAnsi="Arial"/>
                <w:sz w:val="18"/>
                <w:szCs w:val="18"/>
                <w:color w:val="auto"/>
              </w:rPr>
              <w:t>request a written confirmation from the Company of the registered</w:t>
            </w:r>
          </w:p>
        </w:tc>
        <w:tc>
          <w:tcPr>
            <w:tcW w:w="22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gridSpan w:val="2"/>
          </w:tcPr>
          <w:p>
            <w:pPr>
              <w:ind w:left="60"/>
              <w:spacing w:after="0" w:line="202" w:lineRule="exact"/>
              <w:rPr>
                <w:sz w:val="20"/>
                <w:szCs w:val="20"/>
                <w:color w:val="auto"/>
              </w:rPr>
            </w:pPr>
            <w:r>
              <w:rPr>
                <w:rFonts w:ascii="Arial" w:cs="Arial" w:eastAsia="Arial" w:hAnsi="Arial"/>
                <w:sz w:val="18"/>
                <w:szCs w:val="18"/>
                <w:color w:val="auto"/>
              </w:rPr>
              <w:t>demander  une  confirmation  écrite  de  la  société  du  nombres</w:t>
            </w:r>
          </w:p>
        </w:tc>
      </w:tr>
      <w:tr>
        <w:trPr>
          <w:trHeight w:val="203"/>
        </w:trPr>
        <w:tc>
          <w:tcPr>
            <w:tcW w:w="5540" w:type="dxa"/>
            <w:vAlign w:val="bottom"/>
            <w:tcBorders>
              <w:left w:val="single" w:sz="8" w:color="auto"/>
              <w:right w:val="single" w:sz="8" w:color="auto"/>
            </w:tcBorders>
            <w:gridSpan w:val="2"/>
          </w:tcPr>
          <w:p>
            <w:pPr>
              <w:ind w:left="100"/>
              <w:spacing w:after="0" w:line="202" w:lineRule="exact"/>
              <w:rPr>
                <w:sz w:val="20"/>
                <w:szCs w:val="20"/>
                <w:color w:val="auto"/>
              </w:rPr>
            </w:pPr>
            <w:r>
              <w:rPr>
                <w:rFonts w:ascii="Arial" w:cs="Arial" w:eastAsia="Arial" w:hAnsi="Arial"/>
                <w:sz w:val="18"/>
                <w:szCs w:val="18"/>
                <w:color w:val="auto"/>
              </w:rPr>
              <w:t>shares held by such shareholder, as reflected in the share register.</w:t>
            </w:r>
          </w:p>
        </w:tc>
        <w:tc>
          <w:tcPr>
            <w:tcW w:w="22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gridSpan w:val="2"/>
          </w:tcPr>
          <w:p>
            <w:pPr>
              <w:ind w:left="60"/>
              <w:spacing w:after="0" w:line="202" w:lineRule="exact"/>
              <w:rPr>
                <w:sz w:val="20"/>
                <w:szCs w:val="20"/>
                <w:color w:val="auto"/>
              </w:rPr>
            </w:pPr>
            <w:r>
              <w:rPr>
                <w:rFonts w:ascii="Arial" w:cs="Arial" w:eastAsia="Arial" w:hAnsi="Arial"/>
                <w:sz w:val="18"/>
                <w:szCs w:val="18"/>
                <w:color w:val="auto"/>
              </w:rPr>
              <w:t>d'actions  nominatives  détenues  par  cet  actionnaire  telles</w:t>
            </w:r>
          </w:p>
        </w:tc>
      </w:tr>
      <w:tr>
        <w:trPr>
          <w:trHeight w:val="217"/>
        </w:trPr>
        <w:tc>
          <w:tcPr>
            <w:tcW w:w="440" w:type="dxa"/>
            <w:vAlign w:val="bottom"/>
            <w:tcBorders>
              <w:left w:val="single" w:sz="8" w:color="auto"/>
            </w:tcBorders>
          </w:tcPr>
          <w:p>
            <w:pPr>
              <w:spacing w:after="0"/>
              <w:rPr>
                <w:sz w:val="18"/>
                <w:szCs w:val="18"/>
                <w:color w:val="auto"/>
              </w:rPr>
            </w:pPr>
          </w:p>
        </w:tc>
        <w:tc>
          <w:tcPr>
            <w:tcW w:w="5100" w:type="dxa"/>
            <w:vAlign w:val="bottom"/>
            <w:tcBorders>
              <w:right w:val="single" w:sz="8" w:color="auto"/>
            </w:tcBorders>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5480" w:type="dxa"/>
            <w:vAlign w:val="bottom"/>
            <w:tcBorders>
              <w:right w:val="single" w:sz="8" w:color="auto"/>
            </w:tcBorders>
            <w:gridSpan w:val="2"/>
          </w:tcPr>
          <w:p>
            <w:pPr>
              <w:ind w:left="60"/>
              <w:spacing w:after="0"/>
              <w:rPr>
                <w:sz w:val="20"/>
                <w:szCs w:val="20"/>
                <w:color w:val="auto"/>
              </w:rPr>
            </w:pPr>
            <w:r>
              <w:rPr>
                <w:rFonts w:ascii="Arial" w:cs="Arial" w:eastAsia="Arial" w:hAnsi="Arial"/>
                <w:sz w:val="18"/>
                <w:szCs w:val="18"/>
                <w:color w:val="auto"/>
              </w:rPr>
              <w:t>qu'inscrites au registre du commerce.</w:t>
            </w:r>
          </w:p>
        </w:tc>
      </w:tr>
      <w:tr>
        <w:trPr>
          <w:trHeight w:val="54"/>
        </w:trPr>
        <w:tc>
          <w:tcPr>
            <w:tcW w:w="5540" w:type="dxa"/>
            <w:vAlign w:val="bottom"/>
            <w:tcBorders>
              <w:left w:val="single" w:sz="8" w:color="auto"/>
              <w:bottom w:val="single" w:sz="8" w:color="auto"/>
              <w:right w:val="single" w:sz="8" w:color="auto"/>
            </w:tcBorders>
            <w:gridSpan w:val="2"/>
          </w:tcPr>
          <w:p>
            <w:pPr>
              <w:spacing w:after="0"/>
              <w:rPr>
                <w:sz w:val="4"/>
                <w:szCs w:val="4"/>
                <w:color w:val="auto"/>
              </w:rPr>
            </w:pPr>
          </w:p>
        </w:tc>
        <w:tc>
          <w:tcPr>
            <w:tcW w:w="220" w:type="dxa"/>
            <w:vAlign w:val="bottom"/>
            <w:tcBorders>
              <w:bottom w:val="single" w:sz="8" w:color="auto"/>
              <w:right w:val="single" w:sz="8" w:color="auto"/>
            </w:tcBorders>
          </w:tcPr>
          <w:p>
            <w:pPr>
              <w:spacing w:after="0"/>
              <w:rPr>
                <w:sz w:val="4"/>
                <w:szCs w:val="4"/>
                <w:color w:val="auto"/>
              </w:rPr>
            </w:pPr>
          </w:p>
        </w:tc>
        <w:tc>
          <w:tcPr>
            <w:tcW w:w="5480" w:type="dxa"/>
            <w:vAlign w:val="bottom"/>
            <w:tcBorders>
              <w:bottom w:val="single" w:sz="8" w:color="auto"/>
              <w:right w:val="single" w:sz="8" w:color="auto"/>
            </w:tcBorders>
            <w:gridSpan w:val="2"/>
          </w:tcPr>
          <w:p>
            <w:pPr>
              <w:spacing w:after="0"/>
              <w:rPr>
                <w:sz w:val="4"/>
                <w:szCs w:val="4"/>
                <w:color w:val="auto"/>
              </w:rPr>
            </w:pPr>
          </w:p>
        </w:tc>
      </w:tr>
      <w:tr>
        <w:trPr>
          <w:trHeight w:val="263"/>
        </w:trPr>
        <w:tc>
          <w:tcPr>
            <w:tcW w:w="5540" w:type="dxa"/>
            <w:vAlign w:val="bottom"/>
            <w:tcBorders>
              <w:left w:val="single" w:sz="8" w:color="auto"/>
              <w:right w:val="single" w:sz="8" w:color="auto"/>
            </w:tcBorders>
            <w:gridSpan w:val="2"/>
          </w:tcPr>
          <w:p>
            <w:pPr>
              <w:ind w:left="100"/>
              <w:spacing w:after="0"/>
              <w:rPr>
                <w:sz w:val="20"/>
                <w:szCs w:val="20"/>
                <w:color w:val="auto"/>
              </w:rPr>
            </w:pPr>
            <w:r>
              <w:rPr>
                <w:rFonts w:ascii="Arial" w:cs="Arial" w:eastAsia="Arial" w:hAnsi="Arial"/>
                <w:sz w:val="18"/>
                <w:szCs w:val="18"/>
                <w:color w:val="auto"/>
              </w:rPr>
              <w:t>The transfer of intermediated securities and the pledging of these</w:t>
            </w:r>
          </w:p>
        </w:tc>
        <w:tc>
          <w:tcPr>
            <w:tcW w:w="220" w:type="dxa"/>
            <w:vAlign w:val="bottom"/>
            <w:tcBorders>
              <w:right w:val="single" w:sz="8" w:color="auto"/>
            </w:tcBorders>
          </w:tcPr>
          <w:p>
            <w:pPr>
              <w:spacing w:after="0"/>
              <w:rPr>
                <w:sz w:val="22"/>
                <w:szCs w:val="22"/>
                <w:color w:val="auto"/>
              </w:rPr>
            </w:pPr>
          </w:p>
        </w:tc>
        <w:tc>
          <w:tcPr>
            <w:tcW w:w="5480" w:type="dxa"/>
            <w:vAlign w:val="bottom"/>
            <w:tcBorders>
              <w:right w:val="single" w:sz="8" w:color="auto"/>
            </w:tcBorders>
            <w:gridSpan w:val="2"/>
          </w:tcPr>
          <w:p>
            <w:pPr>
              <w:ind w:left="60"/>
              <w:spacing w:after="0"/>
              <w:rPr>
                <w:sz w:val="20"/>
                <w:szCs w:val="20"/>
                <w:color w:val="auto"/>
              </w:rPr>
            </w:pPr>
            <w:r>
              <w:rPr>
                <w:rFonts w:ascii="Arial" w:cs="Arial" w:eastAsia="Arial" w:hAnsi="Arial"/>
                <w:sz w:val="18"/>
                <w:szCs w:val="18"/>
                <w:color w:val="auto"/>
              </w:rPr>
              <w:t>Le transfert des titres intermédiés et la mise en gage de ces titres</w:t>
            </w:r>
          </w:p>
        </w:tc>
      </w:tr>
      <w:tr>
        <w:trPr>
          <w:trHeight w:val="203"/>
        </w:trPr>
        <w:tc>
          <w:tcPr>
            <w:tcW w:w="5540" w:type="dxa"/>
            <w:vAlign w:val="bottom"/>
            <w:tcBorders>
              <w:left w:val="single" w:sz="8" w:color="auto"/>
              <w:right w:val="single" w:sz="8" w:color="auto"/>
            </w:tcBorders>
            <w:gridSpan w:val="2"/>
          </w:tcPr>
          <w:p>
            <w:pPr>
              <w:ind w:left="100"/>
              <w:spacing w:after="0" w:line="202" w:lineRule="exact"/>
              <w:rPr>
                <w:sz w:val="20"/>
                <w:szCs w:val="20"/>
                <w:color w:val="auto"/>
              </w:rPr>
            </w:pPr>
            <w:r>
              <w:rPr>
                <w:rFonts w:ascii="Arial" w:cs="Arial" w:eastAsia="Arial" w:hAnsi="Arial"/>
                <w:sz w:val="18"/>
                <w:szCs w:val="18"/>
                <w:color w:val="auto"/>
              </w:rPr>
              <w:t>intermediated securities shall be based on the provisions of the</w:t>
            </w:r>
          </w:p>
        </w:tc>
        <w:tc>
          <w:tcPr>
            <w:tcW w:w="22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gridSpan w:val="2"/>
          </w:tcPr>
          <w:p>
            <w:pPr>
              <w:ind w:left="60"/>
              <w:spacing w:after="0" w:line="202" w:lineRule="exact"/>
              <w:rPr>
                <w:sz w:val="20"/>
                <w:szCs w:val="20"/>
                <w:color w:val="auto"/>
              </w:rPr>
            </w:pPr>
            <w:r>
              <w:rPr>
                <w:rFonts w:ascii="Arial" w:cs="Arial" w:eastAsia="Arial" w:hAnsi="Arial"/>
                <w:sz w:val="18"/>
                <w:szCs w:val="18"/>
                <w:color w:val="auto"/>
              </w:rPr>
              <w:t>intermédiés suivent les dispositions de la Loi fédérale sur les titres</w:t>
            </w:r>
          </w:p>
        </w:tc>
      </w:tr>
      <w:tr>
        <w:trPr>
          <w:trHeight w:val="203"/>
        </w:trPr>
        <w:tc>
          <w:tcPr>
            <w:tcW w:w="5540" w:type="dxa"/>
            <w:vAlign w:val="bottom"/>
            <w:tcBorders>
              <w:left w:val="single" w:sz="8" w:color="auto"/>
              <w:right w:val="single" w:sz="8" w:color="auto"/>
            </w:tcBorders>
            <w:gridSpan w:val="2"/>
          </w:tcPr>
          <w:p>
            <w:pPr>
              <w:ind w:left="100"/>
              <w:spacing w:after="0" w:line="202" w:lineRule="exact"/>
              <w:rPr>
                <w:sz w:val="20"/>
                <w:szCs w:val="20"/>
                <w:color w:val="auto"/>
              </w:rPr>
            </w:pPr>
            <w:r>
              <w:rPr>
                <w:rFonts w:ascii="Arial" w:cs="Arial" w:eastAsia="Arial" w:hAnsi="Arial"/>
                <w:sz w:val="18"/>
                <w:szCs w:val="18"/>
                <w:color w:val="auto"/>
              </w:rPr>
              <w:t>Swiss Federal Intermediated Securities Act. Transfer of propriety</w:t>
            </w:r>
          </w:p>
        </w:tc>
        <w:tc>
          <w:tcPr>
            <w:tcW w:w="22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gridSpan w:val="2"/>
          </w:tcPr>
          <w:p>
            <w:pPr>
              <w:ind w:left="60"/>
              <w:spacing w:after="0" w:line="202" w:lineRule="exact"/>
              <w:rPr>
                <w:sz w:val="20"/>
                <w:szCs w:val="20"/>
                <w:color w:val="auto"/>
              </w:rPr>
            </w:pPr>
            <w:r>
              <w:rPr>
                <w:rFonts w:ascii="Arial" w:cs="Arial" w:eastAsia="Arial" w:hAnsi="Arial"/>
                <w:sz w:val="18"/>
                <w:szCs w:val="18"/>
                <w:color w:val="auto"/>
              </w:rPr>
              <w:t>intermédiés. Le transfert de propriété à titre de sûreté par cession</w:t>
            </w:r>
          </w:p>
        </w:tc>
      </w:tr>
      <w:tr>
        <w:trPr>
          <w:trHeight w:val="217"/>
        </w:trPr>
        <w:tc>
          <w:tcPr>
            <w:tcW w:w="5540" w:type="dxa"/>
            <w:vAlign w:val="bottom"/>
            <w:tcBorders>
              <w:left w:val="single" w:sz="8" w:color="auto"/>
              <w:right w:val="single" w:sz="8" w:color="auto"/>
            </w:tcBorders>
            <w:gridSpan w:val="2"/>
          </w:tcPr>
          <w:p>
            <w:pPr>
              <w:ind w:left="100"/>
              <w:spacing w:after="0"/>
              <w:rPr>
                <w:sz w:val="20"/>
                <w:szCs w:val="20"/>
                <w:color w:val="auto"/>
              </w:rPr>
            </w:pPr>
            <w:r>
              <w:rPr>
                <w:rFonts w:ascii="Arial" w:cs="Arial" w:eastAsia="Arial" w:hAnsi="Arial"/>
                <w:sz w:val="18"/>
                <w:szCs w:val="18"/>
                <w:color w:val="auto"/>
              </w:rPr>
              <w:t>as collateral by means of written assignment are not permitted.</w:t>
            </w:r>
          </w:p>
        </w:tc>
        <w:tc>
          <w:tcPr>
            <w:tcW w:w="220" w:type="dxa"/>
            <w:vAlign w:val="bottom"/>
            <w:tcBorders>
              <w:right w:val="single" w:sz="8" w:color="auto"/>
            </w:tcBorders>
          </w:tcPr>
          <w:p>
            <w:pPr>
              <w:spacing w:after="0"/>
              <w:rPr>
                <w:sz w:val="18"/>
                <w:szCs w:val="18"/>
                <w:color w:val="auto"/>
              </w:rPr>
            </w:pPr>
          </w:p>
        </w:tc>
        <w:tc>
          <w:tcPr>
            <w:tcW w:w="5480" w:type="dxa"/>
            <w:vAlign w:val="bottom"/>
            <w:tcBorders>
              <w:right w:val="single" w:sz="8" w:color="auto"/>
            </w:tcBorders>
            <w:gridSpan w:val="2"/>
          </w:tcPr>
          <w:p>
            <w:pPr>
              <w:ind w:left="60"/>
              <w:spacing w:after="0"/>
              <w:rPr>
                <w:sz w:val="20"/>
                <w:szCs w:val="20"/>
                <w:color w:val="auto"/>
              </w:rPr>
            </w:pPr>
            <w:r>
              <w:rPr>
                <w:rFonts w:ascii="Arial" w:cs="Arial" w:eastAsia="Arial" w:hAnsi="Arial"/>
                <w:sz w:val="18"/>
                <w:szCs w:val="18"/>
                <w:color w:val="auto"/>
              </w:rPr>
              <w:t>écrite n'est pas autorisé.</w:t>
            </w:r>
          </w:p>
        </w:tc>
      </w:tr>
      <w:tr>
        <w:trPr>
          <w:trHeight w:val="54"/>
        </w:trPr>
        <w:tc>
          <w:tcPr>
            <w:tcW w:w="5540" w:type="dxa"/>
            <w:vAlign w:val="bottom"/>
            <w:tcBorders>
              <w:left w:val="single" w:sz="8" w:color="auto"/>
              <w:bottom w:val="single" w:sz="8" w:color="auto"/>
              <w:right w:val="single" w:sz="8" w:color="auto"/>
            </w:tcBorders>
            <w:gridSpan w:val="2"/>
          </w:tcPr>
          <w:p>
            <w:pPr>
              <w:spacing w:after="0"/>
              <w:rPr>
                <w:sz w:val="4"/>
                <w:szCs w:val="4"/>
                <w:color w:val="auto"/>
              </w:rPr>
            </w:pPr>
          </w:p>
        </w:tc>
        <w:tc>
          <w:tcPr>
            <w:tcW w:w="220" w:type="dxa"/>
            <w:vAlign w:val="bottom"/>
            <w:tcBorders>
              <w:bottom w:val="single" w:sz="8" w:color="auto"/>
              <w:right w:val="single" w:sz="8" w:color="auto"/>
            </w:tcBorders>
          </w:tcPr>
          <w:p>
            <w:pPr>
              <w:spacing w:after="0"/>
              <w:rPr>
                <w:sz w:val="4"/>
                <w:szCs w:val="4"/>
                <w:color w:val="auto"/>
              </w:rPr>
            </w:pPr>
          </w:p>
        </w:tc>
        <w:tc>
          <w:tcPr>
            <w:tcW w:w="5480" w:type="dxa"/>
            <w:vAlign w:val="bottom"/>
            <w:tcBorders>
              <w:bottom w:val="single" w:sz="8" w:color="auto"/>
              <w:right w:val="single" w:sz="8" w:color="auto"/>
            </w:tcBorders>
            <w:gridSpan w:val="2"/>
          </w:tcPr>
          <w:p>
            <w:pPr>
              <w:spacing w:after="0"/>
              <w:rPr>
                <w:sz w:val="4"/>
                <w:szCs w:val="4"/>
                <w:color w:val="auto"/>
              </w:rPr>
            </w:pPr>
          </w:p>
        </w:tc>
      </w:tr>
      <w:tr>
        <w:trPr>
          <w:trHeight w:val="277"/>
        </w:trPr>
        <w:tc>
          <w:tcPr>
            <w:tcW w:w="5540" w:type="dxa"/>
            <w:vAlign w:val="bottom"/>
            <w:tcBorders>
              <w:left w:val="single" w:sz="8" w:color="auto"/>
              <w:right w:val="single" w:sz="8" w:color="auto"/>
            </w:tcBorders>
            <w:gridSpan w:val="2"/>
          </w:tcPr>
          <w:p>
            <w:pPr>
              <w:ind w:left="100"/>
              <w:spacing w:after="0"/>
              <w:rPr>
                <w:sz w:val="20"/>
                <w:szCs w:val="20"/>
                <w:color w:val="auto"/>
              </w:rPr>
            </w:pPr>
            <w:r>
              <w:rPr>
                <w:rFonts w:ascii="Arial" w:cs="Arial" w:eastAsia="Arial" w:hAnsi="Arial"/>
                <w:sz w:val="18"/>
                <w:szCs w:val="18"/>
                <w:b w:val="1"/>
                <w:bCs w:val="1"/>
                <w:color w:val="auto"/>
              </w:rPr>
              <w:t>Art. 6 Exercise of Shareholders Rights</w:t>
            </w:r>
          </w:p>
        </w:tc>
        <w:tc>
          <w:tcPr>
            <w:tcW w:w="220" w:type="dxa"/>
            <w:vAlign w:val="bottom"/>
            <w:tcBorders>
              <w:right w:val="single" w:sz="8" w:color="auto"/>
            </w:tcBorders>
          </w:tcPr>
          <w:p>
            <w:pPr>
              <w:spacing w:after="0"/>
              <w:rPr>
                <w:sz w:val="24"/>
                <w:szCs w:val="24"/>
                <w:color w:val="auto"/>
              </w:rPr>
            </w:pPr>
          </w:p>
        </w:tc>
        <w:tc>
          <w:tcPr>
            <w:tcW w:w="5480" w:type="dxa"/>
            <w:vAlign w:val="bottom"/>
            <w:tcBorders>
              <w:right w:val="single" w:sz="8" w:color="auto"/>
            </w:tcBorders>
            <w:gridSpan w:val="2"/>
          </w:tcPr>
          <w:p>
            <w:pPr>
              <w:ind w:left="60"/>
              <w:spacing w:after="0"/>
              <w:rPr>
                <w:sz w:val="20"/>
                <w:szCs w:val="20"/>
                <w:color w:val="auto"/>
              </w:rPr>
            </w:pPr>
            <w:r>
              <w:rPr>
                <w:rFonts w:ascii="Arial" w:cs="Arial" w:eastAsia="Arial" w:hAnsi="Arial"/>
                <w:sz w:val="18"/>
                <w:szCs w:val="18"/>
                <w:b w:val="1"/>
                <w:bCs w:val="1"/>
                <w:color w:val="auto"/>
              </w:rPr>
              <w:t>Art. 6 Exercice des droits des actionnaires</w:t>
            </w:r>
          </w:p>
        </w:tc>
      </w:tr>
      <w:tr>
        <w:trPr>
          <w:trHeight w:val="391"/>
        </w:trPr>
        <w:tc>
          <w:tcPr>
            <w:tcW w:w="5540" w:type="dxa"/>
            <w:vAlign w:val="bottom"/>
            <w:tcBorders>
              <w:left w:val="single" w:sz="8" w:color="auto"/>
              <w:right w:val="single" w:sz="8" w:color="auto"/>
            </w:tcBorders>
            <w:gridSpan w:val="2"/>
          </w:tcPr>
          <w:p>
            <w:pPr>
              <w:ind w:left="100"/>
              <w:spacing w:after="0"/>
              <w:rPr>
                <w:sz w:val="20"/>
                <w:szCs w:val="20"/>
                <w:color w:val="auto"/>
              </w:rPr>
            </w:pPr>
            <w:r>
              <w:rPr>
                <w:rFonts w:ascii="Arial" w:cs="Arial" w:eastAsia="Arial" w:hAnsi="Arial"/>
                <w:sz w:val="18"/>
                <w:szCs w:val="18"/>
                <w:color w:val="auto"/>
              </w:rPr>
              <w:t>The shares are indivisible and the Company recognizes only one</w:t>
            </w:r>
          </w:p>
        </w:tc>
        <w:tc>
          <w:tcPr>
            <w:tcW w:w="220" w:type="dxa"/>
            <w:vAlign w:val="bottom"/>
            <w:tcBorders>
              <w:right w:val="single" w:sz="8" w:color="auto"/>
            </w:tcBorders>
          </w:tcPr>
          <w:p>
            <w:pPr>
              <w:spacing w:after="0"/>
              <w:rPr>
                <w:sz w:val="24"/>
                <w:szCs w:val="24"/>
                <w:color w:val="auto"/>
              </w:rPr>
            </w:pPr>
          </w:p>
        </w:tc>
        <w:tc>
          <w:tcPr>
            <w:tcW w:w="5480" w:type="dxa"/>
            <w:vAlign w:val="bottom"/>
            <w:tcBorders>
              <w:right w:val="single" w:sz="8" w:color="auto"/>
            </w:tcBorders>
            <w:gridSpan w:val="2"/>
          </w:tcPr>
          <w:p>
            <w:pPr>
              <w:ind w:left="60"/>
              <w:spacing w:after="0"/>
              <w:rPr>
                <w:sz w:val="20"/>
                <w:szCs w:val="20"/>
                <w:color w:val="auto"/>
              </w:rPr>
            </w:pPr>
            <w:r>
              <w:rPr>
                <w:rFonts w:ascii="Arial" w:cs="Arial" w:eastAsia="Arial" w:hAnsi="Arial"/>
                <w:sz w:val="18"/>
                <w:szCs w:val="18"/>
                <w:color w:val="auto"/>
              </w:rPr>
              <w:t>Les actions sont indivisibles et la société ne reconnaît qu'un seul</w:t>
            </w:r>
          </w:p>
        </w:tc>
      </w:tr>
      <w:tr>
        <w:trPr>
          <w:trHeight w:val="217"/>
        </w:trPr>
        <w:tc>
          <w:tcPr>
            <w:tcW w:w="5540" w:type="dxa"/>
            <w:vAlign w:val="bottom"/>
            <w:tcBorders>
              <w:left w:val="single" w:sz="8" w:color="auto"/>
              <w:right w:val="single" w:sz="8" w:color="auto"/>
            </w:tcBorders>
            <w:gridSpan w:val="2"/>
          </w:tcPr>
          <w:p>
            <w:pPr>
              <w:ind w:left="100"/>
              <w:spacing w:after="0"/>
              <w:rPr>
                <w:sz w:val="20"/>
                <w:szCs w:val="20"/>
                <w:color w:val="auto"/>
              </w:rPr>
            </w:pPr>
            <w:r>
              <w:rPr>
                <w:rFonts w:ascii="Arial" w:cs="Arial" w:eastAsia="Arial" w:hAnsi="Arial"/>
                <w:sz w:val="18"/>
                <w:szCs w:val="18"/>
                <w:color w:val="auto"/>
              </w:rPr>
              <w:t>single representative per share.</w:t>
            </w:r>
          </w:p>
        </w:tc>
        <w:tc>
          <w:tcPr>
            <w:tcW w:w="220" w:type="dxa"/>
            <w:vAlign w:val="bottom"/>
            <w:tcBorders>
              <w:right w:val="single" w:sz="8" w:color="auto"/>
            </w:tcBorders>
          </w:tcPr>
          <w:p>
            <w:pPr>
              <w:spacing w:after="0"/>
              <w:rPr>
                <w:sz w:val="18"/>
                <w:szCs w:val="18"/>
                <w:color w:val="auto"/>
              </w:rPr>
            </w:pPr>
          </w:p>
        </w:tc>
        <w:tc>
          <w:tcPr>
            <w:tcW w:w="5480" w:type="dxa"/>
            <w:vAlign w:val="bottom"/>
            <w:tcBorders>
              <w:right w:val="single" w:sz="8" w:color="auto"/>
            </w:tcBorders>
            <w:gridSpan w:val="2"/>
          </w:tcPr>
          <w:p>
            <w:pPr>
              <w:ind w:left="60"/>
              <w:spacing w:after="0"/>
              <w:rPr>
                <w:sz w:val="20"/>
                <w:szCs w:val="20"/>
                <w:color w:val="auto"/>
              </w:rPr>
            </w:pPr>
            <w:r>
              <w:rPr>
                <w:rFonts w:ascii="Arial" w:cs="Arial" w:eastAsia="Arial" w:hAnsi="Arial"/>
                <w:sz w:val="18"/>
                <w:szCs w:val="18"/>
                <w:color w:val="auto"/>
              </w:rPr>
              <w:t>représentant par action.</w:t>
            </w:r>
          </w:p>
        </w:tc>
      </w:tr>
      <w:tr>
        <w:trPr>
          <w:trHeight w:val="54"/>
        </w:trPr>
        <w:tc>
          <w:tcPr>
            <w:tcW w:w="5540" w:type="dxa"/>
            <w:vAlign w:val="bottom"/>
            <w:tcBorders>
              <w:left w:val="single" w:sz="8" w:color="auto"/>
              <w:bottom w:val="single" w:sz="8" w:color="auto"/>
              <w:right w:val="single" w:sz="8" w:color="auto"/>
            </w:tcBorders>
            <w:gridSpan w:val="2"/>
          </w:tcPr>
          <w:p>
            <w:pPr>
              <w:spacing w:after="0"/>
              <w:rPr>
                <w:sz w:val="4"/>
                <w:szCs w:val="4"/>
                <w:color w:val="auto"/>
              </w:rPr>
            </w:pPr>
          </w:p>
        </w:tc>
        <w:tc>
          <w:tcPr>
            <w:tcW w:w="220" w:type="dxa"/>
            <w:vAlign w:val="bottom"/>
            <w:tcBorders>
              <w:bottom w:val="single" w:sz="8" w:color="auto"/>
              <w:right w:val="single" w:sz="8" w:color="auto"/>
            </w:tcBorders>
          </w:tcPr>
          <w:p>
            <w:pPr>
              <w:spacing w:after="0"/>
              <w:rPr>
                <w:sz w:val="4"/>
                <w:szCs w:val="4"/>
                <w:color w:val="auto"/>
              </w:rPr>
            </w:pPr>
          </w:p>
        </w:tc>
        <w:tc>
          <w:tcPr>
            <w:tcW w:w="5480" w:type="dxa"/>
            <w:vAlign w:val="bottom"/>
            <w:tcBorders>
              <w:bottom w:val="single" w:sz="8" w:color="auto"/>
              <w:right w:val="single" w:sz="8" w:color="auto"/>
            </w:tcBorders>
            <w:gridSpan w:val="2"/>
          </w:tcPr>
          <w:p>
            <w:pPr>
              <w:spacing w:after="0"/>
              <w:rPr>
                <w:sz w:val="4"/>
                <w:szCs w:val="4"/>
                <w:color w:val="auto"/>
              </w:rPr>
            </w:pPr>
          </w:p>
        </w:tc>
      </w:tr>
      <w:tr>
        <w:trPr>
          <w:trHeight w:val="263"/>
        </w:trPr>
        <w:tc>
          <w:tcPr>
            <w:tcW w:w="5540" w:type="dxa"/>
            <w:vAlign w:val="bottom"/>
            <w:tcBorders>
              <w:left w:val="single" w:sz="8" w:color="auto"/>
              <w:right w:val="single" w:sz="8" w:color="auto"/>
            </w:tcBorders>
            <w:gridSpan w:val="2"/>
          </w:tcPr>
          <w:p>
            <w:pPr>
              <w:ind w:left="100"/>
              <w:spacing w:after="0"/>
              <w:rPr>
                <w:sz w:val="20"/>
                <w:szCs w:val="20"/>
                <w:color w:val="auto"/>
              </w:rPr>
            </w:pPr>
            <w:r>
              <w:rPr>
                <w:rFonts w:ascii="Arial" w:cs="Arial" w:eastAsia="Arial" w:hAnsi="Arial"/>
                <w:sz w:val="18"/>
                <w:szCs w:val="18"/>
                <w:color w:val="auto"/>
              </w:rPr>
              <w:t>The right to vote and the other rights pertaining to a registered</w:t>
            </w:r>
          </w:p>
        </w:tc>
        <w:tc>
          <w:tcPr>
            <w:tcW w:w="220" w:type="dxa"/>
            <w:vAlign w:val="bottom"/>
            <w:tcBorders>
              <w:right w:val="single" w:sz="8" w:color="auto"/>
            </w:tcBorders>
          </w:tcPr>
          <w:p>
            <w:pPr>
              <w:spacing w:after="0"/>
              <w:rPr>
                <w:sz w:val="22"/>
                <w:szCs w:val="22"/>
                <w:color w:val="auto"/>
              </w:rPr>
            </w:pPr>
          </w:p>
        </w:tc>
        <w:tc>
          <w:tcPr>
            <w:tcW w:w="5480" w:type="dxa"/>
            <w:vAlign w:val="bottom"/>
            <w:tcBorders>
              <w:right w:val="single" w:sz="8" w:color="auto"/>
            </w:tcBorders>
            <w:gridSpan w:val="2"/>
          </w:tcPr>
          <w:p>
            <w:pPr>
              <w:ind w:left="60"/>
              <w:spacing w:after="0"/>
              <w:rPr>
                <w:sz w:val="20"/>
                <w:szCs w:val="20"/>
                <w:color w:val="auto"/>
              </w:rPr>
            </w:pPr>
            <w:r>
              <w:rPr>
                <w:rFonts w:ascii="Arial" w:cs="Arial" w:eastAsia="Arial" w:hAnsi="Arial"/>
                <w:sz w:val="18"/>
                <w:szCs w:val="18"/>
                <w:color w:val="auto"/>
              </w:rPr>
              <w:t>Le droit de vote et les autres droits relatifs à une action nominative</w:t>
            </w:r>
          </w:p>
        </w:tc>
      </w:tr>
      <w:tr>
        <w:trPr>
          <w:trHeight w:val="203"/>
        </w:trPr>
        <w:tc>
          <w:tcPr>
            <w:tcW w:w="5540" w:type="dxa"/>
            <w:vAlign w:val="bottom"/>
            <w:tcBorders>
              <w:left w:val="single" w:sz="8" w:color="auto"/>
              <w:right w:val="single" w:sz="8" w:color="auto"/>
            </w:tcBorders>
            <w:gridSpan w:val="2"/>
          </w:tcPr>
          <w:p>
            <w:pPr>
              <w:ind w:left="100"/>
              <w:spacing w:after="0" w:line="202" w:lineRule="exact"/>
              <w:rPr>
                <w:sz w:val="20"/>
                <w:szCs w:val="20"/>
                <w:color w:val="auto"/>
              </w:rPr>
            </w:pPr>
            <w:r>
              <w:rPr>
                <w:rFonts w:ascii="Arial" w:cs="Arial" w:eastAsia="Arial" w:hAnsi="Arial"/>
                <w:sz w:val="18"/>
                <w:szCs w:val="18"/>
                <w:color w:val="auto"/>
              </w:rPr>
              <w:t>share may only be exercised by a shareholder, a usufructuary or a</w:t>
            </w:r>
          </w:p>
        </w:tc>
        <w:tc>
          <w:tcPr>
            <w:tcW w:w="22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gridSpan w:val="2"/>
          </w:tcPr>
          <w:p>
            <w:pPr>
              <w:ind w:left="60"/>
              <w:spacing w:after="0" w:line="202" w:lineRule="exact"/>
              <w:rPr>
                <w:sz w:val="20"/>
                <w:szCs w:val="20"/>
                <w:color w:val="auto"/>
              </w:rPr>
            </w:pPr>
            <w:r>
              <w:rPr>
                <w:rFonts w:ascii="Arial" w:cs="Arial" w:eastAsia="Arial" w:hAnsi="Arial"/>
                <w:sz w:val="18"/>
                <w:szCs w:val="18"/>
                <w:color w:val="auto"/>
              </w:rPr>
              <w:t>ne peut être exercé que par un actionnaire, un usufruitier ou un</w:t>
            </w:r>
          </w:p>
        </w:tc>
      </w:tr>
      <w:tr>
        <w:trPr>
          <w:trHeight w:val="203"/>
        </w:trPr>
        <w:tc>
          <w:tcPr>
            <w:tcW w:w="5540" w:type="dxa"/>
            <w:vAlign w:val="bottom"/>
            <w:tcBorders>
              <w:left w:val="single" w:sz="8" w:color="auto"/>
              <w:right w:val="single" w:sz="8" w:color="auto"/>
            </w:tcBorders>
            <w:gridSpan w:val="2"/>
          </w:tcPr>
          <w:p>
            <w:pPr>
              <w:ind w:left="100"/>
              <w:spacing w:after="0" w:line="202" w:lineRule="exact"/>
              <w:rPr>
                <w:sz w:val="20"/>
                <w:szCs w:val="20"/>
                <w:color w:val="auto"/>
              </w:rPr>
            </w:pPr>
            <w:r>
              <w:rPr>
                <w:rFonts w:ascii="Arial" w:cs="Arial" w:eastAsia="Arial" w:hAnsi="Arial"/>
                <w:sz w:val="18"/>
                <w:szCs w:val="18"/>
                <w:color w:val="auto"/>
              </w:rPr>
              <w:t>nominee who is registered with the right to vote in the share</w:t>
            </w:r>
          </w:p>
        </w:tc>
        <w:tc>
          <w:tcPr>
            <w:tcW w:w="22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gridSpan w:val="2"/>
          </w:tcPr>
          <w:p>
            <w:pPr>
              <w:ind w:left="60"/>
              <w:spacing w:after="0" w:line="202" w:lineRule="exact"/>
              <w:rPr>
                <w:sz w:val="20"/>
                <w:szCs w:val="20"/>
                <w:color w:val="auto"/>
              </w:rPr>
            </w:pPr>
            <w:r>
              <w:rPr>
                <w:rFonts w:ascii="Arial" w:cs="Arial" w:eastAsia="Arial" w:hAnsi="Arial"/>
                <w:sz w:val="18"/>
                <w:szCs w:val="18"/>
                <w:color w:val="auto"/>
              </w:rPr>
              <w:t>candidat qui est inscrit avec le droit de vote dans le registre des</w:t>
            </w:r>
          </w:p>
        </w:tc>
      </w:tr>
      <w:tr>
        <w:trPr>
          <w:trHeight w:val="203"/>
        </w:trPr>
        <w:tc>
          <w:tcPr>
            <w:tcW w:w="5540" w:type="dxa"/>
            <w:vAlign w:val="bottom"/>
            <w:tcBorders>
              <w:left w:val="single" w:sz="8" w:color="auto"/>
              <w:right w:val="single" w:sz="8" w:color="auto"/>
            </w:tcBorders>
            <w:gridSpan w:val="2"/>
          </w:tcPr>
          <w:p>
            <w:pPr>
              <w:ind w:left="100"/>
              <w:spacing w:after="0" w:line="202" w:lineRule="exact"/>
              <w:rPr>
                <w:sz w:val="20"/>
                <w:szCs w:val="20"/>
                <w:color w:val="auto"/>
              </w:rPr>
            </w:pPr>
            <w:r>
              <w:rPr>
                <w:rFonts w:ascii="Arial" w:cs="Arial" w:eastAsia="Arial" w:hAnsi="Arial"/>
                <w:sz w:val="18"/>
                <w:szCs w:val="18"/>
                <w:color w:val="auto"/>
              </w:rPr>
              <w:t>register and by persons who are entitled by law to the voting rights</w:t>
            </w:r>
          </w:p>
        </w:tc>
        <w:tc>
          <w:tcPr>
            <w:tcW w:w="22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gridSpan w:val="2"/>
          </w:tcPr>
          <w:p>
            <w:pPr>
              <w:ind w:left="60"/>
              <w:spacing w:after="0" w:line="202" w:lineRule="exact"/>
              <w:rPr>
                <w:sz w:val="20"/>
                <w:szCs w:val="20"/>
                <w:color w:val="auto"/>
              </w:rPr>
            </w:pPr>
            <w:r>
              <w:rPr>
                <w:rFonts w:ascii="Arial" w:cs="Arial" w:eastAsia="Arial" w:hAnsi="Arial"/>
                <w:sz w:val="18"/>
                <w:szCs w:val="18"/>
                <w:color w:val="auto"/>
              </w:rPr>
              <w:t>actions et par des personnes autorisées par la loi à exercer les</w:t>
            </w:r>
          </w:p>
        </w:tc>
      </w:tr>
      <w:tr>
        <w:trPr>
          <w:trHeight w:val="217"/>
        </w:trPr>
        <w:tc>
          <w:tcPr>
            <w:tcW w:w="5540" w:type="dxa"/>
            <w:vAlign w:val="bottom"/>
            <w:tcBorders>
              <w:left w:val="single" w:sz="8" w:color="auto"/>
              <w:right w:val="single" w:sz="8" w:color="auto"/>
            </w:tcBorders>
            <w:gridSpan w:val="2"/>
          </w:tcPr>
          <w:p>
            <w:pPr>
              <w:ind w:left="100"/>
              <w:spacing w:after="0"/>
              <w:rPr>
                <w:sz w:val="20"/>
                <w:szCs w:val="20"/>
                <w:color w:val="auto"/>
              </w:rPr>
            </w:pPr>
            <w:r>
              <w:rPr>
                <w:rFonts w:ascii="Arial" w:cs="Arial" w:eastAsia="Arial" w:hAnsi="Arial"/>
                <w:sz w:val="18"/>
                <w:szCs w:val="18"/>
                <w:color w:val="auto"/>
              </w:rPr>
              <w:t>of a share.</w:t>
            </w:r>
          </w:p>
        </w:tc>
        <w:tc>
          <w:tcPr>
            <w:tcW w:w="220" w:type="dxa"/>
            <w:vAlign w:val="bottom"/>
            <w:tcBorders>
              <w:right w:val="single" w:sz="8" w:color="auto"/>
            </w:tcBorders>
          </w:tcPr>
          <w:p>
            <w:pPr>
              <w:spacing w:after="0"/>
              <w:rPr>
                <w:sz w:val="18"/>
                <w:szCs w:val="18"/>
                <w:color w:val="auto"/>
              </w:rPr>
            </w:pPr>
          </w:p>
        </w:tc>
        <w:tc>
          <w:tcPr>
            <w:tcW w:w="5480" w:type="dxa"/>
            <w:vAlign w:val="bottom"/>
            <w:tcBorders>
              <w:right w:val="single" w:sz="8" w:color="auto"/>
            </w:tcBorders>
            <w:gridSpan w:val="2"/>
          </w:tcPr>
          <w:p>
            <w:pPr>
              <w:ind w:left="60"/>
              <w:spacing w:after="0"/>
              <w:rPr>
                <w:sz w:val="20"/>
                <w:szCs w:val="20"/>
                <w:color w:val="auto"/>
              </w:rPr>
            </w:pPr>
            <w:r>
              <w:rPr>
                <w:rFonts w:ascii="Arial" w:cs="Arial" w:eastAsia="Arial" w:hAnsi="Arial"/>
                <w:sz w:val="18"/>
                <w:szCs w:val="18"/>
                <w:color w:val="auto"/>
              </w:rPr>
              <w:t>droits de vote d'une action.</w:t>
            </w:r>
          </w:p>
        </w:tc>
      </w:tr>
      <w:tr>
        <w:trPr>
          <w:trHeight w:val="54"/>
        </w:trPr>
        <w:tc>
          <w:tcPr>
            <w:tcW w:w="5540" w:type="dxa"/>
            <w:vAlign w:val="bottom"/>
            <w:tcBorders>
              <w:left w:val="single" w:sz="8" w:color="auto"/>
              <w:bottom w:val="single" w:sz="8" w:color="auto"/>
              <w:right w:val="single" w:sz="8" w:color="auto"/>
            </w:tcBorders>
            <w:gridSpan w:val="2"/>
          </w:tcPr>
          <w:p>
            <w:pPr>
              <w:spacing w:after="0"/>
              <w:rPr>
                <w:sz w:val="4"/>
                <w:szCs w:val="4"/>
                <w:color w:val="auto"/>
              </w:rPr>
            </w:pPr>
          </w:p>
        </w:tc>
        <w:tc>
          <w:tcPr>
            <w:tcW w:w="220" w:type="dxa"/>
            <w:vAlign w:val="bottom"/>
            <w:tcBorders>
              <w:bottom w:val="single" w:sz="8" w:color="auto"/>
              <w:right w:val="single" w:sz="8" w:color="auto"/>
            </w:tcBorders>
          </w:tcPr>
          <w:p>
            <w:pPr>
              <w:spacing w:after="0"/>
              <w:rPr>
                <w:sz w:val="4"/>
                <w:szCs w:val="4"/>
                <w:color w:val="auto"/>
              </w:rPr>
            </w:pPr>
          </w:p>
        </w:tc>
        <w:tc>
          <w:tcPr>
            <w:tcW w:w="5480" w:type="dxa"/>
            <w:vAlign w:val="bottom"/>
            <w:tcBorders>
              <w:bottom w:val="single" w:sz="8" w:color="auto"/>
              <w:right w:val="single" w:sz="8" w:color="auto"/>
            </w:tcBorders>
            <w:gridSpan w:val="2"/>
          </w:tcPr>
          <w:p>
            <w:pPr>
              <w:spacing w:after="0"/>
              <w:rPr>
                <w:sz w:val="4"/>
                <w:szCs w:val="4"/>
                <w:color w:val="auto"/>
              </w:rPr>
            </w:pPr>
          </w:p>
        </w:tc>
      </w:tr>
      <w:tr>
        <w:trPr>
          <w:trHeight w:val="277"/>
        </w:trPr>
        <w:tc>
          <w:tcPr>
            <w:tcW w:w="5540" w:type="dxa"/>
            <w:vAlign w:val="bottom"/>
            <w:tcBorders>
              <w:left w:val="single" w:sz="8" w:color="auto"/>
              <w:right w:val="single" w:sz="8" w:color="auto"/>
            </w:tcBorders>
            <w:gridSpan w:val="2"/>
          </w:tcPr>
          <w:p>
            <w:pPr>
              <w:ind w:left="100"/>
              <w:spacing w:after="0"/>
              <w:rPr>
                <w:sz w:val="20"/>
                <w:szCs w:val="20"/>
                <w:color w:val="auto"/>
              </w:rPr>
            </w:pPr>
            <w:r>
              <w:rPr>
                <w:rFonts w:ascii="Arial" w:cs="Arial" w:eastAsia="Arial" w:hAnsi="Arial"/>
                <w:sz w:val="18"/>
                <w:szCs w:val="18"/>
                <w:b w:val="1"/>
                <w:bCs w:val="1"/>
                <w:color w:val="auto"/>
              </w:rPr>
              <w:t>III. CORPORATE STRUCTURE</w:t>
            </w:r>
          </w:p>
        </w:tc>
        <w:tc>
          <w:tcPr>
            <w:tcW w:w="220" w:type="dxa"/>
            <w:vAlign w:val="bottom"/>
            <w:tcBorders>
              <w:right w:val="single" w:sz="8" w:color="auto"/>
            </w:tcBorders>
          </w:tcPr>
          <w:p>
            <w:pPr>
              <w:spacing w:after="0"/>
              <w:rPr>
                <w:sz w:val="24"/>
                <w:szCs w:val="24"/>
                <w:color w:val="auto"/>
              </w:rPr>
            </w:pPr>
          </w:p>
        </w:tc>
        <w:tc>
          <w:tcPr>
            <w:tcW w:w="5480" w:type="dxa"/>
            <w:vAlign w:val="bottom"/>
            <w:tcBorders>
              <w:right w:val="single" w:sz="8" w:color="auto"/>
            </w:tcBorders>
            <w:gridSpan w:val="2"/>
          </w:tcPr>
          <w:p>
            <w:pPr>
              <w:ind w:left="60"/>
              <w:spacing w:after="0"/>
              <w:rPr>
                <w:sz w:val="20"/>
                <w:szCs w:val="20"/>
                <w:color w:val="auto"/>
              </w:rPr>
            </w:pPr>
            <w:r>
              <w:rPr>
                <w:rFonts w:ascii="Arial" w:cs="Arial" w:eastAsia="Arial" w:hAnsi="Arial"/>
                <w:sz w:val="18"/>
                <w:szCs w:val="18"/>
                <w:b w:val="1"/>
                <w:bCs w:val="1"/>
                <w:color w:val="auto"/>
              </w:rPr>
              <w:t>III. STRUCTURE DE LA SOCIÉTÉ</w:t>
            </w:r>
          </w:p>
        </w:tc>
      </w:tr>
      <w:tr>
        <w:trPr>
          <w:trHeight w:val="54"/>
        </w:trPr>
        <w:tc>
          <w:tcPr>
            <w:tcW w:w="5540" w:type="dxa"/>
            <w:vAlign w:val="bottom"/>
            <w:tcBorders>
              <w:left w:val="single" w:sz="8" w:color="auto"/>
              <w:bottom w:val="single" w:sz="8" w:color="auto"/>
              <w:right w:val="single" w:sz="8" w:color="auto"/>
            </w:tcBorders>
            <w:gridSpan w:val="2"/>
          </w:tcPr>
          <w:p>
            <w:pPr>
              <w:spacing w:after="0"/>
              <w:rPr>
                <w:sz w:val="4"/>
                <w:szCs w:val="4"/>
                <w:color w:val="auto"/>
              </w:rPr>
            </w:pPr>
          </w:p>
        </w:tc>
        <w:tc>
          <w:tcPr>
            <w:tcW w:w="220" w:type="dxa"/>
            <w:vAlign w:val="bottom"/>
            <w:tcBorders>
              <w:bottom w:val="single" w:sz="8" w:color="auto"/>
              <w:right w:val="single" w:sz="8" w:color="auto"/>
            </w:tcBorders>
          </w:tcPr>
          <w:p>
            <w:pPr>
              <w:spacing w:after="0"/>
              <w:rPr>
                <w:sz w:val="4"/>
                <w:szCs w:val="4"/>
                <w:color w:val="auto"/>
              </w:rPr>
            </w:pPr>
          </w:p>
        </w:tc>
        <w:tc>
          <w:tcPr>
            <w:tcW w:w="5480" w:type="dxa"/>
            <w:vAlign w:val="bottom"/>
            <w:tcBorders>
              <w:bottom w:val="single" w:sz="8" w:color="auto"/>
              <w:right w:val="single" w:sz="8" w:color="auto"/>
            </w:tcBorders>
            <w:gridSpan w:val="2"/>
          </w:tcPr>
          <w:p>
            <w:pPr>
              <w:spacing w:after="0"/>
              <w:rPr>
                <w:sz w:val="4"/>
                <w:szCs w:val="4"/>
                <w:color w:val="auto"/>
              </w:rPr>
            </w:pPr>
          </w:p>
        </w:tc>
      </w:tr>
      <w:tr>
        <w:trPr>
          <w:trHeight w:val="277"/>
        </w:trPr>
        <w:tc>
          <w:tcPr>
            <w:tcW w:w="5540" w:type="dxa"/>
            <w:vAlign w:val="bottom"/>
            <w:tcBorders>
              <w:left w:val="single" w:sz="8" w:color="auto"/>
              <w:right w:val="single" w:sz="8" w:color="auto"/>
            </w:tcBorders>
            <w:gridSpan w:val="2"/>
          </w:tcPr>
          <w:p>
            <w:pPr>
              <w:ind w:left="100"/>
              <w:spacing w:after="0"/>
              <w:rPr>
                <w:sz w:val="20"/>
                <w:szCs w:val="20"/>
                <w:color w:val="auto"/>
              </w:rPr>
            </w:pPr>
            <w:r>
              <w:rPr>
                <w:rFonts w:ascii="Arial" w:cs="Arial" w:eastAsia="Arial" w:hAnsi="Arial"/>
                <w:sz w:val="18"/>
                <w:szCs w:val="18"/>
                <w:b w:val="1"/>
                <w:bCs w:val="1"/>
                <w:color w:val="auto"/>
              </w:rPr>
              <w:t>Art. 7 Organization</w:t>
            </w:r>
          </w:p>
        </w:tc>
        <w:tc>
          <w:tcPr>
            <w:tcW w:w="220" w:type="dxa"/>
            <w:vAlign w:val="bottom"/>
            <w:tcBorders>
              <w:right w:val="single" w:sz="8" w:color="auto"/>
            </w:tcBorders>
          </w:tcPr>
          <w:p>
            <w:pPr>
              <w:spacing w:after="0"/>
              <w:rPr>
                <w:sz w:val="24"/>
                <w:szCs w:val="24"/>
                <w:color w:val="auto"/>
              </w:rPr>
            </w:pPr>
          </w:p>
        </w:tc>
        <w:tc>
          <w:tcPr>
            <w:tcW w:w="5480" w:type="dxa"/>
            <w:vAlign w:val="bottom"/>
            <w:tcBorders>
              <w:right w:val="single" w:sz="8" w:color="auto"/>
            </w:tcBorders>
            <w:gridSpan w:val="2"/>
          </w:tcPr>
          <w:p>
            <w:pPr>
              <w:ind w:left="60"/>
              <w:spacing w:after="0"/>
              <w:rPr>
                <w:sz w:val="20"/>
                <w:szCs w:val="20"/>
                <w:color w:val="auto"/>
              </w:rPr>
            </w:pPr>
            <w:r>
              <w:rPr>
                <w:rFonts w:ascii="Arial" w:cs="Arial" w:eastAsia="Arial" w:hAnsi="Arial"/>
                <w:sz w:val="18"/>
                <w:szCs w:val="18"/>
                <w:b w:val="1"/>
                <w:bCs w:val="1"/>
                <w:color w:val="auto"/>
              </w:rPr>
              <w:t>Art. 7 Organisation</w:t>
            </w:r>
          </w:p>
        </w:tc>
      </w:tr>
      <w:tr>
        <w:trPr>
          <w:trHeight w:val="405"/>
        </w:trPr>
        <w:tc>
          <w:tcPr>
            <w:tcW w:w="5540" w:type="dxa"/>
            <w:vAlign w:val="bottom"/>
            <w:tcBorders>
              <w:left w:val="single" w:sz="8" w:color="auto"/>
              <w:right w:val="single" w:sz="8" w:color="auto"/>
            </w:tcBorders>
            <w:gridSpan w:val="2"/>
          </w:tcPr>
          <w:p>
            <w:pPr>
              <w:ind w:left="100"/>
              <w:spacing w:after="0"/>
              <w:rPr>
                <w:sz w:val="20"/>
                <w:szCs w:val="20"/>
                <w:color w:val="auto"/>
              </w:rPr>
            </w:pPr>
            <w:r>
              <w:rPr>
                <w:rFonts w:ascii="Arial" w:cs="Arial" w:eastAsia="Arial" w:hAnsi="Arial"/>
                <w:sz w:val="18"/>
                <w:szCs w:val="18"/>
                <w:color w:val="auto"/>
              </w:rPr>
              <w:t>The corporate bodies are:</w:t>
            </w:r>
          </w:p>
        </w:tc>
        <w:tc>
          <w:tcPr>
            <w:tcW w:w="220" w:type="dxa"/>
            <w:vAlign w:val="bottom"/>
            <w:tcBorders>
              <w:right w:val="single" w:sz="8" w:color="auto"/>
            </w:tcBorders>
          </w:tcPr>
          <w:p>
            <w:pPr>
              <w:spacing w:after="0"/>
              <w:rPr>
                <w:sz w:val="24"/>
                <w:szCs w:val="24"/>
                <w:color w:val="auto"/>
              </w:rPr>
            </w:pPr>
          </w:p>
        </w:tc>
        <w:tc>
          <w:tcPr>
            <w:tcW w:w="5480" w:type="dxa"/>
            <w:vAlign w:val="bottom"/>
            <w:tcBorders>
              <w:right w:val="single" w:sz="8" w:color="auto"/>
            </w:tcBorders>
            <w:gridSpan w:val="2"/>
          </w:tcPr>
          <w:p>
            <w:pPr>
              <w:ind w:left="60"/>
              <w:spacing w:after="0"/>
              <w:rPr>
                <w:sz w:val="20"/>
                <w:szCs w:val="20"/>
                <w:color w:val="auto"/>
              </w:rPr>
            </w:pPr>
            <w:r>
              <w:rPr>
                <w:rFonts w:ascii="Arial" w:cs="Arial" w:eastAsia="Arial" w:hAnsi="Arial"/>
                <w:sz w:val="18"/>
                <w:szCs w:val="18"/>
                <w:color w:val="auto"/>
              </w:rPr>
              <w:t>Les organes de la société sont:</w:t>
            </w:r>
          </w:p>
        </w:tc>
      </w:tr>
      <w:tr>
        <w:trPr>
          <w:trHeight w:val="257"/>
        </w:trPr>
        <w:tc>
          <w:tcPr>
            <w:tcW w:w="440" w:type="dxa"/>
            <w:vAlign w:val="bottom"/>
            <w:tcBorders>
              <w:left w:val="single" w:sz="8" w:color="auto"/>
            </w:tcBorders>
          </w:tcPr>
          <w:p>
            <w:pPr>
              <w:ind w:left="100"/>
              <w:spacing w:after="0"/>
              <w:rPr>
                <w:sz w:val="20"/>
                <w:szCs w:val="20"/>
                <w:color w:val="auto"/>
              </w:rPr>
            </w:pPr>
            <w:r>
              <w:rPr>
                <w:rFonts w:ascii="Arial" w:cs="Arial" w:eastAsia="Arial" w:hAnsi="Arial"/>
                <w:sz w:val="18"/>
                <w:szCs w:val="18"/>
                <w:color w:val="auto"/>
              </w:rPr>
              <w:t>A.</w:t>
            </w:r>
          </w:p>
        </w:tc>
        <w:tc>
          <w:tcPr>
            <w:tcW w:w="510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the General Meeting;</w:t>
            </w:r>
          </w:p>
        </w:tc>
        <w:tc>
          <w:tcPr>
            <w:tcW w:w="220" w:type="dxa"/>
            <w:vAlign w:val="bottom"/>
            <w:tcBorders>
              <w:right w:val="single" w:sz="8" w:color="auto"/>
            </w:tcBorders>
          </w:tcPr>
          <w:p>
            <w:pPr>
              <w:spacing w:after="0"/>
              <w:rPr>
                <w:sz w:val="22"/>
                <w:szCs w:val="22"/>
                <w:color w:val="auto"/>
              </w:rPr>
            </w:pPr>
          </w:p>
        </w:tc>
        <w:tc>
          <w:tcPr>
            <w:tcW w:w="400" w:type="dxa"/>
            <w:vAlign w:val="bottom"/>
          </w:tcPr>
          <w:p>
            <w:pPr>
              <w:ind w:left="60"/>
              <w:spacing w:after="0"/>
              <w:rPr>
                <w:sz w:val="20"/>
                <w:szCs w:val="20"/>
                <w:color w:val="auto"/>
              </w:rPr>
            </w:pPr>
            <w:r>
              <w:rPr>
                <w:rFonts w:ascii="Arial" w:cs="Arial" w:eastAsia="Arial" w:hAnsi="Arial"/>
                <w:sz w:val="18"/>
                <w:szCs w:val="18"/>
                <w:color w:val="auto"/>
              </w:rPr>
              <w:t>A.</w:t>
            </w:r>
          </w:p>
        </w:tc>
        <w:tc>
          <w:tcPr>
            <w:tcW w:w="508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L'assemblé générale;</w:t>
            </w:r>
          </w:p>
        </w:tc>
      </w:tr>
      <w:tr>
        <w:trPr>
          <w:trHeight w:val="256"/>
        </w:trPr>
        <w:tc>
          <w:tcPr>
            <w:tcW w:w="440" w:type="dxa"/>
            <w:vAlign w:val="bottom"/>
            <w:tcBorders>
              <w:left w:val="single" w:sz="8" w:color="auto"/>
            </w:tcBorders>
          </w:tcPr>
          <w:p>
            <w:pPr>
              <w:ind w:left="100"/>
              <w:spacing w:after="0"/>
              <w:rPr>
                <w:sz w:val="20"/>
                <w:szCs w:val="20"/>
                <w:color w:val="auto"/>
              </w:rPr>
            </w:pPr>
            <w:r>
              <w:rPr>
                <w:rFonts w:ascii="Arial" w:cs="Arial" w:eastAsia="Arial" w:hAnsi="Arial"/>
                <w:sz w:val="18"/>
                <w:szCs w:val="18"/>
                <w:color w:val="auto"/>
              </w:rPr>
              <w:t>B.</w:t>
            </w:r>
          </w:p>
        </w:tc>
        <w:tc>
          <w:tcPr>
            <w:tcW w:w="510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the Board of Directors;</w:t>
            </w:r>
          </w:p>
        </w:tc>
        <w:tc>
          <w:tcPr>
            <w:tcW w:w="220" w:type="dxa"/>
            <w:vAlign w:val="bottom"/>
            <w:tcBorders>
              <w:right w:val="single" w:sz="8" w:color="auto"/>
            </w:tcBorders>
          </w:tcPr>
          <w:p>
            <w:pPr>
              <w:spacing w:after="0"/>
              <w:rPr>
                <w:sz w:val="22"/>
                <w:szCs w:val="22"/>
                <w:color w:val="auto"/>
              </w:rPr>
            </w:pPr>
          </w:p>
        </w:tc>
        <w:tc>
          <w:tcPr>
            <w:tcW w:w="400" w:type="dxa"/>
            <w:vAlign w:val="bottom"/>
          </w:tcPr>
          <w:p>
            <w:pPr>
              <w:ind w:left="60"/>
              <w:spacing w:after="0"/>
              <w:rPr>
                <w:sz w:val="20"/>
                <w:szCs w:val="20"/>
                <w:color w:val="auto"/>
              </w:rPr>
            </w:pPr>
            <w:r>
              <w:rPr>
                <w:rFonts w:ascii="Arial" w:cs="Arial" w:eastAsia="Arial" w:hAnsi="Arial"/>
                <w:sz w:val="18"/>
                <w:szCs w:val="18"/>
                <w:color w:val="auto"/>
              </w:rPr>
              <w:t>B.</w:t>
            </w:r>
          </w:p>
        </w:tc>
        <w:tc>
          <w:tcPr>
            <w:tcW w:w="508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Le conseil d'administration;</w:t>
            </w:r>
          </w:p>
        </w:tc>
      </w:tr>
      <w:tr>
        <w:trPr>
          <w:trHeight w:val="54"/>
        </w:trPr>
        <w:tc>
          <w:tcPr>
            <w:tcW w:w="440" w:type="dxa"/>
            <w:vAlign w:val="bottom"/>
            <w:tcBorders>
              <w:left w:val="single" w:sz="8" w:color="auto"/>
              <w:bottom w:val="single" w:sz="8" w:color="auto"/>
            </w:tcBorders>
          </w:tcPr>
          <w:p>
            <w:pPr>
              <w:spacing w:after="0"/>
              <w:rPr>
                <w:sz w:val="4"/>
                <w:szCs w:val="4"/>
                <w:color w:val="auto"/>
              </w:rPr>
            </w:pPr>
          </w:p>
        </w:tc>
        <w:tc>
          <w:tcPr>
            <w:tcW w:w="5100" w:type="dxa"/>
            <w:vAlign w:val="bottom"/>
            <w:tcBorders>
              <w:bottom w:val="single" w:sz="8" w:color="auto"/>
              <w:right w:val="single" w:sz="8" w:color="auto"/>
            </w:tcBorders>
          </w:tcPr>
          <w:p>
            <w:pPr>
              <w:spacing w:after="0"/>
              <w:rPr>
                <w:sz w:val="4"/>
                <w:szCs w:val="4"/>
                <w:color w:val="auto"/>
              </w:rPr>
            </w:pPr>
          </w:p>
        </w:tc>
        <w:tc>
          <w:tcPr>
            <w:tcW w:w="220" w:type="dxa"/>
            <w:vAlign w:val="bottom"/>
            <w:tcBorders>
              <w:bottom w:val="single" w:sz="8" w:color="auto"/>
              <w:right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5080" w:type="dxa"/>
            <w:vAlign w:val="bottom"/>
            <w:tcBorders>
              <w:bottom w:val="single" w:sz="8" w:color="auto"/>
              <w:right w:val="single" w:sz="8" w:color="auto"/>
            </w:tcBorders>
          </w:tcPr>
          <w:p>
            <w:pPr>
              <w:spacing w:after="0"/>
              <w:rPr>
                <w:sz w:val="4"/>
                <w:szCs w:val="4"/>
                <w:color w:val="auto"/>
              </w:rPr>
            </w:pPr>
          </w:p>
        </w:tc>
      </w:tr>
      <w:tr>
        <w:trPr>
          <w:trHeight w:val="452"/>
        </w:trPr>
        <w:tc>
          <w:tcPr>
            <w:tcW w:w="440" w:type="dxa"/>
            <w:vAlign w:val="bottom"/>
            <w:tcBorders>
              <w:bottom w:val="single" w:sz="8" w:color="auto"/>
            </w:tcBorders>
          </w:tcPr>
          <w:p>
            <w:pPr>
              <w:spacing w:after="0"/>
              <w:rPr>
                <w:sz w:val="24"/>
                <w:szCs w:val="24"/>
                <w:color w:val="auto"/>
              </w:rPr>
            </w:pPr>
          </w:p>
        </w:tc>
        <w:tc>
          <w:tcPr>
            <w:tcW w:w="5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50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249" w:right="339" w:bottom="1440" w:gutter="0" w:footer="0" w:header="0"/>
        </w:sectPr>
      </w:pPr>
    </w:p>
    <w:bookmarkStart w:id="47" w:name="page48"/>
    <w:bookmarkEnd w:id="47"/>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187"/>
        </w:trPr>
        <w:tc>
          <w:tcPr>
            <w:tcW w:w="554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5140" w:type="dxa"/>
            <w:vAlign w:val="bottom"/>
            <w:tcBorders>
              <w:bottom w:val="single" w:sz="8" w:color="auto"/>
            </w:tcBorders>
          </w:tcPr>
          <w:p>
            <w:pPr>
              <w:ind w:left="5000"/>
              <w:spacing w:after="0"/>
              <w:rPr>
                <w:sz w:val="20"/>
                <w:szCs w:val="20"/>
                <w:color w:val="auto"/>
              </w:rPr>
            </w:pPr>
            <w:r>
              <w:rPr>
                <w:rFonts w:ascii="Arial" w:cs="Arial" w:eastAsia="Arial" w:hAnsi="Arial"/>
                <w:sz w:val="16"/>
                <w:szCs w:val="16"/>
                <w:color w:val="auto"/>
              </w:rPr>
              <w:t>9</w:t>
            </w:r>
          </w:p>
        </w:tc>
      </w:tr>
      <w:tr>
        <w:trPr>
          <w:trHeight w:val="277"/>
        </w:trPr>
        <w:tc>
          <w:tcPr>
            <w:tcW w:w="554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 the Auditors.</w:t>
            </w:r>
          </w:p>
        </w:tc>
        <w:tc>
          <w:tcPr>
            <w:tcW w:w="220" w:type="dxa"/>
            <w:vAlign w:val="bottom"/>
            <w:tcBorders>
              <w:right w:val="single" w:sz="8" w:color="auto"/>
            </w:tcBorders>
          </w:tcPr>
          <w:p>
            <w:pPr>
              <w:spacing w:after="0"/>
              <w:rPr>
                <w:sz w:val="24"/>
                <w:szCs w:val="24"/>
                <w:color w:val="auto"/>
              </w:rPr>
            </w:pPr>
          </w:p>
        </w:tc>
        <w:tc>
          <w:tcPr>
            <w:tcW w:w="5480" w:type="dxa"/>
            <w:vAlign w:val="bottom"/>
            <w:tcBorders>
              <w:right w:val="single" w:sz="8" w:color="auto"/>
            </w:tcBorders>
            <w:gridSpan w:val="2"/>
          </w:tcPr>
          <w:p>
            <w:pPr>
              <w:ind w:left="60"/>
              <w:spacing w:after="0"/>
              <w:rPr>
                <w:sz w:val="20"/>
                <w:szCs w:val="20"/>
                <w:color w:val="auto"/>
              </w:rPr>
            </w:pPr>
            <w:r>
              <w:rPr>
                <w:rFonts w:ascii="Arial" w:cs="Arial" w:eastAsia="Arial" w:hAnsi="Arial"/>
                <w:sz w:val="18"/>
                <w:szCs w:val="18"/>
                <w:color w:val="auto"/>
              </w:rPr>
              <w:t>C. l'organe de révision.</w:t>
            </w:r>
          </w:p>
        </w:tc>
      </w:tr>
      <w:tr>
        <w:trPr>
          <w:trHeight w:val="54"/>
        </w:trPr>
        <w:tc>
          <w:tcPr>
            <w:tcW w:w="5540" w:type="dxa"/>
            <w:vAlign w:val="bottom"/>
            <w:tcBorders>
              <w:left w:val="single" w:sz="8" w:color="auto"/>
              <w:bottom w:val="single" w:sz="8" w:color="auto"/>
              <w:right w:val="single" w:sz="8" w:color="auto"/>
            </w:tcBorders>
          </w:tcPr>
          <w:p>
            <w:pPr>
              <w:spacing w:after="0"/>
              <w:rPr>
                <w:sz w:val="4"/>
                <w:szCs w:val="4"/>
                <w:color w:val="auto"/>
              </w:rPr>
            </w:pPr>
          </w:p>
        </w:tc>
        <w:tc>
          <w:tcPr>
            <w:tcW w:w="220" w:type="dxa"/>
            <w:vAlign w:val="bottom"/>
            <w:tcBorders>
              <w:bottom w:val="single" w:sz="8" w:color="auto"/>
              <w:right w:val="single" w:sz="8" w:color="auto"/>
            </w:tcBorders>
          </w:tcPr>
          <w:p>
            <w:pPr>
              <w:spacing w:after="0"/>
              <w:rPr>
                <w:sz w:val="4"/>
                <w:szCs w:val="4"/>
                <w:color w:val="auto"/>
              </w:rPr>
            </w:pPr>
          </w:p>
        </w:tc>
        <w:tc>
          <w:tcPr>
            <w:tcW w:w="5480" w:type="dxa"/>
            <w:vAlign w:val="bottom"/>
            <w:tcBorders>
              <w:bottom w:val="single" w:sz="8" w:color="auto"/>
              <w:right w:val="single" w:sz="8" w:color="auto"/>
            </w:tcBorders>
            <w:gridSpan w:val="2"/>
          </w:tcPr>
          <w:p>
            <w:pPr>
              <w:spacing w:after="0"/>
              <w:rPr>
                <w:sz w:val="4"/>
                <w:szCs w:val="4"/>
                <w:color w:val="auto"/>
              </w:rPr>
            </w:pPr>
          </w:p>
        </w:tc>
      </w:tr>
      <w:tr>
        <w:trPr>
          <w:trHeight w:val="277"/>
        </w:trPr>
        <w:tc>
          <w:tcPr>
            <w:tcW w:w="554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b w:val="1"/>
                <w:bCs w:val="1"/>
                <w:color w:val="auto"/>
              </w:rPr>
              <w:t>IV. THE GENERAL MEETING</w:t>
            </w:r>
          </w:p>
        </w:tc>
        <w:tc>
          <w:tcPr>
            <w:tcW w:w="220" w:type="dxa"/>
            <w:vAlign w:val="bottom"/>
            <w:tcBorders>
              <w:right w:val="single" w:sz="8" w:color="auto"/>
            </w:tcBorders>
          </w:tcPr>
          <w:p>
            <w:pPr>
              <w:spacing w:after="0"/>
              <w:rPr>
                <w:sz w:val="24"/>
                <w:szCs w:val="24"/>
                <w:color w:val="auto"/>
              </w:rPr>
            </w:pPr>
          </w:p>
        </w:tc>
        <w:tc>
          <w:tcPr>
            <w:tcW w:w="5480" w:type="dxa"/>
            <w:vAlign w:val="bottom"/>
            <w:tcBorders>
              <w:right w:val="single" w:sz="8" w:color="auto"/>
            </w:tcBorders>
            <w:gridSpan w:val="2"/>
          </w:tcPr>
          <w:p>
            <w:pPr>
              <w:ind w:left="60"/>
              <w:spacing w:after="0"/>
              <w:rPr>
                <w:sz w:val="20"/>
                <w:szCs w:val="20"/>
                <w:color w:val="auto"/>
              </w:rPr>
            </w:pPr>
            <w:r>
              <w:rPr>
                <w:rFonts w:ascii="Arial" w:cs="Arial" w:eastAsia="Arial" w:hAnsi="Arial"/>
                <w:sz w:val="18"/>
                <w:szCs w:val="18"/>
                <w:b w:val="1"/>
                <w:bCs w:val="1"/>
                <w:color w:val="auto"/>
              </w:rPr>
              <w:t>IV. L'ASSEMBLÉE GÉNÉRALE</w:t>
            </w:r>
          </w:p>
        </w:tc>
      </w:tr>
      <w:tr>
        <w:trPr>
          <w:trHeight w:val="54"/>
        </w:trPr>
        <w:tc>
          <w:tcPr>
            <w:tcW w:w="5540" w:type="dxa"/>
            <w:vAlign w:val="bottom"/>
            <w:tcBorders>
              <w:left w:val="single" w:sz="8" w:color="auto"/>
              <w:bottom w:val="single" w:sz="8" w:color="auto"/>
              <w:right w:val="single" w:sz="8" w:color="auto"/>
            </w:tcBorders>
          </w:tcPr>
          <w:p>
            <w:pPr>
              <w:spacing w:after="0"/>
              <w:rPr>
                <w:sz w:val="4"/>
                <w:szCs w:val="4"/>
                <w:color w:val="auto"/>
              </w:rPr>
            </w:pPr>
          </w:p>
        </w:tc>
        <w:tc>
          <w:tcPr>
            <w:tcW w:w="220" w:type="dxa"/>
            <w:vAlign w:val="bottom"/>
            <w:tcBorders>
              <w:bottom w:val="single" w:sz="8" w:color="auto"/>
              <w:right w:val="single" w:sz="8" w:color="auto"/>
            </w:tcBorders>
          </w:tcPr>
          <w:p>
            <w:pPr>
              <w:spacing w:after="0"/>
              <w:rPr>
                <w:sz w:val="4"/>
                <w:szCs w:val="4"/>
                <w:color w:val="auto"/>
              </w:rPr>
            </w:pPr>
          </w:p>
        </w:tc>
        <w:tc>
          <w:tcPr>
            <w:tcW w:w="5480" w:type="dxa"/>
            <w:vAlign w:val="bottom"/>
            <w:tcBorders>
              <w:bottom w:val="single" w:sz="8" w:color="auto"/>
              <w:right w:val="single" w:sz="8" w:color="auto"/>
            </w:tcBorders>
            <w:gridSpan w:val="2"/>
          </w:tcPr>
          <w:p>
            <w:pPr>
              <w:spacing w:after="0"/>
              <w:rPr>
                <w:sz w:val="4"/>
                <w:szCs w:val="4"/>
                <w:color w:val="auto"/>
              </w:rPr>
            </w:pPr>
          </w:p>
        </w:tc>
      </w:tr>
      <w:tr>
        <w:trPr>
          <w:trHeight w:val="277"/>
        </w:trPr>
        <w:tc>
          <w:tcPr>
            <w:tcW w:w="554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b w:val="1"/>
                <w:bCs w:val="1"/>
                <w:color w:val="auto"/>
              </w:rPr>
              <w:t>Art. 8 Powers</w:t>
            </w:r>
          </w:p>
        </w:tc>
        <w:tc>
          <w:tcPr>
            <w:tcW w:w="220" w:type="dxa"/>
            <w:vAlign w:val="bottom"/>
            <w:tcBorders>
              <w:right w:val="single" w:sz="8" w:color="auto"/>
            </w:tcBorders>
          </w:tcPr>
          <w:p>
            <w:pPr>
              <w:spacing w:after="0"/>
              <w:rPr>
                <w:sz w:val="24"/>
                <w:szCs w:val="24"/>
                <w:color w:val="auto"/>
              </w:rPr>
            </w:pPr>
          </w:p>
        </w:tc>
        <w:tc>
          <w:tcPr>
            <w:tcW w:w="5480" w:type="dxa"/>
            <w:vAlign w:val="bottom"/>
            <w:tcBorders>
              <w:right w:val="single" w:sz="8" w:color="auto"/>
            </w:tcBorders>
            <w:gridSpan w:val="2"/>
          </w:tcPr>
          <w:p>
            <w:pPr>
              <w:ind w:left="60"/>
              <w:spacing w:after="0"/>
              <w:rPr>
                <w:sz w:val="20"/>
                <w:szCs w:val="20"/>
                <w:color w:val="auto"/>
              </w:rPr>
            </w:pPr>
            <w:r>
              <w:rPr>
                <w:rFonts w:ascii="Arial" w:cs="Arial" w:eastAsia="Arial" w:hAnsi="Arial"/>
                <w:sz w:val="18"/>
                <w:szCs w:val="18"/>
                <w:b w:val="1"/>
                <w:bCs w:val="1"/>
                <w:color w:val="auto"/>
              </w:rPr>
              <w:t>Art. 8 Pouvoirs</w:t>
            </w:r>
          </w:p>
        </w:tc>
      </w:tr>
      <w:tr>
        <w:trPr>
          <w:trHeight w:val="391"/>
        </w:trPr>
        <w:tc>
          <w:tcPr>
            <w:tcW w:w="554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The General Meeting is the supreme body of the Company. It has</w:t>
            </w:r>
          </w:p>
        </w:tc>
        <w:tc>
          <w:tcPr>
            <w:tcW w:w="220" w:type="dxa"/>
            <w:vAlign w:val="bottom"/>
            <w:tcBorders>
              <w:right w:val="single" w:sz="8" w:color="auto"/>
            </w:tcBorders>
          </w:tcPr>
          <w:p>
            <w:pPr>
              <w:spacing w:after="0"/>
              <w:rPr>
                <w:sz w:val="24"/>
                <w:szCs w:val="24"/>
                <w:color w:val="auto"/>
              </w:rPr>
            </w:pPr>
          </w:p>
        </w:tc>
        <w:tc>
          <w:tcPr>
            <w:tcW w:w="5480" w:type="dxa"/>
            <w:vAlign w:val="bottom"/>
            <w:tcBorders>
              <w:right w:val="single" w:sz="8" w:color="auto"/>
            </w:tcBorders>
            <w:gridSpan w:val="2"/>
          </w:tcPr>
          <w:p>
            <w:pPr>
              <w:ind w:left="60"/>
              <w:spacing w:after="0"/>
              <w:rPr>
                <w:sz w:val="20"/>
                <w:szCs w:val="20"/>
                <w:color w:val="auto"/>
              </w:rPr>
            </w:pPr>
            <w:r>
              <w:rPr>
                <w:rFonts w:ascii="Arial" w:cs="Arial" w:eastAsia="Arial" w:hAnsi="Arial"/>
                <w:sz w:val="18"/>
                <w:szCs w:val="18"/>
                <w:color w:val="auto"/>
              </w:rPr>
              <w:t>L'assemblée générale des actionnaires est le pouvoir suprême de</w:t>
            </w:r>
          </w:p>
        </w:tc>
      </w:tr>
      <w:tr>
        <w:trPr>
          <w:trHeight w:val="217"/>
        </w:trPr>
        <w:tc>
          <w:tcPr>
            <w:tcW w:w="554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the following non delegable powers:</w:t>
            </w:r>
          </w:p>
        </w:tc>
        <w:tc>
          <w:tcPr>
            <w:tcW w:w="220" w:type="dxa"/>
            <w:vAlign w:val="bottom"/>
            <w:tcBorders>
              <w:right w:val="single" w:sz="8" w:color="auto"/>
            </w:tcBorders>
          </w:tcPr>
          <w:p>
            <w:pPr>
              <w:spacing w:after="0"/>
              <w:rPr>
                <w:sz w:val="18"/>
                <w:szCs w:val="18"/>
                <w:color w:val="auto"/>
              </w:rPr>
            </w:pPr>
          </w:p>
        </w:tc>
        <w:tc>
          <w:tcPr>
            <w:tcW w:w="5480" w:type="dxa"/>
            <w:vAlign w:val="bottom"/>
            <w:tcBorders>
              <w:right w:val="single" w:sz="8" w:color="auto"/>
            </w:tcBorders>
            <w:gridSpan w:val="2"/>
          </w:tcPr>
          <w:p>
            <w:pPr>
              <w:ind w:left="60"/>
              <w:spacing w:after="0"/>
              <w:rPr>
                <w:sz w:val="20"/>
                <w:szCs w:val="20"/>
                <w:color w:val="auto"/>
              </w:rPr>
            </w:pPr>
            <w:r>
              <w:rPr>
                <w:rFonts w:ascii="Arial" w:cs="Arial" w:eastAsia="Arial" w:hAnsi="Arial"/>
                <w:sz w:val="18"/>
                <w:szCs w:val="18"/>
                <w:color w:val="auto"/>
              </w:rPr>
              <w:t>la société. Elle a les droits intransmissibles suivants:</w:t>
            </w:r>
          </w:p>
        </w:tc>
      </w:tr>
      <w:tr>
        <w:trPr>
          <w:trHeight w:val="54"/>
        </w:trPr>
        <w:tc>
          <w:tcPr>
            <w:tcW w:w="5540" w:type="dxa"/>
            <w:vAlign w:val="bottom"/>
            <w:tcBorders>
              <w:left w:val="single" w:sz="8" w:color="auto"/>
              <w:bottom w:val="single" w:sz="8" w:color="auto"/>
              <w:right w:val="single" w:sz="8" w:color="auto"/>
            </w:tcBorders>
          </w:tcPr>
          <w:p>
            <w:pPr>
              <w:spacing w:after="0"/>
              <w:rPr>
                <w:sz w:val="4"/>
                <w:szCs w:val="4"/>
                <w:color w:val="auto"/>
              </w:rPr>
            </w:pPr>
          </w:p>
        </w:tc>
        <w:tc>
          <w:tcPr>
            <w:tcW w:w="220" w:type="dxa"/>
            <w:vAlign w:val="bottom"/>
            <w:tcBorders>
              <w:bottom w:val="single" w:sz="8" w:color="auto"/>
              <w:right w:val="single" w:sz="8" w:color="auto"/>
            </w:tcBorders>
          </w:tcPr>
          <w:p>
            <w:pPr>
              <w:spacing w:after="0"/>
              <w:rPr>
                <w:sz w:val="4"/>
                <w:szCs w:val="4"/>
                <w:color w:val="auto"/>
              </w:rPr>
            </w:pPr>
          </w:p>
        </w:tc>
        <w:tc>
          <w:tcPr>
            <w:tcW w:w="5480" w:type="dxa"/>
            <w:vAlign w:val="bottom"/>
            <w:tcBorders>
              <w:bottom w:val="single" w:sz="8" w:color="auto"/>
              <w:right w:val="single" w:sz="8" w:color="auto"/>
            </w:tcBorders>
            <w:gridSpan w:val="2"/>
          </w:tcPr>
          <w:p>
            <w:pPr>
              <w:spacing w:after="0"/>
              <w:rPr>
                <w:sz w:val="4"/>
                <w:szCs w:val="4"/>
                <w:color w:val="auto"/>
              </w:rPr>
            </w:pPr>
          </w:p>
        </w:tc>
      </w:tr>
      <w:tr>
        <w:trPr>
          <w:trHeight w:val="263"/>
        </w:trPr>
        <w:tc>
          <w:tcPr>
            <w:tcW w:w="554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a)  to adopt and amend the Articles of Association (Articles 651a,</w:t>
            </w:r>
          </w:p>
        </w:tc>
        <w:tc>
          <w:tcPr>
            <w:tcW w:w="220" w:type="dxa"/>
            <w:vAlign w:val="bottom"/>
            <w:tcBorders>
              <w:right w:val="single" w:sz="8" w:color="auto"/>
            </w:tcBorders>
          </w:tcPr>
          <w:p>
            <w:pPr>
              <w:spacing w:after="0"/>
              <w:rPr>
                <w:sz w:val="22"/>
                <w:szCs w:val="22"/>
                <w:color w:val="auto"/>
              </w:rPr>
            </w:pPr>
          </w:p>
        </w:tc>
        <w:tc>
          <w:tcPr>
            <w:tcW w:w="5480" w:type="dxa"/>
            <w:vAlign w:val="bottom"/>
            <w:tcBorders>
              <w:right w:val="single" w:sz="8" w:color="auto"/>
            </w:tcBorders>
            <w:gridSpan w:val="2"/>
          </w:tcPr>
          <w:p>
            <w:pPr>
              <w:ind w:left="60"/>
              <w:spacing w:after="0"/>
              <w:rPr>
                <w:sz w:val="20"/>
                <w:szCs w:val="20"/>
                <w:color w:val="auto"/>
              </w:rPr>
            </w:pPr>
            <w:r>
              <w:rPr>
                <w:rFonts w:ascii="Arial" w:cs="Arial" w:eastAsia="Arial" w:hAnsi="Arial"/>
                <w:sz w:val="18"/>
                <w:szCs w:val="18"/>
                <w:color w:val="auto"/>
              </w:rPr>
              <w:t>a)   adapter et modifier les statuts (articles 651a, 652g, 653g et</w:t>
            </w:r>
          </w:p>
        </w:tc>
      </w:tr>
      <w:tr>
        <w:trPr>
          <w:trHeight w:val="217"/>
        </w:trPr>
        <w:tc>
          <w:tcPr>
            <w:tcW w:w="5540" w:type="dxa"/>
            <w:vAlign w:val="bottom"/>
            <w:tcBorders>
              <w:left w:val="single" w:sz="8" w:color="auto"/>
              <w:right w:val="single" w:sz="8" w:color="auto"/>
            </w:tcBorders>
          </w:tcPr>
          <w:p>
            <w:pPr>
              <w:ind w:left="400"/>
              <w:spacing w:after="0"/>
              <w:rPr>
                <w:sz w:val="20"/>
                <w:szCs w:val="20"/>
                <w:color w:val="auto"/>
              </w:rPr>
            </w:pPr>
            <w:r>
              <w:rPr>
                <w:rFonts w:ascii="Arial" w:cs="Arial" w:eastAsia="Arial" w:hAnsi="Arial"/>
                <w:sz w:val="18"/>
                <w:szCs w:val="18"/>
                <w:color w:val="auto"/>
              </w:rPr>
              <w:t>652g, 653g und 653i CO remain reserved);</w:t>
            </w:r>
          </w:p>
        </w:tc>
        <w:tc>
          <w:tcPr>
            <w:tcW w:w="220" w:type="dxa"/>
            <w:vAlign w:val="bottom"/>
            <w:tcBorders>
              <w:right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514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653i CO sont réservés);</w:t>
            </w:r>
          </w:p>
        </w:tc>
      </w:tr>
      <w:tr>
        <w:trPr>
          <w:trHeight w:val="54"/>
        </w:trPr>
        <w:tc>
          <w:tcPr>
            <w:tcW w:w="5540" w:type="dxa"/>
            <w:vAlign w:val="bottom"/>
            <w:tcBorders>
              <w:left w:val="single" w:sz="8" w:color="auto"/>
              <w:bottom w:val="single" w:sz="8" w:color="auto"/>
              <w:right w:val="single" w:sz="8" w:color="auto"/>
            </w:tcBorders>
          </w:tcPr>
          <w:p>
            <w:pPr>
              <w:spacing w:after="0"/>
              <w:rPr>
                <w:sz w:val="4"/>
                <w:szCs w:val="4"/>
                <w:color w:val="auto"/>
              </w:rPr>
            </w:pPr>
          </w:p>
        </w:tc>
        <w:tc>
          <w:tcPr>
            <w:tcW w:w="220" w:type="dxa"/>
            <w:vAlign w:val="bottom"/>
            <w:tcBorders>
              <w:bottom w:val="single" w:sz="8" w:color="auto"/>
              <w:right w:val="single" w:sz="8" w:color="auto"/>
            </w:tcBorders>
          </w:tcPr>
          <w:p>
            <w:pPr>
              <w:spacing w:after="0"/>
              <w:rPr>
                <w:sz w:val="4"/>
                <w:szCs w:val="4"/>
                <w:color w:val="auto"/>
              </w:rPr>
            </w:pPr>
          </w:p>
        </w:tc>
        <w:tc>
          <w:tcPr>
            <w:tcW w:w="5480" w:type="dxa"/>
            <w:vAlign w:val="bottom"/>
            <w:tcBorders>
              <w:bottom w:val="single" w:sz="8" w:color="auto"/>
              <w:right w:val="single" w:sz="8" w:color="auto"/>
            </w:tcBorders>
            <w:gridSpan w:val="2"/>
          </w:tcPr>
          <w:p>
            <w:pPr>
              <w:spacing w:after="0"/>
              <w:rPr>
                <w:sz w:val="4"/>
                <w:szCs w:val="4"/>
                <w:color w:val="auto"/>
              </w:rPr>
            </w:pPr>
          </w:p>
        </w:tc>
      </w:tr>
      <w:tr>
        <w:trPr>
          <w:trHeight w:val="263"/>
        </w:trPr>
        <w:tc>
          <w:tcPr>
            <w:tcW w:w="554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b)  to elect and remove the members of the Board of Directors, the</w:t>
            </w:r>
          </w:p>
        </w:tc>
        <w:tc>
          <w:tcPr>
            <w:tcW w:w="220" w:type="dxa"/>
            <w:vAlign w:val="bottom"/>
            <w:tcBorders>
              <w:right w:val="single" w:sz="8" w:color="auto"/>
            </w:tcBorders>
          </w:tcPr>
          <w:p>
            <w:pPr>
              <w:spacing w:after="0"/>
              <w:rPr>
                <w:sz w:val="22"/>
                <w:szCs w:val="22"/>
                <w:color w:val="auto"/>
              </w:rPr>
            </w:pPr>
          </w:p>
        </w:tc>
        <w:tc>
          <w:tcPr>
            <w:tcW w:w="5480" w:type="dxa"/>
            <w:vAlign w:val="bottom"/>
            <w:tcBorders>
              <w:right w:val="single" w:sz="8" w:color="auto"/>
            </w:tcBorders>
            <w:gridSpan w:val="2"/>
          </w:tcPr>
          <w:p>
            <w:pPr>
              <w:ind w:left="40"/>
              <w:spacing w:after="0"/>
              <w:rPr>
                <w:sz w:val="20"/>
                <w:szCs w:val="20"/>
                <w:color w:val="auto"/>
              </w:rPr>
            </w:pPr>
            <w:r>
              <w:rPr>
                <w:rFonts w:ascii="Arial" w:cs="Arial" w:eastAsia="Arial" w:hAnsi="Arial"/>
                <w:sz w:val="18"/>
                <w:szCs w:val="18"/>
                <w:color w:val="auto"/>
              </w:rPr>
              <w:t>b)   nommer et révoquer les membres du conseil d'administration,</w:t>
            </w:r>
          </w:p>
        </w:tc>
      </w:tr>
      <w:tr>
        <w:trPr>
          <w:trHeight w:val="203"/>
        </w:trPr>
        <w:tc>
          <w:tcPr>
            <w:tcW w:w="5540" w:type="dxa"/>
            <w:vAlign w:val="bottom"/>
            <w:tcBorders>
              <w:left w:val="single" w:sz="8" w:color="auto"/>
              <w:right w:val="single" w:sz="8" w:color="auto"/>
            </w:tcBorders>
          </w:tcPr>
          <w:p>
            <w:pPr>
              <w:ind w:left="400"/>
              <w:spacing w:after="0" w:line="202" w:lineRule="exact"/>
              <w:rPr>
                <w:sz w:val="20"/>
                <w:szCs w:val="20"/>
                <w:color w:val="auto"/>
              </w:rPr>
            </w:pPr>
            <w:r>
              <w:rPr>
                <w:rFonts w:ascii="Arial" w:cs="Arial" w:eastAsia="Arial" w:hAnsi="Arial"/>
                <w:sz w:val="18"/>
                <w:szCs w:val="18"/>
                <w:color w:val="auto"/>
              </w:rPr>
              <w:t>Chairman of the Board of Directors, the members of the</w:t>
            </w:r>
          </w:p>
        </w:tc>
        <w:tc>
          <w:tcPr>
            <w:tcW w:w="220" w:type="dxa"/>
            <w:vAlign w:val="bottom"/>
            <w:tcBorders>
              <w:right w:val="single" w:sz="8" w:color="auto"/>
            </w:tcBorders>
          </w:tcPr>
          <w:p>
            <w:pPr>
              <w:spacing w:after="0"/>
              <w:rPr>
                <w:sz w:val="17"/>
                <w:szCs w:val="17"/>
                <w:color w:val="auto"/>
              </w:rPr>
            </w:pPr>
          </w:p>
        </w:tc>
        <w:tc>
          <w:tcPr>
            <w:tcW w:w="340" w:type="dxa"/>
            <w:vAlign w:val="bottom"/>
          </w:tcPr>
          <w:p>
            <w:pPr>
              <w:spacing w:after="0"/>
              <w:rPr>
                <w:sz w:val="17"/>
                <w:szCs w:val="17"/>
                <w:color w:val="auto"/>
              </w:rPr>
            </w:pPr>
          </w:p>
        </w:tc>
        <w:tc>
          <w:tcPr>
            <w:tcW w:w="5140" w:type="dxa"/>
            <w:vAlign w:val="bottom"/>
            <w:tcBorders>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le président du conseil d'administration, les membres du</w:t>
            </w:r>
          </w:p>
        </w:tc>
      </w:tr>
      <w:tr>
        <w:trPr>
          <w:trHeight w:val="203"/>
        </w:trPr>
        <w:tc>
          <w:tcPr>
            <w:tcW w:w="5540" w:type="dxa"/>
            <w:vAlign w:val="bottom"/>
            <w:tcBorders>
              <w:left w:val="single" w:sz="8" w:color="auto"/>
              <w:right w:val="single" w:sz="8" w:color="auto"/>
            </w:tcBorders>
          </w:tcPr>
          <w:p>
            <w:pPr>
              <w:ind w:left="400"/>
              <w:spacing w:after="0" w:line="202" w:lineRule="exact"/>
              <w:rPr>
                <w:sz w:val="20"/>
                <w:szCs w:val="20"/>
                <w:color w:val="auto"/>
              </w:rPr>
            </w:pPr>
            <w:r>
              <w:rPr>
                <w:rFonts w:ascii="Arial" w:cs="Arial" w:eastAsia="Arial" w:hAnsi="Arial"/>
                <w:sz w:val="18"/>
                <w:szCs w:val="18"/>
                <w:color w:val="auto"/>
              </w:rPr>
              <w:t>Compensation Committee, the Auditors and the Independent</w:t>
            </w:r>
          </w:p>
        </w:tc>
        <w:tc>
          <w:tcPr>
            <w:tcW w:w="220" w:type="dxa"/>
            <w:vAlign w:val="bottom"/>
            <w:tcBorders>
              <w:right w:val="single" w:sz="8" w:color="auto"/>
            </w:tcBorders>
          </w:tcPr>
          <w:p>
            <w:pPr>
              <w:spacing w:after="0"/>
              <w:rPr>
                <w:sz w:val="17"/>
                <w:szCs w:val="17"/>
                <w:color w:val="auto"/>
              </w:rPr>
            </w:pPr>
          </w:p>
        </w:tc>
        <w:tc>
          <w:tcPr>
            <w:tcW w:w="340" w:type="dxa"/>
            <w:vAlign w:val="bottom"/>
          </w:tcPr>
          <w:p>
            <w:pPr>
              <w:spacing w:after="0"/>
              <w:rPr>
                <w:sz w:val="17"/>
                <w:szCs w:val="17"/>
                <w:color w:val="auto"/>
              </w:rPr>
            </w:pPr>
          </w:p>
        </w:tc>
        <w:tc>
          <w:tcPr>
            <w:tcW w:w="5140" w:type="dxa"/>
            <w:vAlign w:val="bottom"/>
            <w:tcBorders>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comité de rémunération, l'organe de révision et le mandataire</w:t>
            </w:r>
          </w:p>
        </w:tc>
      </w:tr>
      <w:tr>
        <w:trPr>
          <w:trHeight w:val="217"/>
        </w:trPr>
        <w:tc>
          <w:tcPr>
            <w:tcW w:w="5540" w:type="dxa"/>
            <w:vAlign w:val="bottom"/>
            <w:tcBorders>
              <w:left w:val="single" w:sz="8" w:color="auto"/>
              <w:right w:val="single" w:sz="8" w:color="auto"/>
            </w:tcBorders>
          </w:tcPr>
          <w:p>
            <w:pPr>
              <w:ind w:left="400"/>
              <w:spacing w:after="0"/>
              <w:rPr>
                <w:sz w:val="20"/>
                <w:szCs w:val="20"/>
                <w:color w:val="auto"/>
              </w:rPr>
            </w:pPr>
            <w:r>
              <w:rPr>
                <w:rFonts w:ascii="Arial" w:cs="Arial" w:eastAsia="Arial" w:hAnsi="Arial"/>
                <w:sz w:val="18"/>
                <w:szCs w:val="18"/>
                <w:color w:val="auto"/>
              </w:rPr>
              <w:t>Proxy;</w:t>
            </w:r>
          </w:p>
        </w:tc>
        <w:tc>
          <w:tcPr>
            <w:tcW w:w="220" w:type="dxa"/>
            <w:vAlign w:val="bottom"/>
            <w:tcBorders>
              <w:right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514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indépendant;</w:t>
            </w:r>
          </w:p>
        </w:tc>
      </w:tr>
      <w:tr>
        <w:trPr>
          <w:trHeight w:val="54"/>
        </w:trPr>
        <w:tc>
          <w:tcPr>
            <w:tcW w:w="5540" w:type="dxa"/>
            <w:vAlign w:val="bottom"/>
            <w:tcBorders>
              <w:left w:val="single" w:sz="8" w:color="auto"/>
              <w:bottom w:val="single" w:sz="8" w:color="auto"/>
              <w:right w:val="single" w:sz="8" w:color="auto"/>
            </w:tcBorders>
          </w:tcPr>
          <w:p>
            <w:pPr>
              <w:spacing w:after="0"/>
              <w:rPr>
                <w:sz w:val="4"/>
                <w:szCs w:val="4"/>
                <w:color w:val="auto"/>
              </w:rPr>
            </w:pPr>
          </w:p>
        </w:tc>
        <w:tc>
          <w:tcPr>
            <w:tcW w:w="220" w:type="dxa"/>
            <w:vAlign w:val="bottom"/>
            <w:tcBorders>
              <w:bottom w:val="single" w:sz="8" w:color="auto"/>
              <w:right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5140" w:type="dxa"/>
            <w:vAlign w:val="bottom"/>
            <w:tcBorders>
              <w:bottom w:val="single" w:sz="8" w:color="auto"/>
              <w:right w:val="single" w:sz="8" w:color="auto"/>
            </w:tcBorders>
          </w:tcPr>
          <w:p>
            <w:pPr>
              <w:spacing w:after="0"/>
              <w:rPr>
                <w:sz w:val="4"/>
                <w:szCs w:val="4"/>
                <w:color w:val="auto"/>
              </w:rPr>
            </w:pPr>
          </w:p>
        </w:tc>
      </w:tr>
      <w:tr>
        <w:trPr>
          <w:trHeight w:val="263"/>
        </w:trPr>
        <w:tc>
          <w:tcPr>
            <w:tcW w:w="554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c)   to approve the management report and the annual accounts</w:t>
            </w:r>
          </w:p>
        </w:tc>
        <w:tc>
          <w:tcPr>
            <w:tcW w:w="220" w:type="dxa"/>
            <w:vAlign w:val="bottom"/>
            <w:tcBorders>
              <w:right w:val="single" w:sz="8" w:color="auto"/>
            </w:tcBorders>
          </w:tcPr>
          <w:p>
            <w:pPr>
              <w:spacing w:after="0"/>
              <w:rPr>
                <w:sz w:val="22"/>
                <w:szCs w:val="22"/>
                <w:color w:val="auto"/>
              </w:rPr>
            </w:pPr>
          </w:p>
        </w:tc>
        <w:tc>
          <w:tcPr>
            <w:tcW w:w="340" w:type="dxa"/>
            <w:vAlign w:val="bottom"/>
          </w:tcPr>
          <w:p>
            <w:pPr>
              <w:ind w:left="60"/>
              <w:spacing w:after="0"/>
              <w:rPr>
                <w:sz w:val="20"/>
                <w:szCs w:val="20"/>
                <w:color w:val="auto"/>
              </w:rPr>
            </w:pPr>
            <w:r>
              <w:rPr>
                <w:rFonts w:ascii="Arial" w:cs="Arial" w:eastAsia="Arial" w:hAnsi="Arial"/>
                <w:sz w:val="18"/>
                <w:szCs w:val="18"/>
                <w:color w:val="auto"/>
              </w:rPr>
              <w:t>c)</w:t>
            </w:r>
          </w:p>
        </w:tc>
        <w:tc>
          <w:tcPr>
            <w:tcW w:w="514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approuver le rapport de gestion et les comptes annuels et</w:t>
            </w:r>
          </w:p>
        </w:tc>
      </w:tr>
      <w:tr>
        <w:trPr>
          <w:trHeight w:val="203"/>
        </w:trPr>
        <w:tc>
          <w:tcPr>
            <w:tcW w:w="5540" w:type="dxa"/>
            <w:vAlign w:val="bottom"/>
            <w:tcBorders>
              <w:left w:val="single" w:sz="8" w:color="auto"/>
              <w:right w:val="single" w:sz="8" w:color="auto"/>
            </w:tcBorders>
          </w:tcPr>
          <w:p>
            <w:pPr>
              <w:ind w:left="400"/>
              <w:spacing w:after="0" w:line="202" w:lineRule="exact"/>
              <w:rPr>
                <w:sz w:val="20"/>
                <w:szCs w:val="20"/>
                <w:color w:val="auto"/>
              </w:rPr>
            </w:pPr>
            <w:r>
              <w:rPr>
                <w:rFonts w:ascii="Arial" w:cs="Arial" w:eastAsia="Arial" w:hAnsi="Arial"/>
                <w:sz w:val="18"/>
                <w:szCs w:val="18"/>
                <w:color w:val="auto"/>
              </w:rPr>
              <w:t>and to determine the allocation of profits, in particular with</w:t>
            </w:r>
          </w:p>
        </w:tc>
        <w:tc>
          <w:tcPr>
            <w:tcW w:w="220" w:type="dxa"/>
            <w:vAlign w:val="bottom"/>
            <w:tcBorders>
              <w:right w:val="single" w:sz="8" w:color="auto"/>
            </w:tcBorders>
          </w:tcPr>
          <w:p>
            <w:pPr>
              <w:spacing w:after="0"/>
              <w:rPr>
                <w:sz w:val="17"/>
                <w:szCs w:val="17"/>
                <w:color w:val="auto"/>
              </w:rPr>
            </w:pPr>
          </w:p>
        </w:tc>
        <w:tc>
          <w:tcPr>
            <w:tcW w:w="340" w:type="dxa"/>
            <w:vAlign w:val="bottom"/>
          </w:tcPr>
          <w:p>
            <w:pPr>
              <w:spacing w:after="0"/>
              <w:rPr>
                <w:sz w:val="17"/>
                <w:szCs w:val="17"/>
                <w:color w:val="auto"/>
              </w:rPr>
            </w:pPr>
          </w:p>
        </w:tc>
        <w:tc>
          <w:tcPr>
            <w:tcW w:w="5140" w:type="dxa"/>
            <w:vAlign w:val="bottom"/>
            <w:tcBorders>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déterminer la répartition des bénéfices, en particulier en ce</w:t>
            </w:r>
          </w:p>
        </w:tc>
      </w:tr>
      <w:tr>
        <w:trPr>
          <w:trHeight w:val="217"/>
        </w:trPr>
        <w:tc>
          <w:tcPr>
            <w:tcW w:w="5540" w:type="dxa"/>
            <w:vAlign w:val="bottom"/>
            <w:tcBorders>
              <w:left w:val="single" w:sz="8" w:color="auto"/>
              <w:right w:val="single" w:sz="8" w:color="auto"/>
            </w:tcBorders>
          </w:tcPr>
          <w:p>
            <w:pPr>
              <w:ind w:left="400"/>
              <w:spacing w:after="0"/>
              <w:rPr>
                <w:sz w:val="20"/>
                <w:szCs w:val="20"/>
                <w:color w:val="auto"/>
              </w:rPr>
            </w:pPr>
            <w:r>
              <w:rPr>
                <w:rFonts w:ascii="Arial" w:cs="Arial" w:eastAsia="Arial" w:hAnsi="Arial"/>
                <w:sz w:val="18"/>
                <w:szCs w:val="18"/>
                <w:color w:val="auto"/>
              </w:rPr>
              <w:t>regard to dividends and bonus payments;</w:t>
            </w:r>
          </w:p>
        </w:tc>
        <w:tc>
          <w:tcPr>
            <w:tcW w:w="220" w:type="dxa"/>
            <w:vAlign w:val="bottom"/>
            <w:tcBorders>
              <w:right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514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qui concerne les dividendes et les bonus;</w:t>
            </w:r>
          </w:p>
        </w:tc>
      </w:tr>
      <w:tr>
        <w:trPr>
          <w:trHeight w:val="54"/>
        </w:trPr>
        <w:tc>
          <w:tcPr>
            <w:tcW w:w="5540" w:type="dxa"/>
            <w:vAlign w:val="bottom"/>
            <w:tcBorders>
              <w:left w:val="single" w:sz="8" w:color="auto"/>
              <w:bottom w:val="single" w:sz="8" w:color="auto"/>
              <w:right w:val="single" w:sz="8" w:color="auto"/>
            </w:tcBorders>
          </w:tcPr>
          <w:p>
            <w:pPr>
              <w:spacing w:after="0"/>
              <w:rPr>
                <w:sz w:val="4"/>
                <w:szCs w:val="4"/>
                <w:color w:val="auto"/>
              </w:rPr>
            </w:pPr>
          </w:p>
        </w:tc>
        <w:tc>
          <w:tcPr>
            <w:tcW w:w="220" w:type="dxa"/>
            <w:vAlign w:val="bottom"/>
            <w:tcBorders>
              <w:bottom w:val="single" w:sz="8" w:color="auto"/>
              <w:right w:val="single" w:sz="8" w:color="auto"/>
            </w:tcBorders>
          </w:tcPr>
          <w:p>
            <w:pPr>
              <w:spacing w:after="0"/>
              <w:rPr>
                <w:sz w:val="4"/>
                <w:szCs w:val="4"/>
                <w:color w:val="auto"/>
              </w:rPr>
            </w:pPr>
          </w:p>
        </w:tc>
        <w:tc>
          <w:tcPr>
            <w:tcW w:w="5480" w:type="dxa"/>
            <w:vAlign w:val="bottom"/>
            <w:tcBorders>
              <w:bottom w:val="single" w:sz="8" w:color="auto"/>
              <w:right w:val="single" w:sz="8" w:color="auto"/>
            </w:tcBorders>
            <w:gridSpan w:val="2"/>
          </w:tcPr>
          <w:p>
            <w:pPr>
              <w:spacing w:after="0"/>
              <w:rPr>
                <w:sz w:val="4"/>
                <w:szCs w:val="4"/>
                <w:color w:val="auto"/>
              </w:rPr>
            </w:pPr>
          </w:p>
        </w:tc>
      </w:tr>
      <w:tr>
        <w:trPr>
          <w:trHeight w:val="263"/>
        </w:trPr>
        <w:tc>
          <w:tcPr>
            <w:tcW w:w="554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d)   to discharge the members of the Board of Directors and of the</w:t>
            </w:r>
          </w:p>
        </w:tc>
        <w:tc>
          <w:tcPr>
            <w:tcW w:w="220" w:type="dxa"/>
            <w:vAlign w:val="bottom"/>
            <w:tcBorders>
              <w:right w:val="single" w:sz="8" w:color="auto"/>
            </w:tcBorders>
          </w:tcPr>
          <w:p>
            <w:pPr>
              <w:spacing w:after="0"/>
              <w:rPr>
                <w:sz w:val="22"/>
                <w:szCs w:val="22"/>
                <w:color w:val="auto"/>
              </w:rPr>
            </w:pPr>
          </w:p>
        </w:tc>
        <w:tc>
          <w:tcPr>
            <w:tcW w:w="5480" w:type="dxa"/>
            <w:vAlign w:val="bottom"/>
            <w:tcBorders>
              <w:right w:val="single" w:sz="8" w:color="auto"/>
            </w:tcBorders>
            <w:gridSpan w:val="2"/>
          </w:tcPr>
          <w:p>
            <w:pPr>
              <w:ind w:left="40"/>
              <w:spacing w:after="0"/>
              <w:rPr>
                <w:sz w:val="20"/>
                <w:szCs w:val="20"/>
                <w:color w:val="auto"/>
              </w:rPr>
            </w:pPr>
            <w:r>
              <w:rPr>
                <w:rFonts w:ascii="Arial" w:cs="Arial" w:eastAsia="Arial" w:hAnsi="Arial"/>
                <w:sz w:val="18"/>
                <w:szCs w:val="18"/>
                <w:color w:val="auto"/>
              </w:rPr>
              <w:t>d)   donner décharge aux membres du conseil d'administration et</w:t>
            </w:r>
          </w:p>
        </w:tc>
      </w:tr>
      <w:tr>
        <w:trPr>
          <w:trHeight w:val="217"/>
        </w:trPr>
        <w:tc>
          <w:tcPr>
            <w:tcW w:w="5540" w:type="dxa"/>
            <w:vAlign w:val="bottom"/>
            <w:tcBorders>
              <w:left w:val="single" w:sz="8" w:color="auto"/>
              <w:right w:val="single" w:sz="8" w:color="auto"/>
            </w:tcBorders>
          </w:tcPr>
          <w:p>
            <w:pPr>
              <w:ind w:left="400"/>
              <w:spacing w:after="0"/>
              <w:rPr>
                <w:sz w:val="20"/>
                <w:szCs w:val="20"/>
                <w:color w:val="auto"/>
              </w:rPr>
            </w:pPr>
            <w:r>
              <w:rPr>
                <w:rFonts w:ascii="Arial" w:cs="Arial" w:eastAsia="Arial" w:hAnsi="Arial"/>
                <w:sz w:val="18"/>
                <w:szCs w:val="18"/>
                <w:color w:val="auto"/>
              </w:rPr>
              <w:t>Executive Committee;</w:t>
            </w:r>
          </w:p>
        </w:tc>
        <w:tc>
          <w:tcPr>
            <w:tcW w:w="220" w:type="dxa"/>
            <w:vAlign w:val="bottom"/>
            <w:tcBorders>
              <w:right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514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au comité exécutif;</w:t>
            </w:r>
          </w:p>
        </w:tc>
      </w:tr>
      <w:tr>
        <w:trPr>
          <w:trHeight w:val="54"/>
        </w:trPr>
        <w:tc>
          <w:tcPr>
            <w:tcW w:w="5540" w:type="dxa"/>
            <w:vAlign w:val="bottom"/>
            <w:tcBorders>
              <w:left w:val="single" w:sz="8" w:color="auto"/>
              <w:bottom w:val="single" w:sz="8" w:color="auto"/>
              <w:right w:val="single" w:sz="8" w:color="auto"/>
            </w:tcBorders>
          </w:tcPr>
          <w:p>
            <w:pPr>
              <w:spacing w:after="0"/>
              <w:rPr>
                <w:sz w:val="4"/>
                <w:szCs w:val="4"/>
                <w:color w:val="auto"/>
              </w:rPr>
            </w:pPr>
          </w:p>
        </w:tc>
        <w:tc>
          <w:tcPr>
            <w:tcW w:w="220" w:type="dxa"/>
            <w:vAlign w:val="bottom"/>
            <w:tcBorders>
              <w:bottom w:val="single" w:sz="8" w:color="auto"/>
              <w:right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5140" w:type="dxa"/>
            <w:vAlign w:val="bottom"/>
            <w:tcBorders>
              <w:bottom w:val="single" w:sz="8" w:color="auto"/>
              <w:right w:val="single" w:sz="8" w:color="auto"/>
            </w:tcBorders>
          </w:tcPr>
          <w:p>
            <w:pPr>
              <w:spacing w:after="0"/>
              <w:rPr>
                <w:sz w:val="4"/>
                <w:szCs w:val="4"/>
                <w:color w:val="auto"/>
              </w:rPr>
            </w:pPr>
          </w:p>
        </w:tc>
      </w:tr>
      <w:tr>
        <w:trPr>
          <w:trHeight w:val="263"/>
        </w:trPr>
        <w:tc>
          <w:tcPr>
            <w:tcW w:w="554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e)   to approve the aggregate amounts of  compensation of the</w:t>
            </w:r>
          </w:p>
        </w:tc>
        <w:tc>
          <w:tcPr>
            <w:tcW w:w="220" w:type="dxa"/>
            <w:vAlign w:val="bottom"/>
            <w:tcBorders>
              <w:right w:val="single" w:sz="8" w:color="auto"/>
            </w:tcBorders>
          </w:tcPr>
          <w:p>
            <w:pPr>
              <w:spacing w:after="0"/>
              <w:rPr>
                <w:sz w:val="22"/>
                <w:szCs w:val="22"/>
                <w:color w:val="auto"/>
              </w:rPr>
            </w:pPr>
          </w:p>
        </w:tc>
        <w:tc>
          <w:tcPr>
            <w:tcW w:w="340" w:type="dxa"/>
            <w:vAlign w:val="bottom"/>
          </w:tcPr>
          <w:p>
            <w:pPr>
              <w:ind w:left="80"/>
              <w:spacing w:after="0"/>
              <w:rPr>
                <w:sz w:val="20"/>
                <w:szCs w:val="20"/>
                <w:color w:val="auto"/>
              </w:rPr>
            </w:pPr>
            <w:r>
              <w:rPr>
                <w:rFonts w:ascii="Arial" w:cs="Arial" w:eastAsia="Arial" w:hAnsi="Arial"/>
                <w:sz w:val="18"/>
                <w:szCs w:val="18"/>
                <w:color w:val="auto"/>
              </w:rPr>
              <w:t>e)</w:t>
            </w:r>
          </w:p>
        </w:tc>
        <w:tc>
          <w:tcPr>
            <w:tcW w:w="514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approuver les montants globaux des rémunérations du</w:t>
            </w:r>
          </w:p>
        </w:tc>
      </w:tr>
      <w:tr>
        <w:trPr>
          <w:trHeight w:val="203"/>
        </w:trPr>
        <w:tc>
          <w:tcPr>
            <w:tcW w:w="5540" w:type="dxa"/>
            <w:vAlign w:val="bottom"/>
            <w:tcBorders>
              <w:left w:val="single" w:sz="8" w:color="auto"/>
              <w:right w:val="single" w:sz="8" w:color="auto"/>
            </w:tcBorders>
          </w:tcPr>
          <w:p>
            <w:pPr>
              <w:ind w:left="400"/>
              <w:spacing w:after="0" w:line="202" w:lineRule="exact"/>
              <w:rPr>
                <w:sz w:val="20"/>
                <w:szCs w:val="20"/>
                <w:color w:val="auto"/>
              </w:rPr>
            </w:pPr>
            <w:r>
              <w:rPr>
                <w:rFonts w:ascii="Arial" w:cs="Arial" w:eastAsia="Arial" w:hAnsi="Arial"/>
                <w:sz w:val="18"/>
                <w:szCs w:val="18"/>
                <w:color w:val="auto"/>
              </w:rPr>
              <w:t>Board of Directors and the Executive Committee in accordance</w:t>
            </w:r>
          </w:p>
        </w:tc>
        <w:tc>
          <w:tcPr>
            <w:tcW w:w="220" w:type="dxa"/>
            <w:vAlign w:val="bottom"/>
            <w:tcBorders>
              <w:right w:val="single" w:sz="8" w:color="auto"/>
            </w:tcBorders>
          </w:tcPr>
          <w:p>
            <w:pPr>
              <w:spacing w:after="0"/>
              <w:rPr>
                <w:sz w:val="17"/>
                <w:szCs w:val="17"/>
                <w:color w:val="auto"/>
              </w:rPr>
            </w:pPr>
          </w:p>
        </w:tc>
        <w:tc>
          <w:tcPr>
            <w:tcW w:w="340" w:type="dxa"/>
            <w:vAlign w:val="bottom"/>
          </w:tcPr>
          <w:p>
            <w:pPr>
              <w:spacing w:after="0"/>
              <w:rPr>
                <w:sz w:val="17"/>
                <w:szCs w:val="17"/>
                <w:color w:val="auto"/>
              </w:rPr>
            </w:pPr>
          </w:p>
        </w:tc>
        <w:tc>
          <w:tcPr>
            <w:tcW w:w="5140" w:type="dxa"/>
            <w:vAlign w:val="bottom"/>
            <w:tcBorders>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conseil d'administration et du comité exécutif conformément à</w:t>
            </w:r>
          </w:p>
        </w:tc>
      </w:tr>
      <w:tr>
        <w:trPr>
          <w:trHeight w:val="217"/>
        </w:trPr>
        <w:tc>
          <w:tcPr>
            <w:tcW w:w="5540" w:type="dxa"/>
            <w:vAlign w:val="bottom"/>
            <w:tcBorders>
              <w:left w:val="single" w:sz="8" w:color="auto"/>
              <w:right w:val="single" w:sz="8" w:color="auto"/>
            </w:tcBorders>
          </w:tcPr>
          <w:p>
            <w:pPr>
              <w:ind w:left="400"/>
              <w:spacing w:after="0"/>
              <w:rPr>
                <w:sz w:val="20"/>
                <w:szCs w:val="20"/>
                <w:color w:val="auto"/>
              </w:rPr>
            </w:pPr>
            <w:r>
              <w:rPr>
                <w:rFonts w:ascii="Arial" w:cs="Arial" w:eastAsia="Arial" w:hAnsi="Arial"/>
                <w:sz w:val="18"/>
                <w:szCs w:val="18"/>
                <w:color w:val="auto"/>
              </w:rPr>
              <w:t>with Article 18 of the Articles of Association;</w:t>
            </w:r>
          </w:p>
        </w:tc>
        <w:tc>
          <w:tcPr>
            <w:tcW w:w="220" w:type="dxa"/>
            <w:vAlign w:val="bottom"/>
            <w:tcBorders>
              <w:right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514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l'article 18 des statuts;</w:t>
            </w:r>
          </w:p>
        </w:tc>
      </w:tr>
      <w:tr>
        <w:trPr>
          <w:trHeight w:val="54"/>
        </w:trPr>
        <w:tc>
          <w:tcPr>
            <w:tcW w:w="5540" w:type="dxa"/>
            <w:vAlign w:val="bottom"/>
            <w:tcBorders>
              <w:left w:val="single" w:sz="8" w:color="auto"/>
              <w:bottom w:val="single" w:sz="8" w:color="auto"/>
              <w:right w:val="single" w:sz="8" w:color="auto"/>
            </w:tcBorders>
          </w:tcPr>
          <w:p>
            <w:pPr>
              <w:spacing w:after="0"/>
              <w:rPr>
                <w:sz w:val="4"/>
                <w:szCs w:val="4"/>
                <w:color w:val="auto"/>
              </w:rPr>
            </w:pPr>
          </w:p>
        </w:tc>
        <w:tc>
          <w:tcPr>
            <w:tcW w:w="220" w:type="dxa"/>
            <w:vAlign w:val="bottom"/>
            <w:tcBorders>
              <w:bottom w:val="single" w:sz="8" w:color="auto"/>
              <w:right w:val="single" w:sz="8" w:color="auto"/>
            </w:tcBorders>
          </w:tcPr>
          <w:p>
            <w:pPr>
              <w:spacing w:after="0"/>
              <w:rPr>
                <w:sz w:val="4"/>
                <w:szCs w:val="4"/>
                <w:color w:val="auto"/>
              </w:rPr>
            </w:pPr>
          </w:p>
        </w:tc>
        <w:tc>
          <w:tcPr>
            <w:tcW w:w="5480" w:type="dxa"/>
            <w:vAlign w:val="bottom"/>
            <w:tcBorders>
              <w:bottom w:val="single" w:sz="8" w:color="auto"/>
              <w:right w:val="single" w:sz="8" w:color="auto"/>
            </w:tcBorders>
            <w:gridSpan w:val="2"/>
          </w:tcPr>
          <w:p>
            <w:pPr>
              <w:spacing w:after="0"/>
              <w:rPr>
                <w:sz w:val="4"/>
                <w:szCs w:val="4"/>
                <w:color w:val="auto"/>
              </w:rPr>
            </w:pPr>
          </w:p>
        </w:tc>
      </w:tr>
      <w:tr>
        <w:trPr>
          <w:trHeight w:val="263"/>
        </w:trPr>
        <w:tc>
          <w:tcPr>
            <w:tcW w:w="554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f)   to pass resolutions concerning all matters which are reserved</w:t>
            </w:r>
          </w:p>
        </w:tc>
        <w:tc>
          <w:tcPr>
            <w:tcW w:w="220" w:type="dxa"/>
            <w:vAlign w:val="bottom"/>
            <w:tcBorders>
              <w:right w:val="single" w:sz="8" w:color="auto"/>
            </w:tcBorders>
          </w:tcPr>
          <w:p>
            <w:pPr>
              <w:spacing w:after="0"/>
              <w:rPr>
                <w:sz w:val="22"/>
                <w:szCs w:val="22"/>
                <w:color w:val="auto"/>
              </w:rPr>
            </w:pPr>
          </w:p>
        </w:tc>
        <w:tc>
          <w:tcPr>
            <w:tcW w:w="5480" w:type="dxa"/>
            <w:vAlign w:val="bottom"/>
            <w:tcBorders>
              <w:right w:val="single" w:sz="8" w:color="auto"/>
            </w:tcBorders>
            <w:gridSpan w:val="2"/>
          </w:tcPr>
          <w:p>
            <w:pPr>
              <w:ind w:left="40"/>
              <w:spacing w:after="0"/>
              <w:rPr>
                <w:sz w:val="20"/>
                <w:szCs w:val="20"/>
                <w:color w:val="auto"/>
              </w:rPr>
            </w:pPr>
            <w:r>
              <w:rPr>
                <w:rFonts w:ascii="Arial" w:cs="Arial" w:eastAsia="Arial" w:hAnsi="Arial"/>
                <w:sz w:val="18"/>
                <w:szCs w:val="18"/>
                <w:color w:val="auto"/>
              </w:rPr>
              <w:t>f)   prendre les décisions sur toutes les affaires qui sont attribuées</w:t>
            </w:r>
          </w:p>
        </w:tc>
      </w:tr>
      <w:tr>
        <w:trPr>
          <w:trHeight w:val="203"/>
        </w:trPr>
        <w:tc>
          <w:tcPr>
            <w:tcW w:w="5540" w:type="dxa"/>
            <w:vAlign w:val="bottom"/>
            <w:tcBorders>
              <w:left w:val="single" w:sz="8" w:color="auto"/>
              <w:right w:val="single" w:sz="8" w:color="auto"/>
            </w:tcBorders>
          </w:tcPr>
          <w:p>
            <w:pPr>
              <w:ind w:left="400"/>
              <w:spacing w:after="0" w:line="202" w:lineRule="exact"/>
              <w:rPr>
                <w:sz w:val="20"/>
                <w:szCs w:val="20"/>
                <w:color w:val="auto"/>
              </w:rPr>
            </w:pPr>
            <w:r>
              <w:rPr>
                <w:rFonts w:ascii="Arial" w:cs="Arial" w:eastAsia="Arial" w:hAnsi="Arial"/>
                <w:sz w:val="18"/>
                <w:szCs w:val="18"/>
                <w:color w:val="auto"/>
              </w:rPr>
              <w:t>to the authority of the General Meeting by law or by the Articles</w:t>
            </w:r>
          </w:p>
        </w:tc>
        <w:tc>
          <w:tcPr>
            <w:tcW w:w="220" w:type="dxa"/>
            <w:vAlign w:val="bottom"/>
            <w:tcBorders>
              <w:right w:val="single" w:sz="8" w:color="auto"/>
            </w:tcBorders>
          </w:tcPr>
          <w:p>
            <w:pPr>
              <w:spacing w:after="0"/>
              <w:rPr>
                <w:sz w:val="17"/>
                <w:szCs w:val="17"/>
                <w:color w:val="auto"/>
              </w:rPr>
            </w:pPr>
          </w:p>
        </w:tc>
        <w:tc>
          <w:tcPr>
            <w:tcW w:w="340" w:type="dxa"/>
            <w:vAlign w:val="bottom"/>
          </w:tcPr>
          <w:p>
            <w:pPr>
              <w:spacing w:after="0"/>
              <w:rPr>
                <w:sz w:val="17"/>
                <w:szCs w:val="17"/>
                <w:color w:val="auto"/>
              </w:rPr>
            </w:pPr>
          </w:p>
        </w:tc>
        <w:tc>
          <w:tcPr>
            <w:tcW w:w="5140" w:type="dxa"/>
            <w:vAlign w:val="bottom"/>
            <w:tcBorders>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à l'assemblée générale par la loi ou les statuts.</w:t>
            </w:r>
          </w:p>
        </w:tc>
      </w:tr>
      <w:tr>
        <w:trPr>
          <w:trHeight w:val="217"/>
        </w:trPr>
        <w:tc>
          <w:tcPr>
            <w:tcW w:w="5540" w:type="dxa"/>
            <w:vAlign w:val="bottom"/>
            <w:tcBorders>
              <w:left w:val="single" w:sz="8" w:color="auto"/>
              <w:right w:val="single" w:sz="8" w:color="auto"/>
            </w:tcBorders>
          </w:tcPr>
          <w:p>
            <w:pPr>
              <w:ind w:left="400"/>
              <w:spacing w:after="0"/>
              <w:rPr>
                <w:sz w:val="20"/>
                <w:szCs w:val="20"/>
                <w:color w:val="auto"/>
              </w:rPr>
            </w:pPr>
            <w:r>
              <w:rPr>
                <w:rFonts w:ascii="Arial" w:cs="Arial" w:eastAsia="Arial" w:hAnsi="Arial"/>
                <w:sz w:val="18"/>
                <w:szCs w:val="18"/>
                <w:color w:val="auto"/>
              </w:rPr>
              <w:t>of Association.</w:t>
            </w:r>
          </w:p>
        </w:tc>
        <w:tc>
          <w:tcPr>
            <w:tcW w:w="220" w:type="dxa"/>
            <w:vAlign w:val="bottom"/>
            <w:tcBorders>
              <w:right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5140" w:type="dxa"/>
            <w:vAlign w:val="bottom"/>
            <w:tcBorders>
              <w:right w:val="single" w:sz="8" w:color="auto"/>
            </w:tcBorders>
          </w:tcPr>
          <w:p>
            <w:pPr>
              <w:spacing w:after="0"/>
              <w:rPr>
                <w:sz w:val="18"/>
                <w:szCs w:val="18"/>
                <w:color w:val="auto"/>
              </w:rPr>
            </w:pPr>
          </w:p>
        </w:tc>
      </w:tr>
      <w:tr>
        <w:trPr>
          <w:trHeight w:val="54"/>
        </w:trPr>
        <w:tc>
          <w:tcPr>
            <w:tcW w:w="5540" w:type="dxa"/>
            <w:vAlign w:val="bottom"/>
            <w:tcBorders>
              <w:left w:val="single" w:sz="8" w:color="auto"/>
              <w:bottom w:val="single" w:sz="8" w:color="auto"/>
              <w:right w:val="single" w:sz="8" w:color="auto"/>
            </w:tcBorders>
          </w:tcPr>
          <w:p>
            <w:pPr>
              <w:spacing w:after="0"/>
              <w:rPr>
                <w:sz w:val="4"/>
                <w:szCs w:val="4"/>
                <w:color w:val="auto"/>
              </w:rPr>
            </w:pPr>
          </w:p>
        </w:tc>
        <w:tc>
          <w:tcPr>
            <w:tcW w:w="220" w:type="dxa"/>
            <w:vAlign w:val="bottom"/>
            <w:tcBorders>
              <w:bottom w:val="single" w:sz="8" w:color="auto"/>
              <w:right w:val="single" w:sz="8" w:color="auto"/>
            </w:tcBorders>
          </w:tcPr>
          <w:p>
            <w:pPr>
              <w:spacing w:after="0"/>
              <w:rPr>
                <w:sz w:val="4"/>
                <w:szCs w:val="4"/>
                <w:color w:val="auto"/>
              </w:rPr>
            </w:pPr>
          </w:p>
        </w:tc>
        <w:tc>
          <w:tcPr>
            <w:tcW w:w="5480" w:type="dxa"/>
            <w:vAlign w:val="bottom"/>
            <w:tcBorders>
              <w:bottom w:val="single" w:sz="8" w:color="auto"/>
              <w:right w:val="single" w:sz="8" w:color="auto"/>
            </w:tcBorders>
            <w:gridSpan w:val="2"/>
          </w:tcPr>
          <w:p>
            <w:pPr>
              <w:spacing w:after="0"/>
              <w:rPr>
                <w:sz w:val="4"/>
                <w:szCs w:val="4"/>
                <w:color w:val="auto"/>
              </w:rPr>
            </w:pPr>
          </w:p>
        </w:tc>
      </w:tr>
      <w:tr>
        <w:trPr>
          <w:trHeight w:val="277"/>
        </w:trPr>
        <w:tc>
          <w:tcPr>
            <w:tcW w:w="554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b w:val="1"/>
                <w:bCs w:val="1"/>
                <w:color w:val="auto"/>
              </w:rPr>
              <w:t>Art. 9 Ordinary General Meeting</w:t>
            </w:r>
          </w:p>
        </w:tc>
        <w:tc>
          <w:tcPr>
            <w:tcW w:w="220" w:type="dxa"/>
            <w:vAlign w:val="bottom"/>
            <w:tcBorders>
              <w:right w:val="single" w:sz="8" w:color="auto"/>
            </w:tcBorders>
          </w:tcPr>
          <w:p>
            <w:pPr>
              <w:spacing w:after="0"/>
              <w:rPr>
                <w:sz w:val="24"/>
                <w:szCs w:val="24"/>
                <w:color w:val="auto"/>
              </w:rPr>
            </w:pPr>
          </w:p>
        </w:tc>
        <w:tc>
          <w:tcPr>
            <w:tcW w:w="5480" w:type="dxa"/>
            <w:vAlign w:val="bottom"/>
            <w:tcBorders>
              <w:right w:val="single" w:sz="8" w:color="auto"/>
            </w:tcBorders>
            <w:gridSpan w:val="2"/>
          </w:tcPr>
          <w:p>
            <w:pPr>
              <w:ind w:left="60"/>
              <w:spacing w:after="0"/>
              <w:rPr>
                <w:sz w:val="20"/>
                <w:szCs w:val="20"/>
                <w:color w:val="auto"/>
              </w:rPr>
            </w:pPr>
            <w:r>
              <w:rPr>
                <w:rFonts w:ascii="Arial" w:cs="Arial" w:eastAsia="Arial" w:hAnsi="Arial"/>
                <w:sz w:val="18"/>
                <w:szCs w:val="18"/>
                <w:b w:val="1"/>
                <w:bCs w:val="1"/>
                <w:color w:val="auto"/>
              </w:rPr>
              <w:t>Art. 9 Assemblée générale ordinaire</w:t>
            </w:r>
          </w:p>
        </w:tc>
      </w:tr>
      <w:tr>
        <w:trPr>
          <w:trHeight w:val="391"/>
        </w:trPr>
        <w:tc>
          <w:tcPr>
            <w:tcW w:w="554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The Ordinary General Meeting shall be held annually within six</w:t>
            </w:r>
          </w:p>
        </w:tc>
        <w:tc>
          <w:tcPr>
            <w:tcW w:w="220" w:type="dxa"/>
            <w:vAlign w:val="bottom"/>
            <w:tcBorders>
              <w:right w:val="single" w:sz="8" w:color="auto"/>
            </w:tcBorders>
          </w:tcPr>
          <w:p>
            <w:pPr>
              <w:spacing w:after="0"/>
              <w:rPr>
                <w:sz w:val="24"/>
                <w:szCs w:val="24"/>
                <w:color w:val="auto"/>
              </w:rPr>
            </w:pPr>
          </w:p>
        </w:tc>
        <w:tc>
          <w:tcPr>
            <w:tcW w:w="5480" w:type="dxa"/>
            <w:vAlign w:val="bottom"/>
            <w:tcBorders>
              <w:right w:val="single" w:sz="8" w:color="auto"/>
            </w:tcBorders>
            <w:gridSpan w:val="2"/>
          </w:tcPr>
          <w:p>
            <w:pPr>
              <w:ind w:left="60"/>
              <w:spacing w:after="0"/>
              <w:rPr>
                <w:sz w:val="20"/>
                <w:szCs w:val="20"/>
                <w:color w:val="auto"/>
              </w:rPr>
            </w:pPr>
            <w:r>
              <w:rPr>
                <w:rFonts w:ascii="Arial" w:cs="Arial" w:eastAsia="Arial" w:hAnsi="Arial"/>
                <w:sz w:val="18"/>
                <w:szCs w:val="18"/>
                <w:color w:val="auto"/>
              </w:rPr>
              <w:t>L'assemblée générale ordinaire aura lieu chaque année dans les</w:t>
            </w:r>
          </w:p>
        </w:tc>
      </w:tr>
      <w:tr>
        <w:trPr>
          <w:trHeight w:val="203"/>
        </w:trPr>
        <w:tc>
          <w:tcPr>
            <w:tcW w:w="5540" w:type="dxa"/>
            <w:vAlign w:val="bottom"/>
            <w:tcBorders>
              <w:left w:val="single" w:sz="8" w:color="auto"/>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months after the close of the business year at such time and at</w:t>
            </w:r>
          </w:p>
        </w:tc>
        <w:tc>
          <w:tcPr>
            <w:tcW w:w="22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gridSpan w:val="2"/>
          </w:tcPr>
          <w:p>
            <w:pPr>
              <w:ind w:left="60"/>
              <w:spacing w:after="0" w:line="202" w:lineRule="exact"/>
              <w:rPr>
                <w:sz w:val="20"/>
                <w:szCs w:val="20"/>
                <w:color w:val="auto"/>
              </w:rPr>
            </w:pPr>
            <w:r>
              <w:rPr>
                <w:rFonts w:ascii="Arial" w:cs="Arial" w:eastAsia="Arial" w:hAnsi="Arial"/>
                <w:sz w:val="18"/>
                <w:szCs w:val="18"/>
                <w:color w:val="auto"/>
              </w:rPr>
              <w:t>six mois qui suivent la clôture de l'exercice à la date et à l'endroit,</w:t>
            </w:r>
          </w:p>
        </w:tc>
      </w:tr>
      <w:tr>
        <w:trPr>
          <w:trHeight w:val="203"/>
        </w:trPr>
        <w:tc>
          <w:tcPr>
            <w:tcW w:w="5540" w:type="dxa"/>
            <w:vAlign w:val="bottom"/>
            <w:tcBorders>
              <w:left w:val="single" w:sz="8" w:color="auto"/>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such location, which may be within or outside Switzerland, as</w:t>
            </w:r>
          </w:p>
        </w:tc>
        <w:tc>
          <w:tcPr>
            <w:tcW w:w="22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gridSpan w:val="2"/>
          </w:tcPr>
          <w:p>
            <w:pPr>
              <w:ind w:left="60"/>
              <w:spacing w:after="0" w:line="202" w:lineRule="exact"/>
              <w:rPr>
                <w:sz w:val="20"/>
                <w:szCs w:val="20"/>
                <w:color w:val="auto"/>
              </w:rPr>
            </w:pPr>
            <w:r>
              <w:rPr>
                <w:rFonts w:ascii="Arial" w:cs="Arial" w:eastAsia="Arial" w:hAnsi="Arial"/>
                <w:sz w:val="18"/>
                <w:szCs w:val="18"/>
                <w:color w:val="auto"/>
              </w:rPr>
              <w:t>qui peut être en ou hors de la Suisse, tel que déterminé par le</w:t>
            </w:r>
          </w:p>
        </w:tc>
      </w:tr>
      <w:tr>
        <w:trPr>
          <w:trHeight w:val="217"/>
        </w:trPr>
        <w:tc>
          <w:tcPr>
            <w:tcW w:w="554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determined by the Board of Directors.</w:t>
            </w:r>
          </w:p>
        </w:tc>
        <w:tc>
          <w:tcPr>
            <w:tcW w:w="220" w:type="dxa"/>
            <w:vAlign w:val="bottom"/>
            <w:tcBorders>
              <w:right w:val="single" w:sz="8" w:color="auto"/>
            </w:tcBorders>
          </w:tcPr>
          <w:p>
            <w:pPr>
              <w:spacing w:after="0"/>
              <w:rPr>
                <w:sz w:val="18"/>
                <w:szCs w:val="18"/>
                <w:color w:val="auto"/>
              </w:rPr>
            </w:pPr>
          </w:p>
        </w:tc>
        <w:tc>
          <w:tcPr>
            <w:tcW w:w="5480" w:type="dxa"/>
            <w:vAlign w:val="bottom"/>
            <w:tcBorders>
              <w:right w:val="single" w:sz="8" w:color="auto"/>
            </w:tcBorders>
            <w:gridSpan w:val="2"/>
          </w:tcPr>
          <w:p>
            <w:pPr>
              <w:ind w:left="60"/>
              <w:spacing w:after="0"/>
              <w:rPr>
                <w:sz w:val="20"/>
                <w:szCs w:val="20"/>
                <w:color w:val="auto"/>
              </w:rPr>
            </w:pPr>
            <w:r>
              <w:rPr>
                <w:rFonts w:ascii="Arial" w:cs="Arial" w:eastAsia="Arial" w:hAnsi="Arial"/>
                <w:sz w:val="18"/>
                <w:szCs w:val="18"/>
                <w:color w:val="auto"/>
              </w:rPr>
              <w:t>conseil d'administration.</w:t>
            </w:r>
          </w:p>
        </w:tc>
      </w:tr>
      <w:tr>
        <w:trPr>
          <w:trHeight w:val="54"/>
        </w:trPr>
        <w:tc>
          <w:tcPr>
            <w:tcW w:w="5540" w:type="dxa"/>
            <w:vAlign w:val="bottom"/>
            <w:tcBorders>
              <w:left w:val="single" w:sz="8" w:color="auto"/>
              <w:bottom w:val="single" w:sz="8" w:color="auto"/>
              <w:right w:val="single" w:sz="8" w:color="auto"/>
            </w:tcBorders>
          </w:tcPr>
          <w:p>
            <w:pPr>
              <w:spacing w:after="0"/>
              <w:rPr>
                <w:sz w:val="4"/>
                <w:szCs w:val="4"/>
                <w:color w:val="auto"/>
              </w:rPr>
            </w:pPr>
          </w:p>
        </w:tc>
        <w:tc>
          <w:tcPr>
            <w:tcW w:w="220" w:type="dxa"/>
            <w:vAlign w:val="bottom"/>
            <w:tcBorders>
              <w:bottom w:val="single" w:sz="8" w:color="auto"/>
              <w:right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5140" w:type="dxa"/>
            <w:vAlign w:val="bottom"/>
            <w:tcBorders>
              <w:bottom w:val="single" w:sz="8" w:color="auto"/>
              <w:right w:val="single" w:sz="8" w:color="auto"/>
            </w:tcBorders>
          </w:tcPr>
          <w:p>
            <w:pPr>
              <w:spacing w:after="0"/>
              <w:rPr>
                <w:sz w:val="4"/>
                <w:szCs w:val="4"/>
                <w:color w:val="auto"/>
              </w:rPr>
            </w:pPr>
          </w:p>
        </w:tc>
      </w:tr>
      <w:tr>
        <w:trPr>
          <w:trHeight w:val="453"/>
        </w:trPr>
        <w:tc>
          <w:tcPr>
            <w:tcW w:w="55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51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249" w:right="339" w:bottom="1440" w:gutter="0" w:footer="0" w:header="0"/>
        </w:sectPr>
      </w:pPr>
    </w:p>
    <w:bookmarkStart w:id="48" w:name="page49"/>
    <w:bookmarkEnd w:id="48"/>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187"/>
        </w:trPr>
        <w:tc>
          <w:tcPr>
            <w:tcW w:w="554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5480" w:type="dxa"/>
            <w:vAlign w:val="bottom"/>
            <w:tcBorders>
              <w:bottom w:val="single" w:sz="8" w:color="auto"/>
            </w:tcBorders>
          </w:tcPr>
          <w:p>
            <w:pPr>
              <w:ind w:left="5260"/>
              <w:spacing w:after="0"/>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277"/>
        </w:trPr>
        <w:tc>
          <w:tcPr>
            <w:tcW w:w="554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b w:val="1"/>
                <w:bCs w:val="1"/>
                <w:color w:val="auto"/>
              </w:rPr>
              <w:t>Art. 10 Extraordinary General Meeting</w:t>
            </w:r>
          </w:p>
        </w:tc>
        <w:tc>
          <w:tcPr>
            <w:tcW w:w="220" w:type="dxa"/>
            <w:vAlign w:val="bottom"/>
            <w:tcBorders>
              <w:right w:val="single" w:sz="8" w:color="auto"/>
            </w:tcBorders>
          </w:tcPr>
          <w:p>
            <w:pPr>
              <w:spacing w:after="0"/>
              <w:rPr>
                <w:sz w:val="24"/>
                <w:szCs w:val="24"/>
                <w:color w:val="auto"/>
              </w:rPr>
            </w:pPr>
          </w:p>
        </w:tc>
        <w:tc>
          <w:tcPr>
            <w:tcW w:w="5480" w:type="dxa"/>
            <w:vAlign w:val="bottom"/>
            <w:tcBorders>
              <w:right w:val="single" w:sz="8" w:color="auto"/>
            </w:tcBorders>
          </w:tcPr>
          <w:p>
            <w:pPr>
              <w:ind w:left="60"/>
              <w:spacing w:after="0"/>
              <w:rPr>
                <w:sz w:val="20"/>
                <w:szCs w:val="20"/>
                <w:color w:val="auto"/>
              </w:rPr>
            </w:pPr>
            <w:r>
              <w:rPr>
                <w:rFonts w:ascii="Arial" w:cs="Arial" w:eastAsia="Arial" w:hAnsi="Arial"/>
                <w:sz w:val="18"/>
                <w:szCs w:val="18"/>
                <w:b w:val="1"/>
                <w:bCs w:val="1"/>
                <w:color w:val="auto"/>
              </w:rPr>
              <w:t>Art. 10 Assemblée générale extraordinaire</w:t>
            </w:r>
          </w:p>
        </w:tc>
        <w:tc>
          <w:tcPr>
            <w:tcW w:w="0" w:type="dxa"/>
            <w:vAlign w:val="bottom"/>
          </w:tcPr>
          <w:p>
            <w:pPr>
              <w:spacing w:after="0"/>
              <w:rPr>
                <w:sz w:val="1"/>
                <w:szCs w:val="1"/>
                <w:color w:val="auto"/>
              </w:rPr>
            </w:pPr>
          </w:p>
        </w:tc>
      </w:tr>
      <w:tr>
        <w:trPr>
          <w:trHeight w:val="391"/>
        </w:trPr>
        <w:tc>
          <w:tcPr>
            <w:tcW w:w="554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Extraordinary General Meetings may be called by resolution of the</w:t>
            </w:r>
          </w:p>
        </w:tc>
        <w:tc>
          <w:tcPr>
            <w:tcW w:w="220" w:type="dxa"/>
            <w:vAlign w:val="bottom"/>
            <w:tcBorders>
              <w:right w:val="single" w:sz="8" w:color="auto"/>
            </w:tcBorders>
          </w:tcPr>
          <w:p>
            <w:pPr>
              <w:spacing w:after="0"/>
              <w:rPr>
                <w:sz w:val="24"/>
                <w:szCs w:val="24"/>
                <w:color w:val="auto"/>
              </w:rPr>
            </w:pPr>
          </w:p>
        </w:tc>
        <w:tc>
          <w:tcPr>
            <w:tcW w:w="548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Les   assemblées   générales   extraordinaires   peuvent   être</w:t>
            </w:r>
          </w:p>
        </w:tc>
        <w:tc>
          <w:tcPr>
            <w:tcW w:w="0" w:type="dxa"/>
            <w:vAlign w:val="bottom"/>
          </w:tcPr>
          <w:p>
            <w:pPr>
              <w:spacing w:after="0"/>
              <w:rPr>
                <w:sz w:val="1"/>
                <w:szCs w:val="1"/>
                <w:color w:val="auto"/>
              </w:rPr>
            </w:pPr>
          </w:p>
        </w:tc>
      </w:tr>
      <w:tr>
        <w:trPr>
          <w:trHeight w:val="203"/>
        </w:trPr>
        <w:tc>
          <w:tcPr>
            <w:tcW w:w="5540" w:type="dxa"/>
            <w:vAlign w:val="bottom"/>
            <w:tcBorders>
              <w:left w:val="single" w:sz="8" w:color="auto"/>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General Meeting, the Auditors or the Board of Directors, or by</w:t>
            </w:r>
          </w:p>
        </w:tc>
        <w:tc>
          <w:tcPr>
            <w:tcW w:w="22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convoquées par décision de l'assemblée générale, l'organe de</w:t>
            </w:r>
          </w:p>
        </w:tc>
        <w:tc>
          <w:tcPr>
            <w:tcW w:w="0" w:type="dxa"/>
            <w:vAlign w:val="bottom"/>
          </w:tcPr>
          <w:p>
            <w:pPr>
              <w:spacing w:after="0"/>
              <w:rPr>
                <w:sz w:val="1"/>
                <w:szCs w:val="1"/>
                <w:color w:val="auto"/>
              </w:rPr>
            </w:pPr>
          </w:p>
        </w:tc>
      </w:tr>
      <w:tr>
        <w:trPr>
          <w:trHeight w:val="203"/>
        </w:trPr>
        <w:tc>
          <w:tcPr>
            <w:tcW w:w="5540" w:type="dxa"/>
            <w:vAlign w:val="bottom"/>
            <w:tcBorders>
              <w:left w:val="single" w:sz="8" w:color="auto"/>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shareholders with voting powers, provided they represent at least</w:t>
            </w:r>
          </w:p>
        </w:tc>
        <w:tc>
          <w:tcPr>
            <w:tcW w:w="22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révision ou le conseil d'administration, ou par des actionnaires</w:t>
            </w:r>
          </w:p>
        </w:tc>
        <w:tc>
          <w:tcPr>
            <w:tcW w:w="0" w:type="dxa"/>
            <w:vAlign w:val="bottom"/>
          </w:tcPr>
          <w:p>
            <w:pPr>
              <w:spacing w:after="0"/>
              <w:rPr>
                <w:sz w:val="1"/>
                <w:szCs w:val="1"/>
                <w:color w:val="auto"/>
              </w:rPr>
            </w:pPr>
          </w:p>
        </w:tc>
      </w:tr>
      <w:tr>
        <w:trPr>
          <w:trHeight w:val="203"/>
        </w:trPr>
        <w:tc>
          <w:tcPr>
            <w:tcW w:w="5540" w:type="dxa"/>
            <w:vAlign w:val="bottom"/>
            <w:tcBorders>
              <w:left w:val="single" w:sz="8" w:color="auto"/>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10% of the share capital and who submit (a)(1) a request signed by</w:t>
            </w:r>
          </w:p>
        </w:tc>
        <w:tc>
          <w:tcPr>
            <w:tcW w:w="22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avec droit de vote, à condition qu'ils représentent au moins 10%</w:t>
            </w:r>
          </w:p>
        </w:tc>
        <w:tc>
          <w:tcPr>
            <w:tcW w:w="0" w:type="dxa"/>
            <w:vAlign w:val="bottom"/>
          </w:tcPr>
          <w:p>
            <w:pPr>
              <w:spacing w:after="0"/>
              <w:rPr>
                <w:sz w:val="1"/>
                <w:szCs w:val="1"/>
                <w:color w:val="auto"/>
              </w:rPr>
            </w:pPr>
          </w:p>
        </w:tc>
      </w:tr>
      <w:tr>
        <w:trPr>
          <w:trHeight w:val="203"/>
        </w:trPr>
        <w:tc>
          <w:tcPr>
            <w:tcW w:w="5540" w:type="dxa"/>
            <w:vAlign w:val="bottom"/>
            <w:tcBorders>
              <w:left w:val="single" w:sz="8" w:color="auto"/>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such shareholder(s) that specifies the item(s) to be included on the</w:t>
            </w:r>
          </w:p>
        </w:tc>
        <w:tc>
          <w:tcPr>
            <w:tcW w:w="22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du capital-actions et qu'ils soumettent (a) (1) une demande signée</w:t>
            </w:r>
          </w:p>
        </w:tc>
        <w:tc>
          <w:tcPr>
            <w:tcW w:w="0" w:type="dxa"/>
            <w:vAlign w:val="bottom"/>
          </w:tcPr>
          <w:p>
            <w:pPr>
              <w:spacing w:after="0"/>
              <w:rPr>
                <w:sz w:val="1"/>
                <w:szCs w:val="1"/>
                <w:color w:val="auto"/>
              </w:rPr>
            </w:pPr>
          </w:p>
        </w:tc>
      </w:tr>
      <w:tr>
        <w:trPr>
          <w:trHeight w:val="203"/>
        </w:trPr>
        <w:tc>
          <w:tcPr>
            <w:tcW w:w="5540" w:type="dxa"/>
            <w:vAlign w:val="bottom"/>
            <w:tcBorders>
              <w:left w:val="single" w:sz="8" w:color="auto"/>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agenda, (2) the respective proposals of the shareholders and (3)</w:t>
            </w:r>
          </w:p>
        </w:tc>
        <w:tc>
          <w:tcPr>
            <w:tcW w:w="22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par le(s)dit(s) actionnaire(s) qui spécifie les objets à faire figurer</w:t>
            </w:r>
          </w:p>
        </w:tc>
        <w:tc>
          <w:tcPr>
            <w:tcW w:w="0" w:type="dxa"/>
            <w:vAlign w:val="bottom"/>
          </w:tcPr>
          <w:p>
            <w:pPr>
              <w:spacing w:after="0"/>
              <w:rPr>
                <w:sz w:val="1"/>
                <w:szCs w:val="1"/>
                <w:color w:val="auto"/>
              </w:rPr>
            </w:pPr>
          </w:p>
        </w:tc>
      </w:tr>
      <w:tr>
        <w:trPr>
          <w:trHeight w:val="203"/>
        </w:trPr>
        <w:tc>
          <w:tcPr>
            <w:tcW w:w="5540" w:type="dxa"/>
            <w:vAlign w:val="bottom"/>
            <w:tcBorders>
              <w:left w:val="single" w:sz="8" w:color="auto"/>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evidence of the required shareholdings recorded in the share</w:t>
            </w:r>
          </w:p>
        </w:tc>
        <w:tc>
          <w:tcPr>
            <w:tcW w:w="22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sur  l'ordre  du  jour,  (2)  les  propositions  respectives  de  ces</w:t>
            </w:r>
          </w:p>
        </w:tc>
        <w:tc>
          <w:tcPr>
            <w:tcW w:w="0" w:type="dxa"/>
            <w:vAlign w:val="bottom"/>
          </w:tcPr>
          <w:p>
            <w:pPr>
              <w:spacing w:after="0"/>
              <w:rPr>
                <w:sz w:val="1"/>
                <w:szCs w:val="1"/>
                <w:color w:val="auto"/>
              </w:rPr>
            </w:pPr>
          </w:p>
        </w:tc>
      </w:tr>
      <w:tr>
        <w:trPr>
          <w:trHeight w:val="203"/>
        </w:trPr>
        <w:tc>
          <w:tcPr>
            <w:tcW w:w="5540" w:type="dxa"/>
            <w:vAlign w:val="bottom"/>
            <w:tcBorders>
              <w:left w:val="single" w:sz="8" w:color="auto"/>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register and (b) such other information as would be required to be</w:t>
            </w:r>
          </w:p>
        </w:tc>
        <w:tc>
          <w:tcPr>
            <w:tcW w:w="22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actionnaires et (3) la preuve des participations requises inscrites</w:t>
            </w:r>
          </w:p>
        </w:tc>
        <w:tc>
          <w:tcPr>
            <w:tcW w:w="0" w:type="dxa"/>
            <w:vAlign w:val="bottom"/>
          </w:tcPr>
          <w:p>
            <w:pPr>
              <w:spacing w:after="0"/>
              <w:rPr>
                <w:sz w:val="1"/>
                <w:szCs w:val="1"/>
                <w:color w:val="auto"/>
              </w:rPr>
            </w:pPr>
          </w:p>
        </w:tc>
      </w:tr>
      <w:tr>
        <w:trPr>
          <w:trHeight w:val="203"/>
        </w:trPr>
        <w:tc>
          <w:tcPr>
            <w:tcW w:w="5540" w:type="dxa"/>
            <w:vAlign w:val="bottom"/>
            <w:tcBorders>
              <w:left w:val="single" w:sz="8" w:color="auto"/>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included in a proxy statement pursuant to the rules of the country</w:t>
            </w:r>
          </w:p>
        </w:tc>
        <w:tc>
          <w:tcPr>
            <w:tcW w:w="22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dans le registre des actions et (b) les autres informations qui</w:t>
            </w:r>
          </w:p>
        </w:tc>
        <w:tc>
          <w:tcPr>
            <w:tcW w:w="0" w:type="dxa"/>
            <w:vAlign w:val="bottom"/>
          </w:tcPr>
          <w:p>
            <w:pPr>
              <w:spacing w:after="0"/>
              <w:rPr>
                <w:sz w:val="1"/>
                <w:szCs w:val="1"/>
                <w:color w:val="auto"/>
              </w:rPr>
            </w:pPr>
          </w:p>
        </w:tc>
      </w:tr>
      <w:tr>
        <w:trPr>
          <w:trHeight w:val="203"/>
        </w:trPr>
        <w:tc>
          <w:tcPr>
            <w:tcW w:w="5540" w:type="dxa"/>
            <w:vAlign w:val="bottom"/>
            <w:tcBorders>
              <w:left w:val="single" w:sz="8" w:color="auto"/>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where the Company's shares are primarily listed.</w:t>
            </w:r>
          </w:p>
        </w:tc>
        <w:tc>
          <w:tcPr>
            <w:tcW w:w="22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doivent être mentionnées dans une déclaration (proxy statement)</w:t>
            </w:r>
          </w:p>
        </w:tc>
        <w:tc>
          <w:tcPr>
            <w:tcW w:w="0" w:type="dxa"/>
            <w:vAlign w:val="bottom"/>
          </w:tcPr>
          <w:p>
            <w:pPr>
              <w:spacing w:after="0"/>
              <w:rPr>
                <w:sz w:val="1"/>
                <w:szCs w:val="1"/>
                <w:color w:val="auto"/>
              </w:rPr>
            </w:pPr>
          </w:p>
        </w:tc>
      </w:tr>
      <w:tr>
        <w:trPr>
          <w:trHeight w:val="203"/>
        </w:trPr>
        <w:tc>
          <w:tcPr>
            <w:tcW w:w="5540" w:type="dxa"/>
            <w:vAlign w:val="bottom"/>
            <w:tcBorders>
              <w:left w:val="single" w:sz="8" w:color="auto"/>
              <w:right w:val="single" w:sz="8" w:color="auto"/>
            </w:tcBorders>
          </w:tcPr>
          <w:p>
            <w:pPr>
              <w:spacing w:after="0"/>
              <w:rPr>
                <w:sz w:val="17"/>
                <w:szCs w:val="17"/>
                <w:color w:val="auto"/>
              </w:rPr>
            </w:pPr>
          </w:p>
        </w:tc>
        <w:tc>
          <w:tcPr>
            <w:tcW w:w="22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conformément aux règles du pays où les actions de la société sont</w:t>
            </w:r>
          </w:p>
        </w:tc>
        <w:tc>
          <w:tcPr>
            <w:tcW w:w="0" w:type="dxa"/>
            <w:vAlign w:val="bottom"/>
          </w:tcPr>
          <w:p>
            <w:pPr>
              <w:spacing w:after="0"/>
              <w:rPr>
                <w:sz w:val="1"/>
                <w:szCs w:val="1"/>
                <w:color w:val="auto"/>
              </w:rPr>
            </w:pPr>
          </w:p>
        </w:tc>
      </w:tr>
      <w:tr>
        <w:trPr>
          <w:trHeight w:val="217"/>
        </w:trPr>
        <w:tc>
          <w:tcPr>
            <w:tcW w:w="5540" w:type="dxa"/>
            <w:vAlign w:val="bottom"/>
            <w:tcBorders>
              <w:left w:val="single" w:sz="8" w:color="auto"/>
              <w:right w:val="single" w:sz="8" w:color="auto"/>
            </w:tcBorders>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548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principalement cotées.</w:t>
            </w:r>
          </w:p>
        </w:tc>
        <w:tc>
          <w:tcPr>
            <w:tcW w:w="0" w:type="dxa"/>
            <w:vAlign w:val="bottom"/>
          </w:tcPr>
          <w:p>
            <w:pPr>
              <w:spacing w:after="0"/>
              <w:rPr>
                <w:sz w:val="1"/>
                <w:szCs w:val="1"/>
                <w:color w:val="auto"/>
              </w:rPr>
            </w:pPr>
          </w:p>
        </w:tc>
      </w:tr>
      <w:tr>
        <w:trPr>
          <w:trHeight w:val="54"/>
        </w:trPr>
        <w:tc>
          <w:tcPr>
            <w:tcW w:w="5540" w:type="dxa"/>
            <w:vAlign w:val="bottom"/>
            <w:tcBorders>
              <w:left w:val="single" w:sz="8" w:color="auto"/>
              <w:bottom w:val="single" w:sz="8" w:color="auto"/>
              <w:right w:val="single" w:sz="8" w:color="auto"/>
            </w:tcBorders>
          </w:tcPr>
          <w:p>
            <w:pPr>
              <w:spacing w:after="0"/>
              <w:rPr>
                <w:sz w:val="4"/>
                <w:szCs w:val="4"/>
                <w:color w:val="auto"/>
              </w:rPr>
            </w:pPr>
          </w:p>
        </w:tc>
        <w:tc>
          <w:tcPr>
            <w:tcW w:w="220" w:type="dxa"/>
            <w:vAlign w:val="bottom"/>
            <w:tcBorders>
              <w:bottom w:val="single" w:sz="8" w:color="auto"/>
              <w:right w:val="single" w:sz="8" w:color="auto"/>
            </w:tcBorders>
          </w:tcPr>
          <w:p>
            <w:pPr>
              <w:spacing w:after="0"/>
              <w:rPr>
                <w:sz w:val="4"/>
                <w:szCs w:val="4"/>
                <w:color w:val="auto"/>
              </w:rPr>
            </w:pPr>
          </w:p>
        </w:tc>
        <w:tc>
          <w:tcPr>
            <w:tcW w:w="548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1"/>
        </w:trPr>
        <w:tc>
          <w:tcPr>
            <w:tcW w:w="554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b w:val="1"/>
                <w:bCs w:val="1"/>
                <w:color w:val="auto"/>
              </w:rPr>
              <w:t>Art. 11 Notice and Agenda of Shareholders' Meetings</w:t>
            </w:r>
          </w:p>
        </w:tc>
        <w:tc>
          <w:tcPr>
            <w:tcW w:w="220" w:type="dxa"/>
            <w:vAlign w:val="bottom"/>
            <w:tcBorders>
              <w:right w:val="single" w:sz="8" w:color="auto"/>
            </w:tcBorders>
          </w:tcPr>
          <w:p>
            <w:pPr>
              <w:spacing w:after="0"/>
              <w:rPr>
                <w:sz w:val="20"/>
                <w:szCs w:val="20"/>
                <w:color w:val="auto"/>
              </w:rPr>
            </w:pPr>
          </w:p>
        </w:tc>
        <w:tc>
          <w:tcPr>
            <w:tcW w:w="5480" w:type="dxa"/>
            <w:vAlign w:val="bottom"/>
            <w:tcBorders>
              <w:right w:val="single" w:sz="8" w:color="auto"/>
            </w:tcBorders>
          </w:tcPr>
          <w:p>
            <w:pPr>
              <w:ind w:left="60"/>
              <w:spacing w:after="0"/>
              <w:rPr>
                <w:sz w:val="20"/>
                <w:szCs w:val="20"/>
                <w:color w:val="auto"/>
              </w:rPr>
            </w:pPr>
            <w:r>
              <w:rPr>
                <w:rFonts w:ascii="Arial" w:cs="Arial" w:eastAsia="Arial" w:hAnsi="Arial"/>
                <w:sz w:val="18"/>
                <w:szCs w:val="18"/>
                <w:b w:val="1"/>
                <w:bCs w:val="1"/>
                <w:color w:val="auto"/>
              </w:rPr>
              <w:t>Art.  11  Convocations  et  ordres  du  jour  des  assemblées</w:t>
            </w:r>
          </w:p>
        </w:tc>
        <w:tc>
          <w:tcPr>
            <w:tcW w:w="0" w:type="dxa"/>
            <w:vAlign w:val="bottom"/>
          </w:tcPr>
          <w:p>
            <w:pPr>
              <w:spacing w:after="0"/>
              <w:rPr>
                <w:sz w:val="1"/>
                <w:szCs w:val="1"/>
                <w:color w:val="auto"/>
              </w:rPr>
            </w:pPr>
          </w:p>
        </w:tc>
      </w:tr>
      <w:tr>
        <w:trPr>
          <w:trHeight w:val="239"/>
        </w:trPr>
        <w:tc>
          <w:tcPr>
            <w:tcW w:w="5540" w:type="dxa"/>
            <w:vAlign w:val="bottom"/>
            <w:tcBorders>
              <w:left w:val="single" w:sz="8" w:color="auto"/>
              <w:right w:val="single" w:sz="8" w:color="auto"/>
            </w:tcBorders>
            <w:vMerge w:val="restart"/>
          </w:tcPr>
          <w:p>
            <w:pPr>
              <w:ind w:left="100"/>
              <w:spacing w:after="0"/>
              <w:rPr>
                <w:sz w:val="20"/>
                <w:szCs w:val="20"/>
                <w:color w:val="auto"/>
              </w:rPr>
            </w:pPr>
            <w:r>
              <w:rPr>
                <w:rFonts w:ascii="Arial" w:cs="Arial" w:eastAsia="Arial" w:hAnsi="Arial"/>
                <w:sz w:val="18"/>
                <w:szCs w:val="18"/>
                <w:color w:val="auto"/>
              </w:rPr>
              <w:t>Notice of a General Meeting of Shareholders shall be given by the</w:t>
            </w:r>
          </w:p>
        </w:tc>
        <w:tc>
          <w:tcPr>
            <w:tcW w:w="220" w:type="dxa"/>
            <w:vAlign w:val="bottom"/>
            <w:tcBorders>
              <w:right w:val="single" w:sz="8" w:color="auto"/>
            </w:tcBorders>
          </w:tcPr>
          <w:p>
            <w:pPr>
              <w:spacing w:after="0"/>
              <w:rPr>
                <w:sz w:val="20"/>
                <w:szCs w:val="20"/>
                <w:color w:val="auto"/>
              </w:rPr>
            </w:pPr>
          </w:p>
        </w:tc>
        <w:tc>
          <w:tcPr>
            <w:tcW w:w="5480" w:type="dxa"/>
            <w:vAlign w:val="bottom"/>
            <w:tcBorders>
              <w:right w:val="single" w:sz="8" w:color="auto"/>
            </w:tcBorders>
          </w:tcPr>
          <w:p>
            <w:pPr>
              <w:ind w:left="60"/>
              <w:spacing w:after="0"/>
              <w:rPr>
                <w:sz w:val="20"/>
                <w:szCs w:val="20"/>
                <w:color w:val="auto"/>
              </w:rPr>
            </w:pPr>
            <w:r>
              <w:rPr>
                <w:rFonts w:ascii="Arial" w:cs="Arial" w:eastAsia="Arial" w:hAnsi="Arial"/>
                <w:sz w:val="18"/>
                <w:szCs w:val="18"/>
                <w:b w:val="1"/>
                <w:bCs w:val="1"/>
                <w:color w:val="auto"/>
              </w:rPr>
              <w:t>générales</w:t>
            </w:r>
          </w:p>
        </w:tc>
        <w:tc>
          <w:tcPr>
            <w:tcW w:w="0" w:type="dxa"/>
            <w:vAlign w:val="bottom"/>
          </w:tcPr>
          <w:p>
            <w:pPr>
              <w:spacing w:after="0"/>
              <w:rPr>
                <w:sz w:val="1"/>
                <w:szCs w:val="1"/>
                <w:color w:val="auto"/>
              </w:rPr>
            </w:pPr>
          </w:p>
        </w:tc>
      </w:tr>
      <w:tr>
        <w:trPr>
          <w:trHeight w:val="188"/>
        </w:trPr>
        <w:tc>
          <w:tcPr>
            <w:tcW w:w="5540" w:type="dxa"/>
            <w:vAlign w:val="bottom"/>
            <w:tcBorders>
              <w:left w:val="single" w:sz="8" w:color="auto"/>
              <w:right w:val="single" w:sz="8" w:color="auto"/>
            </w:tcBorders>
            <w:vMerge w:val="continue"/>
          </w:tcPr>
          <w:p>
            <w:pPr>
              <w:spacing w:after="0"/>
              <w:rPr>
                <w:sz w:val="16"/>
                <w:szCs w:val="16"/>
                <w:color w:val="auto"/>
              </w:rPr>
            </w:pPr>
          </w:p>
        </w:tc>
        <w:tc>
          <w:tcPr>
            <w:tcW w:w="220" w:type="dxa"/>
            <w:vAlign w:val="bottom"/>
            <w:tcBorders>
              <w:right w:val="single" w:sz="8" w:color="auto"/>
            </w:tcBorders>
          </w:tcPr>
          <w:p>
            <w:pPr>
              <w:spacing w:after="0"/>
              <w:rPr>
                <w:sz w:val="16"/>
                <w:szCs w:val="16"/>
                <w:color w:val="auto"/>
              </w:rPr>
            </w:pPr>
          </w:p>
        </w:tc>
        <w:tc>
          <w:tcPr>
            <w:tcW w:w="548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5540" w:type="dxa"/>
            <w:vAlign w:val="bottom"/>
            <w:tcBorders>
              <w:left w:val="single" w:sz="8" w:color="auto"/>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Board of Directors or, if necessary, by the Auditor, not later than</w:t>
            </w:r>
          </w:p>
        </w:tc>
        <w:tc>
          <w:tcPr>
            <w:tcW w:w="22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L'assemblée générale est convoquée par le conseil</w:t>
            </w:r>
          </w:p>
        </w:tc>
        <w:tc>
          <w:tcPr>
            <w:tcW w:w="0" w:type="dxa"/>
            <w:vAlign w:val="bottom"/>
          </w:tcPr>
          <w:p>
            <w:pPr>
              <w:spacing w:after="0"/>
              <w:rPr>
                <w:sz w:val="1"/>
                <w:szCs w:val="1"/>
                <w:color w:val="auto"/>
              </w:rPr>
            </w:pPr>
          </w:p>
        </w:tc>
      </w:tr>
      <w:tr>
        <w:trPr>
          <w:trHeight w:val="203"/>
        </w:trPr>
        <w:tc>
          <w:tcPr>
            <w:tcW w:w="5540" w:type="dxa"/>
            <w:vAlign w:val="bottom"/>
            <w:tcBorders>
              <w:left w:val="single" w:sz="8" w:color="auto"/>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twenty calendar days prior to the date of the General Meeting of</w:t>
            </w:r>
          </w:p>
        </w:tc>
        <w:tc>
          <w:tcPr>
            <w:tcW w:w="22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d'administration ou, si nécessaire, par l'organe de révision, au</w:t>
            </w:r>
          </w:p>
        </w:tc>
        <w:tc>
          <w:tcPr>
            <w:tcW w:w="0" w:type="dxa"/>
            <w:vAlign w:val="bottom"/>
          </w:tcPr>
          <w:p>
            <w:pPr>
              <w:spacing w:after="0"/>
              <w:rPr>
                <w:sz w:val="1"/>
                <w:szCs w:val="1"/>
                <w:color w:val="auto"/>
              </w:rPr>
            </w:pPr>
          </w:p>
        </w:tc>
      </w:tr>
      <w:tr>
        <w:trPr>
          <w:trHeight w:val="203"/>
        </w:trPr>
        <w:tc>
          <w:tcPr>
            <w:tcW w:w="5540" w:type="dxa"/>
            <w:vAlign w:val="bottom"/>
            <w:tcBorders>
              <w:left w:val="single" w:sz="8" w:color="auto"/>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Shareholders. Notice of the General Meeting of Shareholders shall</w:t>
            </w:r>
          </w:p>
        </w:tc>
        <w:tc>
          <w:tcPr>
            <w:tcW w:w="22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moins 20 jours avant la tenue de l'assemblée générale des</w:t>
            </w:r>
          </w:p>
        </w:tc>
        <w:tc>
          <w:tcPr>
            <w:tcW w:w="0" w:type="dxa"/>
            <w:vAlign w:val="bottom"/>
          </w:tcPr>
          <w:p>
            <w:pPr>
              <w:spacing w:after="0"/>
              <w:rPr>
                <w:sz w:val="1"/>
                <w:szCs w:val="1"/>
                <w:color w:val="auto"/>
              </w:rPr>
            </w:pPr>
          </w:p>
        </w:tc>
      </w:tr>
      <w:tr>
        <w:trPr>
          <w:trHeight w:val="203"/>
        </w:trPr>
        <w:tc>
          <w:tcPr>
            <w:tcW w:w="5540" w:type="dxa"/>
            <w:vAlign w:val="bottom"/>
            <w:tcBorders>
              <w:left w:val="single" w:sz="8" w:color="auto"/>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be given by way of a one-time announcement in the official means</w:t>
            </w:r>
          </w:p>
        </w:tc>
        <w:tc>
          <w:tcPr>
            <w:tcW w:w="22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actionnaires. La convocation à l'assemblée générale des</w:t>
            </w:r>
          </w:p>
        </w:tc>
        <w:tc>
          <w:tcPr>
            <w:tcW w:w="0" w:type="dxa"/>
            <w:vAlign w:val="bottom"/>
          </w:tcPr>
          <w:p>
            <w:pPr>
              <w:spacing w:after="0"/>
              <w:rPr>
                <w:sz w:val="1"/>
                <w:szCs w:val="1"/>
                <w:color w:val="auto"/>
              </w:rPr>
            </w:pPr>
          </w:p>
        </w:tc>
      </w:tr>
      <w:tr>
        <w:trPr>
          <w:trHeight w:val="203"/>
        </w:trPr>
        <w:tc>
          <w:tcPr>
            <w:tcW w:w="5540" w:type="dxa"/>
            <w:vAlign w:val="bottom"/>
            <w:tcBorders>
              <w:left w:val="single" w:sz="8" w:color="auto"/>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of publication of the Company pursuant to Article 46 of these</w:t>
            </w:r>
          </w:p>
        </w:tc>
        <w:tc>
          <w:tcPr>
            <w:tcW w:w="22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actionnaires doit être faite au moyen d'une seule publication</w:t>
            </w:r>
          </w:p>
        </w:tc>
        <w:tc>
          <w:tcPr>
            <w:tcW w:w="0" w:type="dxa"/>
            <w:vAlign w:val="bottom"/>
          </w:tcPr>
          <w:p>
            <w:pPr>
              <w:spacing w:after="0"/>
              <w:rPr>
                <w:sz w:val="1"/>
                <w:szCs w:val="1"/>
                <w:color w:val="auto"/>
              </w:rPr>
            </w:pPr>
          </w:p>
        </w:tc>
      </w:tr>
      <w:tr>
        <w:trPr>
          <w:trHeight w:val="203"/>
        </w:trPr>
        <w:tc>
          <w:tcPr>
            <w:tcW w:w="5540" w:type="dxa"/>
            <w:vAlign w:val="bottom"/>
            <w:tcBorders>
              <w:left w:val="single" w:sz="8" w:color="auto"/>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Articles of Association. The notice period shall be deemed to have</w:t>
            </w:r>
          </w:p>
        </w:tc>
        <w:tc>
          <w:tcPr>
            <w:tcW w:w="22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conformément à l'article 46 de ces statuts. La période de préavis</w:t>
            </w:r>
          </w:p>
        </w:tc>
        <w:tc>
          <w:tcPr>
            <w:tcW w:w="0" w:type="dxa"/>
            <w:vAlign w:val="bottom"/>
          </w:tcPr>
          <w:p>
            <w:pPr>
              <w:spacing w:after="0"/>
              <w:rPr>
                <w:sz w:val="1"/>
                <w:szCs w:val="1"/>
                <w:color w:val="auto"/>
              </w:rPr>
            </w:pPr>
          </w:p>
        </w:tc>
      </w:tr>
      <w:tr>
        <w:trPr>
          <w:trHeight w:val="203"/>
        </w:trPr>
        <w:tc>
          <w:tcPr>
            <w:tcW w:w="5540" w:type="dxa"/>
            <w:vAlign w:val="bottom"/>
            <w:tcBorders>
              <w:left w:val="single" w:sz="8" w:color="auto"/>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been observed if notice of the General Meeting of Shareholders is</w:t>
            </w:r>
          </w:p>
        </w:tc>
        <w:tc>
          <w:tcPr>
            <w:tcW w:w="22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sera réputée avoir été respectée si la convocation à l'assemblée</w:t>
            </w:r>
          </w:p>
        </w:tc>
        <w:tc>
          <w:tcPr>
            <w:tcW w:w="0" w:type="dxa"/>
            <w:vAlign w:val="bottom"/>
          </w:tcPr>
          <w:p>
            <w:pPr>
              <w:spacing w:after="0"/>
              <w:rPr>
                <w:sz w:val="1"/>
                <w:szCs w:val="1"/>
                <w:color w:val="auto"/>
              </w:rPr>
            </w:pPr>
          </w:p>
        </w:tc>
      </w:tr>
      <w:tr>
        <w:trPr>
          <w:trHeight w:val="203"/>
        </w:trPr>
        <w:tc>
          <w:tcPr>
            <w:tcW w:w="5540" w:type="dxa"/>
            <w:vAlign w:val="bottom"/>
            <w:tcBorders>
              <w:left w:val="single" w:sz="8" w:color="auto"/>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published in such official means of publication, it being understood</w:t>
            </w:r>
          </w:p>
        </w:tc>
        <w:tc>
          <w:tcPr>
            <w:tcW w:w="22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générale des actionnaires est publiée conformément à l'article 46</w:t>
            </w:r>
          </w:p>
        </w:tc>
        <w:tc>
          <w:tcPr>
            <w:tcW w:w="0" w:type="dxa"/>
            <w:vAlign w:val="bottom"/>
          </w:tcPr>
          <w:p>
            <w:pPr>
              <w:spacing w:after="0"/>
              <w:rPr>
                <w:sz w:val="1"/>
                <w:szCs w:val="1"/>
                <w:color w:val="auto"/>
              </w:rPr>
            </w:pPr>
          </w:p>
        </w:tc>
      </w:tr>
      <w:tr>
        <w:trPr>
          <w:trHeight w:val="203"/>
        </w:trPr>
        <w:tc>
          <w:tcPr>
            <w:tcW w:w="5540" w:type="dxa"/>
            <w:vAlign w:val="bottom"/>
            <w:tcBorders>
              <w:left w:val="single" w:sz="8" w:color="auto"/>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that the date of publication shall not be computed in the notice</w:t>
            </w:r>
          </w:p>
        </w:tc>
        <w:tc>
          <w:tcPr>
            <w:tcW w:w="22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de ces statuts, étant entendu que la date de publication ne doit</w:t>
            </w:r>
          </w:p>
        </w:tc>
        <w:tc>
          <w:tcPr>
            <w:tcW w:w="0" w:type="dxa"/>
            <w:vAlign w:val="bottom"/>
          </w:tcPr>
          <w:p>
            <w:pPr>
              <w:spacing w:after="0"/>
              <w:rPr>
                <w:sz w:val="1"/>
                <w:szCs w:val="1"/>
                <w:color w:val="auto"/>
              </w:rPr>
            </w:pPr>
          </w:p>
        </w:tc>
      </w:tr>
      <w:tr>
        <w:trPr>
          <w:trHeight w:val="203"/>
        </w:trPr>
        <w:tc>
          <w:tcPr>
            <w:tcW w:w="5540" w:type="dxa"/>
            <w:vAlign w:val="bottom"/>
            <w:tcBorders>
              <w:left w:val="single" w:sz="8" w:color="auto"/>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period. Shareholders of record may in addition be informed of the</w:t>
            </w:r>
          </w:p>
        </w:tc>
        <w:tc>
          <w:tcPr>
            <w:tcW w:w="22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pas être calculée dans la période de préavis. Les actionnaires</w:t>
            </w:r>
          </w:p>
        </w:tc>
        <w:tc>
          <w:tcPr>
            <w:tcW w:w="0" w:type="dxa"/>
            <w:vAlign w:val="bottom"/>
          </w:tcPr>
          <w:p>
            <w:pPr>
              <w:spacing w:after="0"/>
              <w:rPr>
                <w:sz w:val="1"/>
                <w:szCs w:val="1"/>
                <w:color w:val="auto"/>
              </w:rPr>
            </w:pPr>
          </w:p>
        </w:tc>
      </w:tr>
      <w:tr>
        <w:trPr>
          <w:trHeight w:val="203"/>
        </w:trPr>
        <w:tc>
          <w:tcPr>
            <w:tcW w:w="5540" w:type="dxa"/>
            <w:vAlign w:val="bottom"/>
            <w:tcBorders>
              <w:left w:val="single" w:sz="8" w:color="auto"/>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General Meeting of Shareholders by ordinary mail or e-mail.</w:t>
            </w:r>
          </w:p>
        </w:tc>
        <w:tc>
          <w:tcPr>
            <w:tcW w:w="22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inscrits peuvent en outre être informés de l'assemblée générale</w:t>
            </w:r>
          </w:p>
        </w:tc>
        <w:tc>
          <w:tcPr>
            <w:tcW w:w="0" w:type="dxa"/>
            <w:vAlign w:val="bottom"/>
          </w:tcPr>
          <w:p>
            <w:pPr>
              <w:spacing w:after="0"/>
              <w:rPr>
                <w:sz w:val="1"/>
                <w:szCs w:val="1"/>
                <w:color w:val="auto"/>
              </w:rPr>
            </w:pPr>
          </w:p>
        </w:tc>
      </w:tr>
      <w:tr>
        <w:trPr>
          <w:trHeight w:val="217"/>
        </w:trPr>
        <w:tc>
          <w:tcPr>
            <w:tcW w:w="5540" w:type="dxa"/>
            <w:vAlign w:val="bottom"/>
            <w:tcBorders>
              <w:left w:val="single" w:sz="8" w:color="auto"/>
              <w:right w:val="single" w:sz="8" w:color="auto"/>
            </w:tcBorders>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548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des actionnaires par courrier ordinaire ou par e-mail.</w:t>
            </w:r>
          </w:p>
        </w:tc>
        <w:tc>
          <w:tcPr>
            <w:tcW w:w="0" w:type="dxa"/>
            <w:vAlign w:val="bottom"/>
          </w:tcPr>
          <w:p>
            <w:pPr>
              <w:spacing w:after="0"/>
              <w:rPr>
                <w:sz w:val="1"/>
                <w:szCs w:val="1"/>
                <w:color w:val="auto"/>
              </w:rPr>
            </w:pPr>
          </w:p>
        </w:tc>
      </w:tr>
      <w:tr>
        <w:trPr>
          <w:trHeight w:val="54"/>
        </w:trPr>
        <w:tc>
          <w:tcPr>
            <w:tcW w:w="5540" w:type="dxa"/>
            <w:vAlign w:val="bottom"/>
            <w:tcBorders>
              <w:left w:val="single" w:sz="8" w:color="auto"/>
              <w:bottom w:val="single" w:sz="8" w:color="auto"/>
              <w:right w:val="single" w:sz="8" w:color="auto"/>
            </w:tcBorders>
          </w:tcPr>
          <w:p>
            <w:pPr>
              <w:spacing w:after="0"/>
              <w:rPr>
                <w:sz w:val="4"/>
                <w:szCs w:val="4"/>
                <w:color w:val="auto"/>
              </w:rPr>
            </w:pPr>
          </w:p>
        </w:tc>
        <w:tc>
          <w:tcPr>
            <w:tcW w:w="220" w:type="dxa"/>
            <w:vAlign w:val="bottom"/>
            <w:tcBorders>
              <w:bottom w:val="single" w:sz="8" w:color="auto"/>
              <w:right w:val="single" w:sz="8" w:color="auto"/>
            </w:tcBorders>
          </w:tcPr>
          <w:p>
            <w:pPr>
              <w:spacing w:after="0"/>
              <w:rPr>
                <w:sz w:val="4"/>
                <w:szCs w:val="4"/>
                <w:color w:val="auto"/>
              </w:rPr>
            </w:pPr>
          </w:p>
        </w:tc>
        <w:tc>
          <w:tcPr>
            <w:tcW w:w="548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554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The notice of a General Meeting of Shareholders shall specify the</w:t>
            </w:r>
          </w:p>
        </w:tc>
        <w:tc>
          <w:tcPr>
            <w:tcW w:w="220" w:type="dxa"/>
            <w:vAlign w:val="bottom"/>
            <w:tcBorders>
              <w:right w:val="single" w:sz="8" w:color="auto"/>
            </w:tcBorders>
          </w:tcPr>
          <w:p>
            <w:pPr>
              <w:spacing w:after="0"/>
              <w:rPr>
                <w:sz w:val="22"/>
                <w:szCs w:val="22"/>
                <w:color w:val="auto"/>
              </w:rPr>
            </w:pPr>
          </w:p>
        </w:tc>
        <w:tc>
          <w:tcPr>
            <w:tcW w:w="548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La convocation à l'assemblée générale des actionnaires doit</w:t>
            </w:r>
          </w:p>
        </w:tc>
        <w:tc>
          <w:tcPr>
            <w:tcW w:w="0" w:type="dxa"/>
            <w:vAlign w:val="bottom"/>
          </w:tcPr>
          <w:p>
            <w:pPr>
              <w:spacing w:after="0"/>
              <w:rPr>
                <w:sz w:val="1"/>
                <w:szCs w:val="1"/>
                <w:color w:val="auto"/>
              </w:rPr>
            </w:pPr>
          </w:p>
        </w:tc>
      </w:tr>
      <w:tr>
        <w:trPr>
          <w:trHeight w:val="203"/>
        </w:trPr>
        <w:tc>
          <w:tcPr>
            <w:tcW w:w="5540" w:type="dxa"/>
            <w:vAlign w:val="bottom"/>
            <w:tcBorders>
              <w:left w:val="single" w:sz="8" w:color="auto"/>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items on the agenda and the proposals of the Board of Directors</w:t>
            </w:r>
          </w:p>
        </w:tc>
        <w:tc>
          <w:tcPr>
            <w:tcW w:w="22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préciser les objets de l'ordre du jour et les propositions du conseil</w:t>
            </w:r>
          </w:p>
        </w:tc>
        <w:tc>
          <w:tcPr>
            <w:tcW w:w="0" w:type="dxa"/>
            <w:vAlign w:val="bottom"/>
          </w:tcPr>
          <w:p>
            <w:pPr>
              <w:spacing w:after="0"/>
              <w:rPr>
                <w:sz w:val="1"/>
                <w:szCs w:val="1"/>
                <w:color w:val="auto"/>
              </w:rPr>
            </w:pPr>
          </w:p>
        </w:tc>
      </w:tr>
      <w:tr>
        <w:trPr>
          <w:trHeight w:val="203"/>
        </w:trPr>
        <w:tc>
          <w:tcPr>
            <w:tcW w:w="5540" w:type="dxa"/>
            <w:vAlign w:val="bottom"/>
            <w:tcBorders>
              <w:left w:val="single" w:sz="8" w:color="auto"/>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and the shareholder(s) who requested that a General Meeting of</w:t>
            </w:r>
          </w:p>
        </w:tc>
        <w:tc>
          <w:tcPr>
            <w:tcW w:w="22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d'administration et l'/les actionnaire(s) qui a/ont demandé que</w:t>
            </w:r>
          </w:p>
        </w:tc>
        <w:tc>
          <w:tcPr>
            <w:tcW w:w="0" w:type="dxa"/>
            <w:vAlign w:val="bottom"/>
          </w:tcPr>
          <w:p>
            <w:pPr>
              <w:spacing w:after="0"/>
              <w:rPr>
                <w:sz w:val="1"/>
                <w:szCs w:val="1"/>
                <w:color w:val="auto"/>
              </w:rPr>
            </w:pPr>
          </w:p>
        </w:tc>
      </w:tr>
      <w:tr>
        <w:trPr>
          <w:trHeight w:val="203"/>
        </w:trPr>
        <w:tc>
          <w:tcPr>
            <w:tcW w:w="5540" w:type="dxa"/>
            <w:vAlign w:val="bottom"/>
            <w:tcBorders>
              <w:left w:val="single" w:sz="8" w:color="auto"/>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Shareholders be held or an item be included on the agenda, and,</w:t>
            </w:r>
          </w:p>
        </w:tc>
        <w:tc>
          <w:tcPr>
            <w:tcW w:w="22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l'assemblée générale des actionnaires ait lieu ou qu'un objet soit</w:t>
            </w:r>
          </w:p>
        </w:tc>
        <w:tc>
          <w:tcPr>
            <w:tcW w:w="0" w:type="dxa"/>
            <w:vAlign w:val="bottom"/>
          </w:tcPr>
          <w:p>
            <w:pPr>
              <w:spacing w:after="0"/>
              <w:rPr>
                <w:sz w:val="1"/>
                <w:szCs w:val="1"/>
                <w:color w:val="auto"/>
              </w:rPr>
            </w:pPr>
          </w:p>
        </w:tc>
      </w:tr>
      <w:tr>
        <w:trPr>
          <w:trHeight w:val="217"/>
        </w:trPr>
        <w:tc>
          <w:tcPr>
            <w:tcW w:w="554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in the event of elections,</w:t>
            </w:r>
          </w:p>
        </w:tc>
        <w:tc>
          <w:tcPr>
            <w:tcW w:w="220" w:type="dxa"/>
            <w:vAlign w:val="bottom"/>
            <w:tcBorders>
              <w:right w:val="single" w:sz="8" w:color="auto"/>
            </w:tcBorders>
          </w:tcPr>
          <w:p>
            <w:pPr>
              <w:spacing w:after="0"/>
              <w:rPr>
                <w:sz w:val="18"/>
                <w:szCs w:val="18"/>
                <w:color w:val="auto"/>
              </w:rPr>
            </w:pPr>
          </w:p>
        </w:tc>
        <w:tc>
          <w:tcPr>
            <w:tcW w:w="548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inscrit à l'ordre du jour, et, dans le cas</w:t>
            </w:r>
          </w:p>
        </w:tc>
        <w:tc>
          <w:tcPr>
            <w:tcW w:w="0" w:type="dxa"/>
            <w:vAlign w:val="bottom"/>
          </w:tcPr>
          <w:p>
            <w:pPr>
              <w:spacing w:after="0"/>
              <w:rPr>
                <w:sz w:val="1"/>
                <w:szCs w:val="1"/>
                <w:color w:val="auto"/>
              </w:rPr>
            </w:pPr>
          </w:p>
        </w:tc>
      </w:tr>
      <w:tr>
        <w:trPr>
          <w:trHeight w:val="54"/>
        </w:trPr>
        <w:tc>
          <w:tcPr>
            <w:tcW w:w="5540" w:type="dxa"/>
            <w:vAlign w:val="bottom"/>
            <w:tcBorders>
              <w:left w:val="single" w:sz="8" w:color="auto"/>
              <w:bottom w:val="single" w:sz="8" w:color="auto"/>
              <w:right w:val="single" w:sz="8" w:color="auto"/>
            </w:tcBorders>
          </w:tcPr>
          <w:p>
            <w:pPr>
              <w:spacing w:after="0"/>
              <w:rPr>
                <w:sz w:val="4"/>
                <w:szCs w:val="4"/>
                <w:color w:val="auto"/>
              </w:rPr>
            </w:pPr>
          </w:p>
        </w:tc>
        <w:tc>
          <w:tcPr>
            <w:tcW w:w="220" w:type="dxa"/>
            <w:vAlign w:val="bottom"/>
            <w:tcBorders>
              <w:bottom w:val="single" w:sz="8" w:color="auto"/>
              <w:right w:val="single" w:sz="8" w:color="auto"/>
            </w:tcBorders>
          </w:tcPr>
          <w:p>
            <w:pPr>
              <w:spacing w:after="0"/>
              <w:rPr>
                <w:sz w:val="4"/>
                <w:szCs w:val="4"/>
                <w:color w:val="auto"/>
              </w:rPr>
            </w:pPr>
          </w:p>
        </w:tc>
        <w:tc>
          <w:tcPr>
            <w:tcW w:w="548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453"/>
        </w:trPr>
        <w:tc>
          <w:tcPr>
            <w:tcW w:w="55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54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249" w:right="339" w:bottom="1440" w:gutter="0" w:footer="0" w:header="0"/>
        </w:sectPr>
      </w:pPr>
    </w:p>
    <w:bookmarkStart w:id="49" w:name="page50"/>
    <w:bookmarkEnd w:id="49"/>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187"/>
        </w:trPr>
        <w:tc>
          <w:tcPr>
            <w:tcW w:w="554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5480" w:type="dxa"/>
            <w:vAlign w:val="bottom"/>
            <w:tcBorders>
              <w:bottom w:val="single" w:sz="8" w:color="auto"/>
            </w:tcBorders>
          </w:tcPr>
          <w:p>
            <w:pPr>
              <w:ind w:left="5260"/>
              <w:spacing w:after="0"/>
              <w:rPr>
                <w:sz w:val="20"/>
                <w:szCs w:val="20"/>
                <w:color w:val="auto"/>
              </w:rPr>
            </w:pPr>
            <w:r>
              <w:rPr>
                <w:rFonts w:ascii="Arial" w:cs="Arial" w:eastAsia="Arial" w:hAnsi="Arial"/>
                <w:sz w:val="16"/>
                <w:szCs w:val="16"/>
                <w:color w:val="auto"/>
              </w:rPr>
              <w:t>11</w:t>
            </w:r>
          </w:p>
        </w:tc>
      </w:tr>
      <w:tr>
        <w:trPr>
          <w:trHeight w:val="263"/>
        </w:trPr>
        <w:tc>
          <w:tcPr>
            <w:tcW w:w="554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the name(s) of the candidate(s) that has or have been put on the</w:t>
            </w:r>
          </w:p>
        </w:tc>
        <w:tc>
          <w:tcPr>
            <w:tcW w:w="220" w:type="dxa"/>
            <w:vAlign w:val="bottom"/>
            <w:tcBorders>
              <w:right w:val="single" w:sz="8" w:color="auto"/>
            </w:tcBorders>
          </w:tcPr>
          <w:p>
            <w:pPr>
              <w:spacing w:after="0"/>
              <w:rPr>
                <w:sz w:val="22"/>
                <w:szCs w:val="22"/>
                <w:color w:val="auto"/>
              </w:rPr>
            </w:pPr>
          </w:p>
        </w:tc>
        <w:tc>
          <w:tcPr>
            <w:tcW w:w="548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d'élections, le/les nom(s) du/des candidat(s) qui a ou ont été mis</w:t>
            </w:r>
          </w:p>
        </w:tc>
      </w:tr>
      <w:tr>
        <w:trPr>
          <w:trHeight w:val="217"/>
        </w:trPr>
        <w:tc>
          <w:tcPr>
            <w:tcW w:w="554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ballot for election.</w:t>
            </w:r>
          </w:p>
        </w:tc>
        <w:tc>
          <w:tcPr>
            <w:tcW w:w="220" w:type="dxa"/>
            <w:vAlign w:val="bottom"/>
            <w:tcBorders>
              <w:right w:val="single" w:sz="8" w:color="auto"/>
            </w:tcBorders>
          </w:tcPr>
          <w:p>
            <w:pPr>
              <w:spacing w:after="0"/>
              <w:rPr>
                <w:sz w:val="18"/>
                <w:szCs w:val="18"/>
                <w:color w:val="auto"/>
              </w:rPr>
            </w:pPr>
          </w:p>
        </w:tc>
        <w:tc>
          <w:tcPr>
            <w:tcW w:w="548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sur le bulletin de vote pour l'élection.</w:t>
            </w:r>
          </w:p>
        </w:tc>
      </w:tr>
      <w:tr>
        <w:trPr>
          <w:trHeight w:val="54"/>
        </w:trPr>
        <w:tc>
          <w:tcPr>
            <w:tcW w:w="5540" w:type="dxa"/>
            <w:vAlign w:val="bottom"/>
            <w:tcBorders>
              <w:left w:val="single" w:sz="8" w:color="auto"/>
              <w:bottom w:val="single" w:sz="8" w:color="auto"/>
              <w:right w:val="single" w:sz="8" w:color="auto"/>
            </w:tcBorders>
          </w:tcPr>
          <w:p>
            <w:pPr>
              <w:spacing w:after="0"/>
              <w:rPr>
                <w:sz w:val="4"/>
                <w:szCs w:val="4"/>
                <w:color w:val="auto"/>
              </w:rPr>
            </w:pPr>
          </w:p>
        </w:tc>
        <w:tc>
          <w:tcPr>
            <w:tcW w:w="220" w:type="dxa"/>
            <w:vAlign w:val="bottom"/>
            <w:tcBorders>
              <w:bottom w:val="single" w:sz="8" w:color="auto"/>
              <w:right w:val="single" w:sz="8" w:color="auto"/>
            </w:tcBorders>
          </w:tcPr>
          <w:p>
            <w:pPr>
              <w:spacing w:after="0"/>
              <w:rPr>
                <w:sz w:val="4"/>
                <w:szCs w:val="4"/>
                <w:color w:val="auto"/>
              </w:rPr>
            </w:pPr>
          </w:p>
        </w:tc>
        <w:tc>
          <w:tcPr>
            <w:tcW w:w="5480" w:type="dxa"/>
            <w:vAlign w:val="bottom"/>
            <w:tcBorders>
              <w:bottom w:val="single" w:sz="8" w:color="auto"/>
              <w:right w:val="single" w:sz="8" w:color="auto"/>
            </w:tcBorders>
          </w:tcPr>
          <w:p>
            <w:pPr>
              <w:spacing w:after="0"/>
              <w:rPr>
                <w:sz w:val="4"/>
                <w:szCs w:val="4"/>
                <w:color w:val="auto"/>
              </w:rPr>
            </w:pPr>
          </w:p>
        </w:tc>
      </w:tr>
      <w:tr>
        <w:trPr>
          <w:trHeight w:val="263"/>
        </w:trPr>
        <w:tc>
          <w:tcPr>
            <w:tcW w:w="554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The Board of Directors shall state the matters on the agenda.</w:t>
            </w:r>
          </w:p>
        </w:tc>
        <w:tc>
          <w:tcPr>
            <w:tcW w:w="220" w:type="dxa"/>
            <w:vAlign w:val="bottom"/>
            <w:tcBorders>
              <w:right w:val="single" w:sz="8" w:color="auto"/>
            </w:tcBorders>
          </w:tcPr>
          <w:p>
            <w:pPr>
              <w:spacing w:after="0"/>
              <w:rPr>
                <w:sz w:val="22"/>
                <w:szCs w:val="22"/>
                <w:color w:val="auto"/>
              </w:rPr>
            </w:pPr>
          </w:p>
        </w:tc>
        <w:tc>
          <w:tcPr>
            <w:tcW w:w="548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Le conseil d'administration doit indiquer les objets de l'ordre du</w:t>
            </w:r>
          </w:p>
        </w:tc>
      </w:tr>
      <w:tr>
        <w:trPr>
          <w:trHeight w:val="217"/>
        </w:trPr>
        <w:tc>
          <w:tcPr>
            <w:tcW w:w="5540" w:type="dxa"/>
            <w:vAlign w:val="bottom"/>
            <w:tcBorders>
              <w:left w:val="single" w:sz="8" w:color="auto"/>
              <w:right w:val="single" w:sz="8" w:color="auto"/>
            </w:tcBorders>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548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jour.</w:t>
            </w:r>
          </w:p>
        </w:tc>
      </w:tr>
      <w:tr>
        <w:trPr>
          <w:trHeight w:val="54"/>
        </w:trPr>
        <w:tc>
          <w:tcPr>
            <w:tcW w:w="5540" w:type="dxa"/>
            <w:vAlign w:val="bottom"/>
            <w:tcBorders>
              <w:left w:val="single" w:sz="8" w:color="auto"/>
              <w:bottom w:val="single" w:sz="8" w:color="auto"/>
              <w:right w:val="single" w:sz="8" w:color="auto"/>
            </w:tcBorders>
          </w:tcPr>
          <w:p>
            <w:pPr>
              <w:spacing w:after="0"/>
              <w:rPr>
                <w:sz w:val="4"/>
                <w:szCs w:val="4"/>
                <w:color w:val="auto"/>
              </w:rPr>
            </w:pPr>
          </w:p>
        </w:tc>
        <w:tc>
          <w:tcPr>
            <w:tcW w:w="220" w:type="dxa"/>
            <w:vAlign w:val="bottom"/>
            <w:tcBorders>
              <w:bottom w:val="single" w:sz="8" w:color="auto"/>
              <w:right w:val="single" w:sz="8" w:color="auto"/>
            </w:tcBorders>
          </w:tcPr>
          <w:p>
            <w:pPr>
              <w:spacing w:after="0"/>
              <w:rPr>
                <w:sz w:val="4"/>
                <w:szCs w:val="4"/>
                <w:color w:val="auto"/>
              </w:rPr>
            </w:pPr>
          </w:p>
        </w:tc>
        <w:tc>
          <w:tcPr>
            <w:tcW w:w="5480" w:type="dxa"/>
            <w:vAlign w:val="bottom"/>
            <w:tcBorders>
              <w:bottom w:val="single" w:sz="8" w:color="auto"/>
              <w:right w:val="single" w:sz="8" w:color="auto"/>
            </w:tcBorders>
          </w:tcPr>
          <w:p>
            <w:pPr>
              <w:spacing w:after="0"/>
              <w:rPr>
                <w:sz w:val="4"/>
                <w:szCs w:val="4"/>
                <w:color w:val="auto"/>
              </w:rPr>
            </w:pPr>
          </w:p>
        </w:tc>
      </w:tr>
      <w:tr>
        <w:trPr>
          <w:trHeight w:val="263"/>
        </w:trPr>
        <w:tc>
          <w:tcPr>
            <w:tcW w:w="554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Shareholders who represent an aggregate of at least 10 percent of</w:t>
            </w:r>
          </w:p>
        </w:tc>
        <w:tc>
          <w:tcPr>
            <w:tcW w:w="220" w:type="dxa"/>
            <w:vAlign w:val="bottom"/>
            <w:tcBorders>
              <w:right w:val="single" w:sz="8" w:color="auto"/>
            </w:tcBorders>
          </w:tcPr>
          <w:p>
            <w:pPr>
              <w:spacing w:after="0"/>
              <w:rPr>
                <w:sz w:val="22"/>
                <w:szCs w:val="22"/>
                <w:color w:val="auto"/>
              </w:rPr>
            </w:pPr>
          </w:p>
        </w:tc>
        <w:tc>
          <w:tcPr>
            <w:tcW w:w="548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Les actionnaires qui représentent un total d'au moins 10 pour cent</w:t>
            </w:r>
          </w:p>
        </w:tc>
      </w:tr>
      <w:tr>
        <w:trPr>
          <w:trHeight w:val="203"/>
        </w:trPr>
        <w:tc>
          <w:tcPr>
            <w:tcW w:w="5540" w:type="dxa"/>
            <w:vAlign w:val="bottom"/>
            <w:tcBorders>
              <w:left w:val="single" w:sz="8" w:color="auto"/>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the share capital or together representing shares with a nominal</w:t>
            </w:r>
          </w:p>
        </w:tc>
        <w:tc>
          <w:tcPr>
            <w:tcW w:w="22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du  capital-actions  ou  qui  représentent  ensemble  une  valeur</w:t>
            </w:r>
          </w:p>
        </w:tc>
      </w:tr>
      <w:tr>
        <w:trPr>
          <w:trHeight w:val="203"/>
        </w:trPr>
        <w:tc>
          <w:tcPr>
            <w:tcW w:w="5540" w:type="dxa"/>
            <w:vAlign w:val="bottom"/>
            <w:tcBorders>
              <w:left w:val="single" w:sz="8" w:color="auto"/>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value of 1 million Swiss francs may demand that an item be placed</w:t>
            </w:r>
          </w:p>
        </w:tc>
        <w:tc>
          <w:tcPr>
            <w:tcW w:w="22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nominale de CHF 1 million d'actions peuvent exiger qu'un objet</w:t>
            </w:r>
          </w:p>
        </w:tc>
      </w:tr>
      <w:tr>
        <w:trPr>
          <w:trHeight w:val="203"/>
        </w:trPr>
        <w:tc>
          <w:tcPr>
            <w:tcW w:w="5540" w:type="dxa"/>
            <w:vAlign w:val="bottom"/>
            <w:tcBorders>
              <w:left w:val="single" w:sz="8" w:color="auto"/>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on the agenda of a General Meeting of Shareholders. A request for</w:t>
            </w:r>
          </w:p>
        </w:tc>
        <w:tc>
          <w:tcPr>
            <w:tcW w:w="22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soit  inscrit  à  l'ordre  du  jour  d'une  assemblée  générale  des</w:t>
            </w:r>
          </w:p>
        </w:tc>
      </w:tr>
      <w:tr>
        <w:trPr>
          <w:trHeight w:val="203"/>
        </w:trPr>
        <w:tc>
          <w:tcPr>
            <w:tcW w:w="5540" w:type="dxa"/>
            <w:vAlign w:val="bottom"/>
            <w:tcBorders>
              <w:left w:val="single" w:sz="8" w:color="auto"/>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inclusion of an item on the agenda must be requested in writing</w:t>
            </w:r>
          </w:p>
        </w:tc>
        <w:tc>
          <w:tcPr>
            <w:tcW w:w="22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actionnaires. Une demande d'inscription d'un objet à l'ordre du jour</w:t>
            </w:r>
          </w:p>
        </w:tc>
      </w:tr>
      <w:tr>
        <w:trPr>
          <w:trHeight w:val="203"/>
        </w:trPr>
        <w:tc>
          <w:tcPr>
            <w:tcW w:w="5540" w:type="dxa"/>
            <w:vAlign w:val="bottom"/>
            <w:tcBorders>
              <w:left w:val="single" w:sz="8" w:color="auto"/>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delivered to or mailed and received at the registered office of the</w:t>
            </w:r>
          </w:p>
        </w:tc>
        <w:tc>
          <w:tcPr>
            <w:tcW w:w="22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doit être faite par écrit et remise ou envoyée et reçue au siège de</w:t>
            </w:r>
          </w:p>
        </w:tc>
      </w:tr>
      <w:tr>
        <w:trPr>
          <w:trHeight w:val="203"/>
        </w:trPr>
        <w:tc>
          <w:tcPr>
            <w:tcW w:w="5540" w:type="dxa"/>
            <w:vAlign w:val="bottom"/>
            <w:tcBorders>
              <w:left w:val="single" w:sz="8" w:color="auto"/>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Company at least 120 calendar days before the first anniversary of</w:t>
            </w:r>
          </w:p>
        </w:tc>
        <w:tc>
          <w:tcPr>
            <w:tcW w:w="22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la société au moins 120 jours avant le premier anniversaire de la</w:t>
            </w:r>
          </w:p>
        </w:tc>
      </w:tr>
      <w:tr>
        <w:trPr>
          <w:trHeight w:val="203"/>
        </w:trPr>
        <w:tc>
          <w:tcPr>
            <w:tcW w:w="5540" w:type="dxa"/>
            <w:vAlign w:val="bottom"/>
            <w:tcBorders>
              <w:left w:val="single" w:sz="8" w:color="auto"/>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the date that the Company's proxy statement was released to</w:t>
            </w:r>
          </w:p>
        </w:tc>
        <w:tc>
          <w:tcPr>
            <w:tcW w:w="22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date à laquelle la déclaration (proxy statement) de la Société a été</w:t>
            </w:r>
          </w:p>
        </w:tc>
      </w:tr>
      <w:tr>
        <w:trPr>
          <w:trHeight w:val="203"/>
        </w:trPr>
        <w:tc>
          <w:tcPr>
            <w:tcW w:w="5540" w:type="dxa"/>
            <w:vAlign w:val="bottom"/>
            <w:tcBorders>
              <w:left w:val="single" w:sz="8" w:color="auto"/>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shareholders  in  connection  with  the  previous  year's  ordinary</w:t>
            </w:r>
          </w:p>
        </w:tc>
        <w:tc>
          <w:tcPr>
            <w:tcW w:w="22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communiquée  aux  actionnaires  lors  de  l'assemblée  générale</w:t>
            </w:r>
          </w:p>
        </w:tc>
      </w:tr>
      <w:tr>
        <w:trPr>
          <w:trHeight w:val="203"/>
        </w:trPr>
        <w:tc>
          <w:tcPr>
            <w:tcW w:w="5540" w:type="dxa"/>
            <w:vAlign w:val="bottom"/>
            <w:tcBorders>
              <w:left w:val="single" w:sz="8" w:color="auto"/>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General Meeting of Shareholders. However, if no ordinary General</w:t>
            </w:r>
          </w:p>
        </w:tc>
        <w:tc>
          <w:tcPr>
            <w:tcW w:w="22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ordinaire des actionnaires de l'année précédente. Toutefois, si</w:t>
            </w:r>
          </w:p>
        </w:tc>
      </w:tr>
      <w:tr>
        <w:trPr>
          <w:trHeight w:val="203"/>
        </w:trPr>
        <w:tc>
          <w:tcPr>
            <w:tcW w:w="5540" w:type="dxa"/>
            <w:vAlign w:val="bottom"/>
            <w:tcBorders>
              <w:left w:val="single" w:sz="8" w:color="auto"/>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Meeting of Shareholders was held in the previous year or if the</w:t>
            </w:r>
          </w:p>
        </w:tc>
        <w:tc>
          <w:tcPr>
            <w:tcW w:w="22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aucune assemblée générale ordinaire des actionnaires n'a eu lieu</w:t>
            </w:r>
          </w:p>
        </w:tc>
      </w:tr>
      <w:tr>
        <w:trPr>
          <w:trHeight w:val="203"/>
        </w:trPr>
        <w:tc>
          <w:tcPr>
            <w:tcW w:w="5540" w:type="dxa"/>
            <w:vAlign w:val="bottom"/>
            <w:tcBorders>
              <w:left w:val="single" w:sz="8" w:color="auto"/>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date of the ordinary General Meeting of Shareholders has been</w:t>
            </w:r>
          </w:p>
        </w:tc>
        <w:tc>
          <w:tcPr>
            <w:tcW w:w="22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l'année précédente ou si la date de l'assemblée générale ordinaire</w:t>
            </w:r>
          </w:p>
        </w:tc>
      </w:tr>
      <w:tr>
        <w:trPr>
          <w:trHeight w:val="203"/>
        </w:trPr>
        <w:tc>
          <w:tcPr>
            <w:tcW w:w="5540" w:type="dxa"/>
            <w:vAlign w:val="bottom"/>
            <w:tcBorders>
              <w:left w:val="single" w:sz="8" w:color="auto"/>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changed  by  more  than  30  calendar  days  from  the  date</w:t>
            </w:r>
          </w:p>
        </w:tc>
        <w:tc>
          <w:tcPr>
            <w:tcW w:w="22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des actionnaires a été modifiée de plus de 30 jours calendaires à</w:t>
            </w:r>
          </w:p>
        </w:tc>
      </w:tr>
      <w:tr>
        <w:trPr>
          <w:trHeight w:val="203"/>
        </w:trPr>
        <w:tc>
          <w:tcPr>
            <w:tcW w:w="5540" w:type="dxa"/>
            <w:vAlign w:val="bottom"/>
            <w:tcBorders>
              <w:left w:val="single" w:sz="8" w:color="auto"/>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contemplated at the time of the previous year's proxy statement,</w:t>
            </w:r>
          </w:p>
        </w:tc>
        <w:tc>
          <w:tcPr>
            <w:tcW w:w="22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compter de la date prévue au moment de la déclaration (proxy</w:t>
            </w:r>
          </w:p>
        </w:tc>
      </w:tr>
      <w:tr>
        <w:trPr>
          <w:trHeight w:val="203"/>
        </w:trPr>
        <w:tc>
          <w:tcPr>
            <w:tcW w:w="5540" w:type="dxa"/>
            <w:vAlign w:val="bottom"/>
            <w:tcBorders>
              <w:left w:val="single" w:sz="8" w:color="auto"/>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request for inclusion of an item on the agenda must be requested</w:t>
            </w:r>
          </w:p>
        </w:tc>
        <w:tc>
          <w:tcPr>
            <w:tcW w:w="22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statement) de l'année précédente, une demande d'inscription d'un</w:t>
            </w:r>
          </w:p>
        </w:tc>
      </w:tr>
      <w:tr>
        <w:trPr>
          <w:trHeight w:val="203"/>
        </w:trPr>
        <w:tc>
          <w:tcPr>
            <w:tcW w:w="5540" w:type="dxa"/>
            <w:vAlign w:val="bottom"/>
            <w:tcBorders>
              <w:left w:val="single" w:sz="8" w:color="auto"/>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not fewer than the later of (i) 150 calendar days prior to the date of</w:t>
            </w:r>
          </w:p>
        </w:tc>
        <w:tc>
          <w:tcPr>
            <w:tcW w:w="22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objet à l'ordre du jour doit être demandée au moins à la date la</w:t>
            </w:r>
          </w:p>
        </w:tc>
      </w:tr>
      <w:tr>
        <w:trPr>
          <w:trHeight w:val="203"/>
        </w:trPr>
        <w:tc>
          <w:tcPr>
            <w:tcW w:w="5540" w:type="dxa"/>
            <w:vAlign w:val="bottom"/>
            <w:tcBorders>
              <w:left w:val="single" w:sz="8" w:color="auto"/>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the contemplated annual General Meeting or (ii) the date which is</w:t>
            </w:r>
          </w:p>
        </w:tc>
        <w:tc>
          <w:tcPr>
            <w:tcW w:w="22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plus tardive entre (i) 150 jours calendaires avant la date de</w:t>
            </w:r>
          </w:p>
        </w:tc>
      </w:tr>
      <w:tr>
        <w:trPr>
          <w:trHeight w:val="203"/>
        </w:trPr>
        <w:tc>
          <w:tcPr>
            <w:tcW w:w="5540" w:type="dxa"/>
            <w:vAlign w:val="bottom"/>
            <w:tcBorders>
              <w:left w:val="single" w:sz="8" w:color="auto"/>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ten calendar days after the date of the first public announcement or</w:t>
            </w:r>
          </w:p>
        </w:tc>
        <w:tc>
          <w:tcPr>
            <w:tcW w:w="22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l'assemblée générale ordinaire envisagée ou (ii) la date qui est dix</w:t>
            </w:r>
          </w:p>
        </w:tc>
      </w:tr>
      <w:tr>
        <w:trPr>
          <w:trHeight w:val="203"/>
        </w:trPr>
        <w:tc>
          <w:tcPr>
            <w:tcW w:w="5540" w:type="dxa"/>
            <w:vAlign w:val="bottom"/>
            <w:tcBorders>
              <w:left w:val="single" w:sz="8" w:color="auto"/>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other  notification  to  the  shareholders  of  the  date  of  the</w:t>
            </w:r>
          </w:p>
        </w:tc>
        <w:tc>
          <w:tcPr>
            <w:tcW w:w="22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jours calendaires plus tard que la date de la première annonce</w:t>
            </w:r>
          </w:p>
        </w:tc>
      </w:tr>
      <w:tr>
        <w:trPr>
          <w:trHeight w:val="203"/>
        </w:trPr>
        <w:tc>
          <w:tcPr>
            <w:tcW w:w="5540" w:type="dxa"/>
            <w:vAlign w:val="bottom"/>
            <w:tcBorders>
              <w:left w:val="single" w:sz="8" w:color="auto"/>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contemplated  annual  General  Meeting.  To  be  timely  for  an</w:t>
            </w:r>
          </w:p>
        </w:tc>
        <w:tc>
          <w:tcPr>
            <w:tcW w:w="22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publique  ou  autre  notification  aux  actionnaires  de  la  date</w:t>
            </w:r>
          </w:p>
        </w:tc>
      </w:tr>
      <w:tr>
        <w:trPr>
          <w:trHeight w:val="203"/>
        </w:trPr>
        <w:tc>
          <w:tcPr>
            <w:tcW w:w="5540" w:type="dxa"/>
            <w:vAlign w:val="bottom"/>
            <w:tcBorders>
              <w:left w:val="single" w:sz="8" w:color="auto"/>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extraordinary  General  Meeting,  a  shareholder's  notice  to  the</w:t>
            </w:r>
          </w:p>
        </w:tc>
        <w:tc>
          <w:tcPr>
            <w:tcW w:w="22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envisagée de l'assemblée générale ordinaire. Pour être dans les</w:t>
            </w:r>
          </w:p>
        </w:tc>
      </w:tr>
      <w:tr>
        <w:trPr>
          <w:trHeight w:val="203"/>
        </w:trPr>
        <w:tc>
          <w:tcPr>
            <w:tcW w:w="5540" w:type="dxa"/>
            <w:vAlign w:val="bottom"/>
            <w:tcBorders>
              <w:left w:val="single" w:sz="8" w:color="auto"/>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Secretary must be delivered to or mailed and received at the</w:t>
            </w:r>
          </w:p>
        </w:tc>
        <w:tc>
          <w:tcPr>
            <w:tcW w:w="22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délais pour une assemblée générale extraordinaire, l'avis d'un</w:t>
            </w:r>
          </w:p>
        </w:tc>
      </w:tr>
      <w:tr>
        <w:trPr>
          <w:trHeight w:val="203"/>
        </w:trPr>
        <w:tc>
          <w:tcPr>
            <w:tcW w:w="5540" w:type="dxa"/>
            <w:vAlign w:val="bottom"/>
            <w:tcBorders>
              <w:left w:val="single" w:sz="8" w:color="auto"/>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registered office of the Company not fewer than the later of (i) 120</w:t>
            </w:r>
          </w:p>
        </w:tc>
        <w:tc>
          <w:tcPr>
            <w:tcW w:w="22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actionnaire au secrétaire doit être livré ou envoyé et reçu au siège</w:t>
            </w:r>
          </w:p>
        </w:tc>
      </w:tr>
      <w:tr>
        <w:trPr>
          <w:trHeight w:val="203"/>
        </w:trPr>
        <w:tc>
          <w:tcPr>
            <w:tcW w:w="5540" w:type="dxa"/>
            <w:vAlign w:val="bottom"/>
            <w:tcBorders>
              <w:left w:val="single" w:sz="8" w:color="auto"/>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calendar  days  before  the  date  of  the  extraordinary  General</w:t>
            </w:r>
          </w:p>
        </w:tc>
        <w:tc>
          <w:tcPr>
            <w:tcW w:w="22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de la société au moins à la date la plus tardive entre (i) 120 jours</w:t>
            </w:r>
          </w:p>
        </w:tc>
      </w:tr>
      <w:tr>
        <w:trPr>
          <w:trHeight w:val="203"/>
        </w:trPr>
        <w:tc>
          <w:tcPr>
            <w:tcW w:w="5540" w:type="dxa"/>
            <w:vAlign w:val="bottom"/>
            <w:tcBorders>
              <w:left w:val="single" w:sz="8" w:color="auto"/>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Meeting of Shareholders or (ii) the date which is ten calendar days</w:t>
            </w:r>
          </w:p>
        </w:tc>
        <w:tc>
          <w:tcPr>
            <w:tcW w:w="22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calendaires avant la date de l'assemblée générale extraordinaire</w:t>
            </w:r>
          </w:p>
        </w:tc>
      </w:tr>
      <w:tr>
        <w:trPr>
          <w:trHeight w:val="203"/>
        </w:trPr>
        <w:tc>
          <w:tcPr>
            <w:tcW w:w="5540" w:type="dxa"/>
            <w:vAlign w:val="bottom"/>
            <w:tcBorders>
              <w:left w:val="single" w:sz="8" w:color="auto"/>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after the date of the first public announcement or other notification</w:t>
            </w:r>
          </w:p>
        </w:tc>
        <w:tc>
          <w:tcPr>
            <w:tcW w:w="22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des actionnaires ou (ii) la date qui est dix jours calendaires plus</w:t>
            </w:r>
          </w:p>
        </w:tc>
      </w:tr>
      <w:tr>
        <w:trPr>
          <w:trHeight w:val="203"/>
        </w:trPr>
        <w:tc>
          <w:tcPr>
            <w:tcW w:w="5540" w:type="dxa"/>
            <w:vAlign w:val="bottom"/>
            <w:tcBorders>
              <w:left w:val="single" w:sz="8" w:color="auto"/>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to the shareholders of the date of the contemplated extraordinary</w:t>
            </w:r>
          </w:p>
        </w:tc>
        <w:tc>
          <w:tcPr>
            <w:tcW w:w="22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tard que la date de la première annonce publique ou autre</w:t>
            </w:r>
          </w:p>
        </w:tc>
      </w:tr>
      <w:tr>
        <w:trPr>
          <w:trHeight w:val="217"/>
        </w:trPr>
        <w:tc>
          <w:tcPr>
            <w:tcW w:w="554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General Meeting of Shareholders.</w:t>
            </w:r>
          </w:p>
        </w:tc>
        <w:tc>
          <w:tcPr>
            <w:tcW w:w="220" w:type="dxa"/>
            <w:vAlign w:val="bottom"/>
            <w:tcBorders>
              <w:right w:val="single" w:sz="8" w:color="auto"/>
            </w:tcBorders>
          </w:tcPr>
          <w:p>
            <w:pPr>
              <w:spacing w:after="0"/>
              <w:rPr>
                <w:sz w:val="18"/>
                <w:szCs w:val="18"/>
                <w:color w:val="auto"/>
              </w:rPr>
            </w:pPr>
          </w:p>
        </w:tc>
        <w:tc>
          <w:tcPr>
            <w:tcW w:w="548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notification aux actionnaires de la date envisagée de</w:t>
            </w:r>
          </w:p>
        </w:tc>
      </w:tr>
      <w:tr>
        <w:trPr>
          <w:trHeight w:val="54"/>
        </w:trPr>
        <w:tc>
          <w:tcPr>
            <w:tcW w:w="5540" w:type="dxa"/>
            <w:vAlign w:val="bottom"/>
            <w:tcBorders>
              <w:left w:val="single" w:sz="8" w:color="auto"/>
              <w:bottom w:val="single" w:sz="8" w:color="auto"/>
              <w:right w:val="single" w:sz="8" w:color="auto"/>
            </w:tcBorders>
          </w:tcPr>
          <w:p>
            <w:pPr>
              <w:spacing w:after="0"/>
              <w:rPr>
                <w:sz w:val="4"/>
                <w:szCs w:val="4"/>
                <w:color w:val="auto"/>
              </w:rPr>
            </w:pPr>
          </w:p>
        </w:tc>
        <w:tc>
          <w:tcPr>
            <w:tcW w:w="220" w:type="dxa"/>
            <w:vAlign w:val="bottom"/>
            <w:tcBorders>
              <w:bottom w:val="single" w:sz="8" w:color="auto"/>
              <w:right w:val="single" w:sz="8" w:color="auto"/>
            </w:tcBorders>
          </w:tcPr>
          <w:p>
            <w:pPr>
              <w:spacing w:after="0"/>
              <w:rPr>
                <w:sz w:val="4"/>
                <w:szCs w:val="4"/>
                <w:color w:val="auto"/>
              </w:rPr>
            </w:pPr>
          </w:p>
        </w:tc>
        <w:tc>
          <w:tcPr>
            <w:tcW w:w="5480" w:type="dxa"/>
            <w:vAlign w:val="bottom"/>
            <w:tcBorders>
              <w:bottom w:val="single" w:sz="8" w:color="auto"/>
              <w:right w:val="single" w:sz="8" w:color="auto"/>
            </w:tcBorders>
          </w:tcPr>
          <w:p>
            <w:pPr>
              <w:spacing w:after="0"/>
              <w:rPr>
                <w:sz w:val="4"/>
                <w:szCs w:val="4"/>
                <w:color w:val="auto"/>
              </w:rPr>
            </w:pPr>
          </w:p>
        </w:tc>
      </w:tr>
      <w:tr>
        <w:trPr>
          <w:trHeight w:val="453"/>
        </w:trPr>
        <w:tc>
          <w:tcPr>
            <w:tcW w:w="55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54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249" w:right="339" w:bottom="1440" w:gutter="0" w:footer="0" w:header="0"/>
        </w:sectPr>
      </w:pPr>
    </w:p>
    <w:bookmarkStart w:id="50" w:name="page51"/>
    <w:bookmarkEnd w:id="50"/>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187"/>
        </w:trPr>
        <w:tc>
          <w:tcPr>
            <w:tcW w:w="554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5480" w:type="dxa"/>
            <w:vAlign w:val="bottom"/>
            <w:tcBorders>
              <w:bottom w:val="single" w:sz="8" w:color="auto"/>
            </w:tcBorders>
          </w:tcPr>
          <w:p>
            <w:pPr>
              <w:ind w:left="5260"/>
              <w:spacing w:after="0"/>
              <w:rPr>
                <w:sz w:val="20"/>
                <w:szCs w:val="20"/>
                <w:color w:val="auto"/>
              </w:rPr>
            </w:pPr>
            <w:r>
              <w:rPr>
                <w:rFonts w:ascii="Arial" w:cs="Arial" w:eastAsia="Arial" w:hAnsi="Arial"/>
                <w:sz w:val="16"/>
                <w:szCs w:val="16"/>
                <w:color w:val="auto"/>
              </w:rPr>
              <w:t>12</w:t>
            </w:r>
          </w:p>
        </w:tc>
      </w:tr>
      <w:tr>
        <w:trPr>
          <w:trHeight w:val="277"/>
        </w:trPr>
        <w:tc>
          <w:tcPr>
            <w:tcW w:w="5540" w:type="dxa"/>
            <w:vAlign w:val="bottom"/>
            <w:tcBorders>
              <w:left w:val="single" w:sz="8" w:color="auto"/>
              <w:right w:val="single" w:sz="8" w:color="auto"/>
            </w:tcBorders>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548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l'assemblée générale extraordinaire des actionnaires.</w:t>
            </w:r>
          </w:p>
        </w:tc>
      </w:tr>
      <w:tr>
        <w:trPr>
          <w:trHeight w:val="54"/>
        </w:trPr>
        <w:tc>
          <w:tcPr>
            <w:tcW w:w="5540" w:type="dxa"/>
            <w:vAlign w:val="bottom"/>
            <w:tcBorders>
              <w:left w:val="single" w:sz="8" w:color="auto"/>
              <w:bottom w:val="single" w:sz="8" w:color="auto"/>
              <w:right w:val="single" w:sz="8" w:color="auto"/>
            </w:tcBorders>
          </w:tcPr>
          <w:p>
            <w:pPr>
              <w:spacing w:after="0"/>
              <w:rPr>
                <w:sz w:val="4"/>
                <w:szCs w:val="4"/>
                <w:color w:val="auto"/>
              </w:rPr>
            </w:pPr>
          </w:p>
        </w:tc>
        <w:tc>
          <w:tcPr>
            <w:tcW w:w="220" w:type="dxa"/>
            <w:vAlign w:val="bottom"/>
            <w:tcBorders>
              <w:bottom w:val="single" w:sz="8" w:color="auto"/>
              <w:right w:val="single" w:sz="8" w:color="auto"/>
            </w:tcBorders>
          </w:tcPr>
          <w:p>
            <w:pPr>
              <w:spacing w:after="0"/>
              <w:rPr>
                <w:sz w:val="4"/>
                <w:szCs w:val="4"/>
                <w:color w:val="auto"/>
              </w:rPr>
            </w:pPr>
          </w:p>
        </w:tc>
        <w:tc>
          <w:tcPr>
            <w:tcW w:w="5480" w:type="dxa"/>
            <w:vAlign w:val="bottom"/>
            <w:tcBorders>
              <w:bottom w:val="single" w:sz="8" w:color="auto"/>
              <w:right w:val="single" w:sz="8" w:color="auto"/>
            </w:tcBorders>
          </w:tcPr>
          <w:p>
            <w:pPr>
              <w:spacing w:after="0"/>
              <w:rPr>
                <w:sz w:val="4"/>
                <w:szCs w:val="4"/>
                <w:color w:val="auto"/>
              </w:rPr>
            </w:pPr>
          </w:p>
        </w:tc>
      </w:tr>
      <w:tr>
        <w:trPr>
          <w:trHeight w:val="263"/>
        </w:trPr>
        <w:tc>
          <w:tcPr>
            <w:tcW w:w="554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Each request for inclusion of an item on the agenda must include</w:t>
            </w:r>
          </w:p>
        </w:tc>
        <w:tc>
          <w:tcPr>
            <w:tcW w:w="220" w:type="dxa"/>
            <w:vAlign w:val="bottom"/>
            <w:tcBorders>
              <w:right w:val="single" w:sz="8" w:color="auto"/>
            </w:tcBorders>
          </w:tcPr>
          <w:p>
            <w:pPr>
              <w:spacing w:after="0"/>
              <w:rPr>
                <w:sz w:val="22"/>
                <w:szCs w:val="22"/>
                <w:color w:val="auto"/>
              </w:rPr>
            </w:pPr>
          </w:p>
        </w:tc>
        <w:tc>
          <w:tcPr>
            <w:tcW w:w="548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Chaque demande d'inscription d'un objet à l'ordre du jour doit</w:t>
            </w:r>
          </w:p>
        </w:tc>
      </w:tr>
      <w:tr>
        <w:trPr>
          <w:trHeight w:val="203"/>
        </w:trPr>
        <w:tc>
          <w:tcPr>
            <w:tcW w:w="5540" w:type="dxa"/>
            <w:vAlign w:val="bottom"/>
            <w:tcBorders>
              <w:left w:val="single" w:sz="8" w:color="auto"/>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(i) a brief description of the business desired to be brought before</w:t>
            </w:r>
          </w:p>
        </w:tc>
        <w:tc>
          <w:tcPr>
            <w:tcW w:w="22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inclure (i) une brève description de l'affaire qui sera soumise à</w:t>
            </w:r>
          </w:p>
        </w:tc>
      </w:tr>
      <w:tr>
        <w:trPr>
          <w:trHeight w:val="203"/>
        </w:trPr>
        <w:tc>
          <w:tcPr>
            <w:tcW w:w="5540" w:type="dxa"/>
            <w:vAlign w:val="bottom"/>
            <w:tcBorders>
              <w:left w:val="single" w:sz="8" w:color="auto"/>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the meeting and the reasons for conducting such business at the</w:t>
            </w:r>
          </w:p>
        </w:tc>
        <w:tc>
          <w:tcPr>
            <w:tcW w:w="22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l'assemblée et les raisons pour lesquelles cette affaire est soumise</w:t>
            </w:r>
          </w:p>
        </w:tc>
      </w:tr>
      <w:tr>
        <w:trPr>
          <w:trHeight w:val="203"/>
        </w:trPr>
        <w:tc>
          <w:tcPr>
            <w:tcW w:w="5540" w:type="dxa"/>
            <w:vAlign w:val="bottom"/>
            <w:tcBorders>
              <w:left w:val="single" w:sz="8" w:color="auto"/>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meeting;  (ii)  the  name  and  address,  as  they  appear  on  the</w:t>
            </w:r>
          </w:p>
        </w:tc>
        <w:tc>
          <w:tcPr>
            <w:tcW w:w="22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à l'assemblée; (ii) le nom et l'adresse, tels qu'ils apparaissent dans</w:t>
            </w:r>
          </w:p>
        </w:tc>
      </w:tr>
      <w:tr>
        <w:trPr>
          <w:trHeight w:val="203"/>
        </w:trPr>
        <w:tc>
          <w:tcPr>
            <w:tcW w:w="5540" w:type="dxa"/>
            <w:vAlign w:val="bottom"/>
            <w:tcBorders>
              <w:left w:val="single" w:sz="8" w:color="auto"/>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Company's register of shareholders, of the shareholder proposing</w:t>
            </w:r>
          </w:p>
        </w:tc>
        <w:tc>
          <w:tcPr>
            <w:tcW w:w="22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le registre des actionnaires de la société, de l'/des actionnaire(s)</w:t>
            </w:r>
          </w:p>
        </w:tc>
      </w:tr>
      <w:tr>
        <w:trPr>
          <w:trHeight w:val="203"/>
        </w:trPr>
        <w:tc>
          <w:tcPr>
            <w:tcW w:w="5540" w:type="dxa"/>
            <w:vAlign w:val="bottom"/>
            <w:tcBorders>
              <w:left w:val="single" w:sz="8" w:color="auto"/>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such business; (iii) the number of shares of the Company which</w:t>
            </w:r>
          </w:p>
        </w:tc>
        <w:tc>
          <w:tcPr>
            <w:tcW w:w="22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proposant un tel objet; (iii) le nombre d'actions de la société</w:t>
            </w:r>
          </w:p>
        </w:tc>
      </w:tr>
      <w:tr>
        <w:trPr>
          <w:trHeight w:val="203"/>
        </w:trPr>
        <w:tc>
          <w:tcPr>
            <w:tcW w:w="5540" w:type="dxa"/>
            <w:vAlign w:val="bottom"/>
            <w:tcBorders>
              <w:left w:val="single" w:sz="8" w:color="auto"/>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are beneficially owned by such shareholder; (iv) the dates upon</w:t>
            </w:r>
          </w:p>
        </w:tc>
        <w:tc>
          <w:tcPr>
            <w:tcW w:w="22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effectivement détenues par (un) tel(s) actionnaire(s); (iv) les dates</w:t>
            </w:r>
          </w:p>
        </w:tc>
      </w:tr>
      <w:tr>
        <w:trPr>
          <w:trHeight w:val="203"/>
        </w:trPr>
        <w:tc>
          <w:tcPr>
            <w:tcW w:w="5540" w:type="dxa"/>
            <w:vAlign w:val="bottom"/>
            <w:tcBorders>
              <w:left w:val="single" w:sz="8" w:color="auto"/>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which the shareholder acquired such shares; (v) documentary</w:t>
            </w:r>
          </w:p>
        </w:tc>
        <w:tc>
          <w:tcPr>
            <w:tcW w:w="22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auxquelles l'/les actionnaire(s) a/ont acquis ces actions; (v) l'appui</w:t>
            </w:r>
          </w:p>
        </w:tc>
      </w:tr>
      <w:tr>
        <w:trPr>
          <w:trHeight w:val="203"/>
        </w:trPr>
        <w:tc>
          <w:tcPr>
            <w:tcW w:w="5540" w:type="dxa"/>
            <w:vAlign w:val="bottom"/>
            <w:tcBorders>
              <w:left w:val="single" w:sz="8" w:color="auto"/>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support for any claim of beneficial ownership; (vi) any material</w:t>
            </w:r>
          </w:p>
        </w:tc>
        <w:tc>
          <w:tcPr>
            <w:tcW w:w="22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documentaire pour toute revendication de propriété effective; (vi)</w:t>
            </w:r>
          </w:p>
        </w:tc>
      </w:tr>
      <w:tr>
        <w:trPr>
          <w:trHeight w:val="203"/>
        </w:trPr>
        <w:tc>
          <w:tcPr>
            <w:tcW w:w="5540" w:type="dxa"/>
            <w:vAlign w:val="bottom"/>
            <w:tcBorders>
              <w:left w:val="single" w:sz="8" w:color="auto"/>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interest of such shareholder in such business; and (vii) a statement</w:t>
            </w:r>
          </w:p>
        </w:tc>
        <w:tc>
          <w:tcPr>
            <w:tcW w:w="22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un intérêt important de cet/ces actionnaire(s) par rapport à cet</w:t>
            </w:r>
          </w:p>
        </w:tc>
      </w:tr>
      <w:tr>
        <w:trPr>
          <w:trHeight w:val="203"/>
        </w:trPr>
        <w:tc>
          <w:tcPr>
            <w:tcW w:w="5540" w:type="dxa"/>
            <w:vAlign w:val="bottom"/>
            <w:tcBorders>
              <w:left w:val="single" w:sz="8" w:color="auto"/>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in support of the matter and, for proposals sought to be included in</w:t>
            </w:r>
          </w:p>
        </w:tc>
        <w:tc>
          <w:tcPr>
            <w:tcW w:w="22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objet; et (vii) une déclaration à l'appui de cet objet et, pour les</w:t>
            </w:r>
          </w:p>
        </w:tc>
      </w:tr>
      <w:tr>
        <w:trPr>
          <w:trHeight w:val="203"/>
        </w:trPr>
        <w:tc>
          <w:tcPr>
            <w:tcW w:w="5540" w:type="dxa"/>
            <w:vAlign w:val="bottom"/>
            <w:tcBorders>
              <w:left w:val="single" w:sz="8" w:color="auto"/>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the Company's proxy statement, any other information required by</w:t>
            </w:r>
          </w:p>
        </w:tc>
        <w:tc>
          <w:tcPr>
            <w:tcW w:w="22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propositions  devant  être  incluses  dans  la  déclaration  (proxy</w:t>
            </w:r>
          </w:p>
        </w:tc>
      </w:tr>
      <w:tr>
        <w:trPr>
          <w:trHeight w:val="203"/>
        </w:trPr>
        <w:tc>
          <w:tcPr>
            <w:tcW w:w="5540" w:type="dxa"/>
            <w:vAlign w:val="bottom"/>
            <w:tcBorders>
              <w:left w:val="single" w:sz="8" w:color="auto"/>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Securities and Exchange Commission Rule "14a-8".</w:t>
            </w:r>
          </w:p>
        </w:tc>
        <w:tc>
          <w:tcPr>
            <w:tcW w:w="22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statement) de la société, toute autre information requise par la</w:t>
            </w:r>
          </w:p>
        </w:tc>
      </w:tr>
      <w:tr>
        <w:trPr>
          <w:trHeight w:val="217"/>
        </w:trPr>
        <w:tc>
          <w:tcPr>
            <w:tcW w:w="5540" w:type="dxa"/>
            <w:vAlign w:val="bottom"/>
            <w:tcBorders>
              <w:left w:val="single" w:sz="8" w:color="auto"/>
              <w:right w:val="single" w:sz="8" w:color="auto"/>
            </w:tcBorders>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548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Securities and Exchange Commission règle "14a-8".</w:t>
            </w:r>
          </w:p>
        </w:tc>
      </w:tr>
      <w:tr>
        <w:trPr>
          <w:trHeight w:val="54"/>
        </w:trPr>
        <w:tc>
          <w:tcPr>
            <w:tcW w:w="5540" w:type="dxa"/>
            <w:vAlign w:val="bottom"/>
            <w:tcBorders>
              <w:left w:val="single" w:sz="8" w:color="auto"/>
              <w:bottom w:val="single" w:sz="8" w:color="auto"/>
              <w:right w:val="single" w:sz="8" w:color="auto"/>
            </w:tcBorders>
          </w:tcPr>
          <w:p>
            <w:pPr>
              <w:spacing w:after="0"/>
              <w:rPr>
                <w:sz w:val="4"/>
                <w:szCs w:val="4"/>
                <w:color w:val="auto"/>
              </w:rPr>
            </w:pPr>
          </w:p>
        </w:tc>
        <w:tc>
          <w:tcPr>
            <w:tcW w:w="220" w:type="dxa"/>
            <w:vAlign w:val="bottom"/>
            <w:tcBorders>
              <w:bottom w:val="single" w:sz="8" w:color="auto"/>
              <w:right w:val="single" w:sz="8" w:color="auto"/>
            </w:tcBorders>
          </w:tcPr>
          <w:p>
            <w:pPr>
              <w:spacing w:after="0"/>
              <w:rPr>
                <w:sz w:val="4"/>
                <w:szCs w:val="4"/>
                <w:color w:val="auto"/>
              </w:rPr>
            </w:pPr>
          </w:p>
        </w:tc>
        <w:tc>
          <w:tcPr>
            <w:tcW w:w="5480" w:type="dxa"/>
            <w:vAlign w:val="bottom"/>
            <w:tcBorders>
              <w:bottom w:val="single" w:sz="8" w:color="auto"/>
              <w:right w:val="single" w:sz="8" w:color="auto"/>
            </w:tcBorders>
          </w:tcPr>
          <w:p>
            <w:pPr>
              <w:spacing w:after="0"/>
              <w:rPr>
                <w:sz w:val="4"/>
                <w:szCs w:val="4"/>
                <w:color w:val="auto"/>
              </w:rPr>
            </w:pPr>
          </w:p>
        </w:tc>
      </w:tr>
      <w:tr>
        <w:trPr>
          <w:trHeight w:val="263"/>
        </w:trPr>
        <w:tc>
          <w:tcPr>
            <w:tcW w:w="554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In addition, if the shareholder intends to solicit proxies from the</w:t>
            </w:r>
          </w:p>
        </w:tc>
        <w:tc>
          <w:tcPr>
            <w:tcW w:w="220" w:type="dxa"/>
            <w:vAlign w:val="bottom"/>
            <w:tcBorders>
              <w:right w:val="single" w:sz="8" w:color="auto"/>
            </w:tcBorders>
          </w:tcPr>
          <w:p>
            <w:pPr>
              <w:spacing w:after="0"/>
              <w:rPr>
                <w:sz w:val="22"/>
                <w:szCs w:val="22"/>
                <w:color w:val="auto"/>
              </w:rPr>
            </w:pPr>
          </w:p>
        </w:tc>
        <w:tc>
          <w:tcPr>
            <w:tcW w:w="548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En  outre,  si  un  actionnaire  a  l'intention  de  solliciter  des</w:t>
            </w:r>
          </w:p>
        </w:tc>
      </w:tr>
      <w:tr>
        <w:trPr>
          <w:trHeight w:val="203"/>
        </w:trPr>
        <w:tc>
          <w:tcPr>
            <w:tcW w:w="5540" w:type="dxa"/>
            <w:vAlign w:val="bottom"/>
            <w:tcBorders>
              <w:left w:val="single" w:sz="8" w:color="auto"/>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shareholders of the Company, such shareholder shall notify the</w:t>
            </w:r>
          </w:p>
        </w:tc>
        <w:tc>
          <w:tcPr>
            <w:tcW w:w="22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procurations des actionnaires de la société, cet actionnaire doit en</w:t>
            </w:r>
          </w:p>
        </w:tc>
      </w:tr>
      <w:tr>
        <w:trPr>
          <w:trHeight w:val="203"/>
        </w:trPr>
        <w:tc>
          <w:tcPr>
            <w:tcW w:w="5540" w:type="dxa"/>
            <w:vAlign w:val="bottom"/>
            <w:tcBorders>
              <w:left w:val="single" w:sz="8" w:color="auto"/>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Company  of  this  intent  in  accordance  with  Securities  and</w:t>
            </w:r>
          </w:p>
        </w:tc>
        <w:tc>
          <w:tcPr>
            <w:tcW w:w="22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informer la société conformément aux dispositions de la Securities</w:t>
            </w:r>
          </w:p>
        </w:tc>
      </w:tr>
      <w:tr>
        <w:trPr>
          <w:trHeight w:val="217"/>
        </w:trPr>
        <w:tc>
          <w:tcPr>
            <w:tcW w:w="554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Exchange Commission Rule "14a-4" and/or Rule "14a-8".</w:t>
            </w:r>
          </w:p>
        </w:tc>
        <w:tc>
          <w:tcPr>
            <w:tcW w:w="220" w:type="dxa"/>
            <w:vAlign w:val="bottom"/>
            <w:tcBorders>
              <w:right w:val="single" w:sz="8" w:color="auto"/>
            </w:tcBorders>
          </w:tcPr>
          <w:p>
            <w:pPr>
              <w:spacing w:after="0"/>
              <w:rPr>
                <w:sz w:val="18"/>
                <w:szCs w:val="18"/>
                <w:color w:val="auto"/>
              </w:rPr>
            </w:pPr>
          </w:p>
        </w:tc>
        <w:tc>
          <w:tcPr>
            <w:tcW w:w="548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and Exchange Commission règle "14a-4" et "14a-8".</w:t>
            </w:r>
          </w:p>
        </w:tc>
      </w:tr>
      <w:tr>
        <w:trPr>
          <w:trHeight w:val="54"/>
        </w:trPr>
        <w:tc>
          <w:tcPr>
            <w:tcW w:w="5540" w:type="dxa"/>
            <w:vAlign w:val="bottom"/>
            <w:tcBorders>
              <w:left w:val="single" w:sz="8" w:color="auto"/>
              <w:bottom w:val="single" w:sz="8" w:color="auto"/>
              <w:right w:val="single" w:sz="8" w:color="auto"/>
            </w:tcBorders>
          </w:tcPr>
          <w:p>
            <w:pPr>
              <w:spacing w:after="0"/>
              <w:rPr>
                <w:sz w:val="4"/>
                <w:szCs w:val="4"/>
                <w:color w:val="auto"/>
              </w:rPr>
            </w:pPr>
          </w:p>
        </w:tc>
        <w:tc>
          <w:tcPr>
            <w:tcW w:w="220" w:type="dxa"/>
            <w:vAlign w:val="bottom"/>
            <w:tcBorders>
              <w:bottom w:val="single" w:sz="8" w:color="auto"/>
              <w:right w:val="single" w:sz="8" w:color="auto"/>
            </w:tcBorders>
          </w:tcPr>
          <w:p>
            <w:pPr>
              <w:spacing w:after="0"/>
              <w:rPr>
                <w:sz w:val="4"/>
                <w:szCs w:val="4"/>
                <w:color w:val="auto"/>
              </w:rPr>
            </w:pPr>
          </w:p>
        </w:tc>
        <w:tc>
          <w:tcPr>
            <w:tcW w:w="5480" w:type="dxa"/>
            <w:vAlign w:val="bottom"/>
            <w:tcBorders>
              <w:bottom w:val="single" w:sz="8" w:color="auto"/>
              <w:right w:val="single" w:sz="8" w:color="auto"/>
            </w:tcBorders>
          </w:tcPr>
          <w:p>
            <w:pPr>
              <w:spacing w:after="0"/>
              <w:rPr>
                <w:sz w:val="4"/>
                <w:szCs w:val="4"/>
                <w:color w:val="auto"/>
              </w:rPr>
            </w:pPr>
          </w:p>
        </w:tc>
      </w:tr>
      <w:tr>
        <w:trPr>
          <w:trHeight w:val="263"/>
        </w:trPr>
        <w:tc>
          <w:tcPr>
            <w:tcW w:w="554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No  resolution  may  be  passed  at  a  General  Meeting  of</w:t>
            </w:r>
          </w:p>
        </w:tc>
        <w:tc>
          <w:tcPr>
            <w:tcW w:w="220" w:type="dxa"/>
            <w:vAlign w:val="bottom"/>
            <w:tcBorders>
              <w:right w:val="single" w:sz="8" w:color="auto"/>
            </w:tcBorders>
          </w:tcPr>
          <w:p>
            <w:pPr>
              <w:spacing w:after="0"/>
              <w:rPr>
                <w:sz w:val="22"/>
                <w:szCs w:val="22"/>
                <w:color w:val="auto"/>
              </w:rPr>
            </w:pPr>
          </w:p>
        </w:tc>
        <w:tc>
          <w:tcPr>
            <w:tcW w:w="548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Aucune décision ne peut être adoptée lors d'une assemblée</w:t>
            </w:r>
          </w:p>
        </w:tc>
      </w:tr>
      <w:tr>
        <w:trPr>
          <w:trHeight w:val="203"/>
        </w:trPr>
        <w:tc>
          <w:tcPr>
            <w:tcW w:w="5540" w:type="dxa"/>
            <w:vAlign w:val="bottom"/>
            <w:tcBorders>
              <w:left w:val="single" w:sz="8" w:color="auto"/>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Shareholders concerning an item in relation to which due notice</w:t>
            </w:r>
          </w:p>
        </w:tc>
        <w:tc>
          <w:tcPr>
            <w:tcW w:w="22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générale des actionnaires si un objet n'a pas été inscrit à l'ordre du</w:t>
            </w:r>
          </w:p>
        </w:tc>
      </w:tr>
      <w:tr>
        <w:trPr>
          <w:trHeight w:val="203"/>
        </w:trPr>
        <w:tc>
          <w:tcPr>
            <w:tcW w:w="5540" w:type="dxa"/>
            <w:vAlign w:val="bottom"/>
            <w:tcBorders>
              <w:left w:val="single" w:sz="8" w:color="auto"/>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was not given. Proposals made during a General Meeting of</w:t>
            </w:r>
          </w:p>
        </w:tc>
        <w:tc>
          <w:tcPr>
            <w:tcW w:w="22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jour dans le délai de préavis. Les propositions faites au cours</w:t>
            </w:r>
          </w:p>
        </w:tc>
      </w:tr>
      <w:tr>
        <w:trPr>
          <w:trHeight w:val="203"/>
        </w:trPr>
        <w:tc>
          <w:tcPr>
            <w:tcW w:w="5540" w:type="dxa"/>
            <w:vAlign w:val="bottom"/>
            <w:tcBorders>
              <w:left w:val="single" w:sz="8" w:color="auto"/>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Shareholders to (i) convene a extraordinary General Meeting or (ii)</w:t>
            </w:r>
          </w:p>
        </w:tc>
        <w:tc>
          <w:tcPr>
            <w:tcW w:w="22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d'une assemblée générale des actionnaires pour (i) convoquer une</w:t>
            </w:r>
          </w:p>
        </w:tc>
      </w:tr>
      <w:tr>
        <w:trPr>
          <w:trHeight w:val="203"/>
        </w:trPr>
        <w:tc>
          <w:tcPr>
            <w:tcW w:w="5540" w:type="dxa"/>
            <w:vAlign w:val="bottom"/>
            <w:tcBorders>
              <w:left w:val="single" w:sz="8" w:color="auto"/>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initiate a special investigation in accordance with article 697a of</w:t>
            </w:r>
          </w:p>
        </w:tc>
        <w:tc>
          <w:tcPr>
            <w:tcW w:w="22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assemblée générale extraordinaire ou (ii) instituer un contrôle</w:t>
            </w:r>
          </w:p>
        </w:tc>
      </w:tr>
      <w:tr>
        <w:trPr>
          <w:trHeight w:val="203"/>
        </w:trPr>
        <w:tc>
          <w:tcPr>
            <w:tcW w:w="5540" w:type="dxa"/>
            <w:vAlign w:val="bottom"/>
            <w:tcBorders>
              <w:left w:val="single" w:sz="8" w:color="auto"/>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the Swiss Code of Obligations are not subject to the due notice</w:t>
            </w:r>
          </w:p>
        </w:tc>
        <w:tc>
          <w:tcPr>
            <w:tcW w:w="22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spécial au sens de l'article 697a CO ne sont pas soumises à</w:t>
            </w:r>
          </w:p>
        </w:tc>
      </w:tr>
      <w:tr>
        <w:trPr>
          <w:trHeight w:val="217"/>
        </w:trPr>
        <w:tc>
          <w:tcPr>
            <w:tcW w:w="554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requirement set forth herein.</w:t>
            </w:r>
          </w:p>
        </w:tc>
        <w:tc>
          <w:tcPr>
            <w:tcW w:w="220" w:type="dxa"/>
            <w:vAlign w:val="bottom"/>
            <w:tcBorders>
              <w:right w:val="single" w:sz="8" w:color="auto"/>
            </w:tcBorders>
          </w:tcPr>
          <w:p>
            <w:pPr>
              <w:spacing w:after="0"/>
              <w:rPr>
                <w:sz w:val="18"/>
                <w:szCs w:val="18"/>
                <w:color w:val="auto"/>
              </w:rPr>
            </w:pPr>
          </w:p>
        </w:tc>
        <w:tc>
          <w:tcPr>
            <w:tcW w:w="548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l'obligation d'inscription prévue dans ces statuts.</w:t>
            </w:r>
          </w:p>
        </w:tc>
      </w:tr>
      <w:tr>
        <w:trPr>
          <w:trHeight w:val="54"/>
        </w:trPr>
        <w:tc>
          <w:tcPr>
            <w:tcW w:w="5540" w:type="dxa"/>
            <w:vAlign w:val="bottom"/>
            <w:tcBorders>
              <w:left w:val="single" w:sz="8" w:color="auto"/>
              <w:bottom w:val="single" w:sz="8" w:color="auto"/>
              <w:right w:val="single" w:sz="8" w:color="auto"/>
            </w:tcBorders>
          </w:tcPr>
          <w:p>
            <w:pPr>
              <w:spacing w:after="0"/>
              <w:rPr>
                <w:sz w:val="4"/>
                <w:szCs w:val="4"/>
                <w:color w:val="auto"/>
              </w:rPr>
            </w:pPr>
          </w:p>
        </w:tc>
        <w:tc>
          <w:tcPr>
            <w:tcW w:w="220" w:type="dxa"/>
            <w:vAlign w:val="bottom"/>
            <w:tcBorders>
              <w:bottom w:val="single" w:sz="8" w:color="auto"/>
              <w:right w:val="single" w:sz="8" w:color="auto"/>
            </w:tcBorders>
          </w:tcPr>
          <w:p>
            <w:pPr>
              <w:spacing w:after="0"/>
              <w:rPr>
                <w:sz w:val="4"/>
                <w:szCs w:val="4"/>
                <w:color w:val="auto"/>
              </w:rPr>
            </w:pPr>
          </w:p>
        </w:tc>
        <w:tc>
          <w:tcPr>
            <w:tcW w:w="5480" w:type="dxa"/>
            <w:vAlign w:val="bottom"/>
            <w:tcBorders>
              <w:bottom w:val="single" w:sz="8" w:color="auto"/>
              <w:right w:val="single" w:sz="8" w:color="auto"/>
            </w:tcBorders>
          </w:tcPr>
          <w:p>
            <w:pPr>
              <w:spacing w:after="0"/>
              <w:rPr>
                <w:sz w:val="4"/>
                <w:szCs w:val="4"/>
                <w:color w:val="auto"/>
              </w:rPr>
            </w:pPr>
          </w:p>
        </w:tc>
      </w:tr>
      <w:tr>
        <w:trPr>
          <w:trHeight w:val="263"/>
        </w:trPr>
        <w:tc>
          <w:tcPr>
            <w:tcW w:w="554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No advance notice is required to propose motions on duly notified</w:t>
            </w:r>
          </w:p>
        </w:tc>
        <w:tc>
          <w:tcPr>
            <w:tcW w:w="220" w:type="dxa"/>
            <w:vAlign w:val="bottom"/>
            <w:tcBorders>
              <w:right w:val="single" w:sz="8" w:color="auto"/>
            </w:tcBorders>
          </w:tcPr>
          <w:p>
            <w:pPr>
              <w:spacing w:after="0"/>
              <w:rPr>
                <w:sz w:val="22"/>
                <w:szCs w:val="22"/>
                <w:color w:val="auto"/>
              </w:rPr>
            </w:pPr>
          </w:p>
        </w:tc>
        <w:tc>
          <w:tcPr>
            <w:tcW w:w="548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Aucun préavis n'est nécessaire pour proposer des motions sur les</w:t>
            </w:r>
          </w:p>
        </w:tc>
      </w:tr>
      <w:tr>
        <w:trPr>
          <w:trHeight w:val="203"/>
        </w:trPr>
        <w:tc>
          <w:tcPr>
            <w:tcW w:w="5540" w:type="dxa"/>
            <w:vAlign w:val="bottom"/>
            <w:tcBorders>
              <w:left w:val="single" w:sz="8" w:color="auto"/>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agenda items and to debate items without passing resolutions.</w:t>
            </w:r>
          </w:p>
        </w:tc>
        <w:tc>
          <w:tcPr>
            <w:tcW w:w="22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objets inscrits à l'ordre du jour ou débattre desdits objets sans</w:t>
            </w:r>
          </w:p>
        </w:tc>
      </w:tr>
      <w:tr>
        <w:trPr>
          <w:trHeight w:val="217"/>
        </w:trPr>
        <w:tc>
          <w:tcPr>
            <w:tcW w:w="5540" w:type="dxa"/>
            <w:vAlign w:val="bottom"/>
            <w:tcBorders>
              <w:left w:val="single" w:sz="8" w:color="auto"/>
              <w:right w:val="single" w:sz="8" w:color="auto"/>
            </w:tcBorders>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548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prendre de décisions.</w:t>
            </w:r>
          </w:p>
        </w:tc>
      </w:tr>
      <w:tr>
        <w:trPr>
          <w:trHeight w:val="54"/>
        </w:trPr>
        <w:tc>
          <w:tcPr>
            <w:tcW w:w="5540" w:type="dxa"/>
            <w:vAlign w:val="bottom"/>
            <w:tcBorders>
              <w:left w:val="single" w:sz="8" w:color="auto"/>
              <w:bottom w:val="single" w:sz="8" w:color="auto"/>
              <w:right w:val="single" w:sz="8" w:color="auto"/>
            </w:tcBorders>
          </w:tcPr>
          <w:p>
            <w:pPr>
              <w:spacing w:after="0"/>
              <w:rPr>
                <w:sz w:val="4"/>
                <w:szCs w:val="4"/>
                <w:color w:val="auto"/>
              </w:rPr>
            </w:pPr>
          </w:p>
        </w:tc>
        <w:tc>
          <w:tcPr>
            <w:tcW w:w="220" w:type="dxa"/>
            <w:vAlign w:val="bottom"/>
            <w:tcBorders>
              <w:bottom w:val="single" w:sz="8" w:color="auto"/>
              <w:right w:val="single" w:sz="8" w:color="auto"/>
            </w:tcBorders>
          </w:tcPr>
          <w:p>
            <w:pPr>
              <w:spacing w:after="0"/>
              <w:rPr>
                <w:sz w:val="4"/>
                <w:szCs w:val="4"/>
                <w:color w:val="auto"/>
              </w:rPr>
            </w:pPr>
          </w:p>
        </w:tc>
        <w:tc>
          <w:tcPr>
            <w:tcW w:w="5480" w:type="dxa"/>
            <w:vAlign w:val="bottom"/>
            <w:tcBorders>
              <w:bottom w:val="single" w:sz="8" w:color="auto"/>
              <w:right w:val="single" w:sz="8" w:color="auto"/>
            </w:tcBorders>
          </w:tcPr>
          <w:p>
            <w:pPr>
              <w:spacing w:after="0"/>
              <w:rPr>
                <w:sz w:val="4"/>
                <w:szCs w:val="4"/>
                <w:color w:val="auto"/>
              </w:rPr>
            </w:pPr>
          </w:p>
        </w:tc>
      </w:tr>
      <w:tr>
        <w:trPr>
          <w:trHeight w:val="452"/>
        </w:trPr>
        <w:tc>
          <w:tcPr>
            <w:tcW w:w="55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54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249" w:right="339" w:bottom="1440" w:gutter="0" w:footer="0" w:header="0"/>
        </w:sectPr>
      </w:pPr>
    </w:p>
    <w:bookmarkStart w:id="51" w:name="page52"/>
    <w:bookmarkEnd w:id="51"/>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187"/>
        </w:trPr>
        <w:tc>
          <w:tcPr>
            <w:tcW w:w="554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5480" w:type="dxa"/>
            <w:vAlign w:val="bottom"/>
            <w:tcBorders>
              <w:bottom w:val="single" w:sz="8" w:color="auto"/>
            </w:tcBorders>
          </w:tcPr>
          <w:p>
            <w:pPr>
              <w:ind w:left="5260"/>
              <w:spacing w:after="0"/>
              <w:rPr>
                <w:sz w:val="20"/>
                <w:szCs w:val="20"/>
                <w:color w:val="auto"/>
              </w:rPr>
            </w:pPr>
            <w:r>
              <w:rPr>
                <w:rFonts w:ascii="Arial" w:cs="Arial" w:eastAsia="Arial" w:hAnsi="Arial"/>
                <w:sz w:val="16"/>
                <w:szCs w:val="16"/>
                <w:color w:val="auto"/>
              </w:rPr>
              <w:t>13</w:t>
            </w:r>
          </w:p>
        </w:tc>
      </w:tr>
      <w:tr>
        <w:trPr>
          <w:trHeight w:val="277"/>
        </w:trPr>
        <w:tc>
          <w:tcPr>
            <w:tcW w:w="554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b w:val="1"/>
                <w:bCs w:val="1"/>
                <w:color w:val="auto"/>
              </w:rPr>
              <w:t>Art. 12 Documentation</w:t>
            </w:r>
          </w:p>
        </w:tc>
        <w:tc>
          <w:tcPr>
            <w:tcW w:w="220" w:type="dxa"/>
            <w:vAlign w:val="bottom"/>
            <w:tcBorders>
              <w:right w:val="single" w:sz="8" w:color="auto"/>
            </w:tcBorders>
          </w:tcPr>
          <w:p>
            <w:pPr>
              <w:spacing w:after="0"/>
              <w:rPr>
                <w:sz w:val="24"/>
                <w:szCs w:val="24"/>
                <w:color w:val="auto"/>
              </w:rPr>
            </w:pPr>
          </w:p>
        </w:tc>
        <w:tc>
          <w:tcPr>
            <w:tcW w:w="5480" w:type="dxa"/>
            <w:vAlign w:val="bottom"/>
            <w:tcBorders>
              <w:right w:val="single" w:sz="8" w:color="auto"/>
            </w:tcBorders>
          </w:tcPr>
          <w:p>
            <w:pPr>
              <w:ind w:left="60"/>
              <w:spacing w:after="0"/>
              <w:rPr>
                <w:sz w:val="20"/>
                <w:szCs w:val="20"/>
                <w:color w:val="auto"/>
              </w:rPr>
            </w:pPr>
            <w:r>
              <w:rPr>
                <w:rFonts w:ascii="Arial" w:cs="Arial" w:eastAsia="Arial" w:hAnsi="Arial"/>
                <w:sz w:val="18"/>
                <w:szCs w:val="18"/>
                <w:b w:val="1"/>
                <w:bCs w:val="1"/>
                <w:color w:val="auto"/>
              </w:rPr>
              <w:t>Art. 12 Documents</w:t>
            </w:r>
          </w:p>
        </w:tc>
      </w:tr>
      <w:tr>
        <w:trPr>
          <w:trHeight w:val="391"/>
        </w:trPr>
        <w:tc>
          <w:tcPr>
            <w:tcW w:w="554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The annual business report, the compensation report and the</w:t>
            </w:r>
          </w:p>
        </w:tc>
        <w:tc>
          <w:tcPr>
            <w:tcW w:w="220" w:type="dxa"/>
            <w:vAlign w:val="bottom"/>
            <w:tcBorders>
              <w:right w:val="single" w:sz="8" w:color="auto"/>
            </w:tcBorders>
          </w:tcPr>
          <w:p>
            <w:pPr>
              <w:spacing w:after="0"/>
              <w:rPr>
                <w:sz w:val="24"/>
                <w:szCs w:val="24"/>
                <w:color w:val="auto"/>
              </w:rPr>
            </w:pPr>
          </w:p>
        </w:tc>
        <w:tc>
          <w:tcPr>
            <w:tcW w:w="548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Le rapport de gestion annuel, le rapport de rémunération et le</w:t>
            </w:r>
          </w:p>
        </w:tc>
      </w:tr>
      <w:tr>
        <w:trPr>
          <w:trHeight w:val="203"/>
        </w:trPr>
        <w:tc>
          <w:tcPr>
            <w:tcW w:w="5540" w:type="dxa"/>
            <w:vAlign w:val="bottom"/>
            <w:tcBorders>
              <w:left w:val="single" w:sz="8" w:color="auto"/>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Auditor's  report  must  be  submitted  for  examination  by  the</w:t>
            </w:r>
          </w:p>
        </w:tc>
        <w:tc>
          <w:tcPr>
            <w:tcW w:w="22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rapport du réviseur doivent être présentés aux actionnaires pour</w:t>
            </w:r>
          </w:p>
        </w:tc>
      </w:tr>
      <w:tr>
        <w:trPr>
          <w:trHeight w:val="203"/>
        </w:trPr>
        <w:tc>
          <w:tcPr>
            <w:tcW w:w="5540" w:type="dxa"/>
            <w:vAlign w:val="bottom"/>
            <w:tcBorders>
              <w:left w:val="single" w:sz="8" w:color="auto"/>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shareholders at the registered office of the Company at least 20</w:t>
            </w:r>
          </w:p>
        </w:tc>
        <w:tc>
          <w:tcPr>
            <w:tcW w:w="22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examen au siège de la société au moins 20 jours avant la date de</w:t>
            </w:r>
          </w:p>
        </w:tc>
      </w:tr>
      <w:tr>
        <w:trPr>
          <w:trHeight w:val="203"/>
        </w:trPr>
        <w:tc>
          <w:tcPr>
            <w:tcW w:w="5540" w:type="dxa"/>
            <w:vAlign w:val="bottom"/>
            <w:tcBorders>
              <w:left w:val="single" w:sz="8" w:color="auto"/>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days prior to the date of the Ordinary General Meeting. Each</w:t>
            </w:r>
          </w:p>
        </w:tc>
        <w:tc>
          <w:tcPr>
            <w:tcW w:w="22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l'assemblée  générale  ordinaire.  Chaque  actionnaire  peut</w:t>
            </w:r>
          </w:p>
        </w:tc>
      </w:tr>
      <w:tr>
        <w:trPr>
          <w:trHeight w:val="203"/>
        </w:trPr>
        <w:tc>
          <w:tcPr>
            <w:tcW w:w="5540" w:type="dxa"/>
            <w:vAlign w:val="bottom"/>
            <w:tcBorders>
              <w:left w:val="single" w:sz="8" w:color="auto"/>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shareholder may request that a copy of this documentation be sent</w:t>
            </w:r>
          </w:p>
        </w:tc>
        <w:tc>
          <w:tcPr>
            <w:tcW w:w="22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demander  une  copie  de  ces  documents  qui  doivent  lui  être</w:t>
            </w:r>
          </w:p>
        </w:tc>
      </w:tr>
      <w:tr>
        <w:trPr>
          <w:trHeight w:val="203"/>
        </w:trPr>
        <w:tc>
          <w:tcPr>
            <w:tcW w:w="5540" w:type="dxa"/>
            <w:vAlign w:val="bottom"/>
            <w:tcBorders>
              <w:left w:val="single" w:sz="8" w:color="auto"/>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to him promptly by e-mail. Such right shall be included in the</w:t>
            </w:r>
          </w:p>
        </w:tc>
        <w:tc>
          <w:tcPr>
            <w:tcW w:w="22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envoyés promptement par e-mail. Ce droit doit être mentionné</w:t>
            </w:r>
          </w:p>
        </w:tc>
      </w:tr>
      <w:tr>
        <w:trPr>
          <w:trHeight w:val="217"/>
        </w:trPr>
        <w:tc>
          <w:tcPr>
            <w:tcW w:w="554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invitation to the General Meeting.</w:t>
            </w:r>
          </w:p>
        </w:tc>
        <w:tc>
          <w:tcPr>
            <w:tcW w:w="220" w:type="dxa"/>
            <w:vAlign w:val="bottom"/>
            <w:tcBorders>
              <w:right w:val="single" w:sz="8" w:color="auto"/>
            </w:tcBorders>
          </w:tcPr>
          <w:p>
            <w:pPr>
              <w:spacing w:after="0"/>
              <w:rPr>
                <w:sz w:val="18"/>
                <w:szCs w:val="18"/>
                <w:color w:val="auto"/>
              </w:rPr>
            </w:pPr>
          </w:p>
        </w:tc>
        <w:tc>
          <w:tcPr>
            <w:tcW w:w="548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dans l'invitation à l'assemblée générale.</w:t>
            </w:r>
          </w:p>
        </w:tc>
      </w:tr>
      <w:tr>
        <w:trPr>
          <w:trHeight w:val="54"/>
        </w:trPr>
        <w:tc>
          <w:tcPr>
            <w:tcW w:w="5540" w:type="dxa"/>
            <w:vAlign w:val="bottom"/>
            <w:tcBorders>
              <w:left w:val="single" w:sz="8" w:color="auto"/>
              <w:bottom w:val="single" w:sz="8" w:color="auto"/>
              <w:right w:val="single" w:sz="8" w:color="auto"/>
            </w:tcBorders>
          </w:tcPr>
          <w:p>
            <w:pPr>
              <w:spacing w:after="0"/>
              <w:rPr>
                <w:sz w:val="4"/>
                <w:szCs w:val="4"/>
                <w:color w:val="auto"/>
              </w:rPr>
            </w:pPr>
          </w:p>
        </w:tc>
        <w:tc>
          <w:tcPr>
            <w:tcW w:w="220" w:type="dxa"/>
            <w:vAlign w:val="bottom"/>
            <w:tcBorders>
              <w:bottom w:val="single" w:sz="8" w:color="auto"/>
              <w:right w:val="single" w:sz="8" w:color="auto"/>
            </w:tcBorders>
          </w:tcPr>
          <w:p>
            <w:pPr>
              <w:spacing w:after="0"/>
              <w:rPr>
                <w:sz w:val="4"/>
                <w:szCs w:val="4"/>
                <w:color w:val="auto"/>
              </w:rPr>
            </w:pPr>
          </w:p>
        </w:tc>
        <w:tc>
          <w:tcPr>
            <w:tcW w:w="5480" w:type="dxa"/>
            <w:vAlign w:val="bottom"/>
            <w:tcBorders>
              <w:bottom w:val="single" w:sz="8" w:color="auto"/>
              <w:right w:val="single" w:sz="8" w:color="auto"/>
            </w:tcBorders>
          </w:tcPr>
          <w:p>
            <w:pPr>
              <w:spacing w:after="0"/>
              <w:rPr>
                <w:sz w:val="4"/>
                <w:szCs w:val="4"/>
                <w:color w:val="auto"/>
              </w:rPr>
            </w:pPr>
          </w:p>
        </w:tc>
      </w:tr>
      <w:tr>
        <w:trPr>
          <w:trHeight w:val="277"/>
        </w:trPr>
        <w:tc>
          <w:tcPr>
            <w:tcW w:w="554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b w:val="1"/>
                <w:bCs w:val="1"/>
                <w:color w:val="auto"/>
              </w:rPr>
              <w:t>Art. 13 Meeting of All Shareholders</w:t>
            </w:r>
          </w:p>
        </w:tc>
        <w:tc>
          <w:tcPr>
            <w:tcW w:w="220" w:type="dxa"/>
            <w:vAlign w:val="bottom"/>
            <w:tcBorders>
              <w:right w:val="single" w:sz="8" w:color="auto"/>
            </w:tcBorders>
          </w:tcPr>
          <w:p>
            <w:pPr>
              <w:spacing w:after="0"/>
              <w:rPr>
                <w:sz w:val="24"/>
                <w:szCs w:val="24"/>
                <w:color w:val="auto"/>
              </w:rPr>
            </w:pPr>
          </w:p>
        </w:tc>
        <w:tc>
          <w:tcPr>
            <w:tcW w:w="5480" w:type="dxa"/>
            <w:vAlign w:val="bottom"/>
            <w:tcBorders>
              <w:right w:val="single" w:sz="8" w:color="auto"/>
            </w:tcBorders>
          </w:tcPr>
          <w:p>
            <w:pPr>
              <w:ind w:left="60"/>
              <w:spacing w:after="0"/>
              <w:rPr>
                <w:sz w:val="20"/>
                <w:szCs w:val="20"/>
                <w:color w:val="auto"/>
              </w:rPr>
            </w:pPr>
            <w:r>
              <w:rPr>
                <w:rFonts w:ascii="Arial" w:cs="Arial" w:eastAsia="Arial" w:hAnsi="Arial"/>
                <w:sz w:val="18"/>
                <w:szCs w:val="18"/>
                <w:b w:val="1"/>
                <w:bCs w:val="1"/>
                <w:color w:val="auto"/>
              </w:rPr>
              <w:t>Art. 13 Assemblée universelle</w:t>
            </w:r>
          </w:p>
        </w:tc>
      </w:tr>
      <w:tr>
        <w:trPr>
          <w:trHeight w:val="391"/>
        </w:trPr>
        <w:tc>
          <w:tcPr>
            <w:tcW w:w="554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Shareholders or their proxies representing all shares issued may</w:t>
            </w:r>
          </w:p>
        </w:tc>
        <w:tc>
          <w:tcPr>
            <w:tcW w:w="220" w:type="dxa"/>
            <w:vAlign w:val="bottom"/>
            <w:tcBorders>
              <w:right w:val="single" w:sz="8" w:color="auto"/>
            </w:tcBorders>
          </w:tcPr>
          <w:p>
            <w:pPr>
              <w:spacing w:after="0"/>
              <w:rPr>
                <w:sz w:val="24"/>
                <w:szCs w:val="24"/>
                <w:color w:val="auto"/>
              </w:rPr>
            </w:pPr>
          </w:p>
        </w:tc>
        <w:tc>
          <w:tcPr>
            <w:tcW w:w="548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Les propriétaires ou les représentants de la totalité des actions</w:t>
            </w:r>
          </w:p>
        </w:tc>
      </w:tr>
      <w:tr>
        <w:trPr>
          <w:trHeight w:val="203"/>
        </w:trPr>
        <w:tc>
          <w:tcPr>
            <w:tcW w:w="5540" w:type="dxa"/>
            <w:vAlign w:val="bottom"/>
            <w:tcBorders>
              <w:left w:val="single" w:sz="8" w:color="auto"/>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hold a General Meeting without observing the formalities required</w:t>
            </w:r>
          </w:p>
        </w:tc>
        <w:tc>
          <w:tcPr>
            <w:tcW w:w="22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peuvent, s'il n'y a pas d'opposition, tenir une assemblée générale</w:t>
            </w:r>
          </w:p>
        </w:tc>
      </w:tr>
      <w:tr>
        <w:trPr>
          <w:trHeight w:val="203"/>
        </w:trPr>
        <w:tc>
          <w:tcPr>
            <w:tcW w:w="5540" w:type="dxa"/>
            <w:vAlign w:val="bottom"/>
            <w:tcBorders>
              <w:left w:val="single" w:sz="8" w:color="auto"/>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for calling a meeting, unless objection is raised. At such a meeting,</w:t>
            </w:r>
          </w:p>
        </w:tc>
        <w:tc>
          <w:tcPr>
            <w:tcW w:w="22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sans observer les formes prévues pour sa convocation. Aussi</w:t>
            </w:r>
          </w:p>
        </w:tc>
      </w:tr>
      <w:tr>
        <w:trPr>
          <w:trHeight w:val="203"/>
        </w:trPr>
        <w:tc>
          <w:tcPr>
            <w:tcW w:w="5540" w:type="dxa"/>
            <w:vAlign w:val="bottom"/>
            <w:tcBorders>
              <w:left w:val="single" w:sz="8" w:color="auto"/>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discussions may be held and resolutions passed on all matters</w:t>
            </w:r>
          </w:p>
        </w:tc>
        <w:tc>
          <w:tcPr>
            <w:tcW w:w="22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longtemps que les propriétaires ou les représentants de la totalité</w:t>
            </w:r>
          </w:p>
        </w:tc>
      </w:tr>
      <w:tr>
        <w:trPr>
          <w:trHeight w:val="203"/>
        </w:trPr>
        <w:tc>
          <w:tcPr>
            <w:tcW w:w="5540" w:type="dxa"/>
            <w:vAlign w:val="bottom"/>
            <w:tcBorders>
              <w:left w:val="single" w:sz="8" w:color="auto"/>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within the scope of the powers of a General Meeting for so long as</w:t>
            </w:r>
          </w:p>
        </w:tc>
        <w:tc>
          <w:tcPr>
            <w:tcW w:w="22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des actions sont présents, cette assemblée a le droit de délibérer</w:t>
            </w:r>
          </w:p>
        </w:tc>
      </w:tr>
      <w:tr>
        <w:trPr>
          <w:trHeight w:val="203"/>
        </w:trPr>
        <w:tc>
          <w:tcPr>
            <w:tcW w:w="5540" w:type="dxa"/>
            <w:vAlign w:val="bottom"/>
            <w:tcBorders>
              <w:left w:val="single" w:sz="8" w:color="auto"/>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the shareholders or proxies representing all shares issued are</w:t>
            </w:r>
          </w:p>
        </w:tc>
        <w:tc>
          <w:tcPr>
            <w:tcW w:w="22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et de statuer valablement sur tous les objets qui sont du ressort de</w:t>
            </w:r>
          </w:p>
        </w:tc>
      </w:tr>
      <w:tr>
        <w:trPr>
          <w:trHeight w:val="217"/>
        </w:trPr>
        <w:tc>
          <w:tcPr>
            <w:tcW w:w="554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present.</w:t>
            </w:r>
          </w:p>
        </w:tc>
        <w:tc>
          <w:tcPr>
            <w:tcW w:w="220" w:type="dxa"/>
            <w:vAlign w:val="bottom"/>
            <w:tcBorders>
              <w:right w:val="single" w:sz="8" w:color="auto"/>
            </w:tcBorders>
          </w:tcPr>
          <w:p>
            <w:pPr>
              <w:spacing w:after="0"/>
              <w:rPr>
                <w:sz w:val="18"/>
                <w:szCs w:val="18"/>
                <w:color w:val="auto"/>
              </w:rPr>
            </w:pPr>
          </w:p>
        </w:tc>
        <w:tc>
          <w:tcPr>
            <w:tcW w:w="548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l'assemblée générale.</w:t>
            </w:r>
          </w:p>
        </w:tc>
      </w:tr>
      <w:tr>
        <w:trPr>
          <w:trHeight w:val="257"/>
        </w:trPr>
        <w:tc>
          <w:tcPr>
            <w:tcW w:w="5540" w:type="dxa"/>
            <w:vAlign w:val="bottom"/>
            <w:tcBorders>
              <w:left w:val="single" w:sz="8" w:color="auto"/>
              <w:bottom w:val="single" w:sz="8" w:color="auto"/>
              <w:right w:val="single" w:sz="8" w:color="auto"/>
            </w:tcBorders>
          </w:tcPr>
          <w:p>
            <w:pPr>
              <w:spacing w:after="0"/>
              <w:rPr>
                <w:sz w:val="22"/>
                <w:szCs w:val="22"/>
                <w:color w:val="auto"/>
              </w:rPr>
            </w:pPr>
          </w:p>
        </w:tc>
        <w:tc>
          <w:tcPr>
            <w:tcW w:w="220" w:type="dxa"/>
            <w:vAlign w:val="bottom"/>
            <w:tcBorders>
              <w:bottom w:val="single" w:sz="8" w:color="auto"/>
              <w:right w:val="single" w:sz="8" w:color="auto"/>
            </w:tcBorders>
          </w:tcPr>
          <w:p>
            <w:pPr>
              <w:spacing w:after="0"/>
              <w:rPr>
                <w:sz w:val="22"/>
                <w:szCs w:val="22"/>
                <w:color w:val="auto"/>
              </w:rPr>
            </w:pPr>
          </w:p>
        </w:tc>
        <w:tc>
          <w:tcPr>
            <w:tcW w:w="5480" w:type="dxa"/>
            <w:vAlign w:val="bottom"/>
            <w:tcBorders>
              <w:bottom w:val="single" w:sz="8" w:color="auto"/>
              <w:right w:val="single" w:sz="8" w:color="auto"/>
            </w:tcBorders>
          </w:tcPr>
          <w:p>
            <w:pPr>
              <w:spacing w:after="0"/>
              <w:rPr>
                <w:sz w:val="22"/>
                <w:szCs w:val="22"/>
                <w:color w:val="auto"/>
              </w:rPr>
            </w:pPr>
          </w:p>
        </w:tc>
      </w:tr>
      <w:tr>
        <w:trPr>
          <w:trHeight w:val="277"/>
        </w:trPr>
        <w:tc>
          <w:tcPr>
            <w:tcW w:w="554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b w:val="1"/>
                <w:bCs w:val="1"/>
                <w:color w:val="auto"/>
              </w:rPr>
              <w:t>Art. 14 Chairman and Scrutineers</w:t>
            </w:r>
          </w:p>
        </w:tc>
        <w:tc>
          <w:tcPr>
            <w:tcW w:w="220" w:type="dxa"/>
            <w:vAlign w:val="bottom"/>
            <w:tcBorders>
              <w:right w:val="single" w:sz="8" w:color="auto"/>
            </w:tcBorders>
          </w:tcPr>
          <w:p>
            <w:pPr>
              <w:spacing w:after="0"/>
              <w:rPr>
                <w:sz w:val="24"/>
                <w:szCs w:val="24"/>
                <w:color w:val="auto"/>
              </w:rPr>
            </w:pPr>
          </w:p>
        </w:tc>
        <w:tc>
          <w:tcPr>
            <w:tcW w:w="5480" w:type="dxa"/>
            <w:vAlign w:val="bottom"/>
            <w:tcBorders>
              <w:right w:val="single" w:sz="8" w:color="auto"/>
            </w:tcBorders>
          </w:tcPr>
          <w:p>
            <w:pPr>
              <w:ind w:left="60"/>
              <w:spacing w:after="0"/>
              <w:rPr>
                <w:sz w:val="20"/>
                <w:szCs w:val="20"/>
                <w:color w:val="auto"/>
              </w:rPr>
            </w:pPr>
            <w:r>
              <w:rPr>
                <w:rFonts w:ascii="Arial" w:cs="Arial" w:eastAsia="Arial" w:hAnsi="Arial"/>
                <w:sz w:val="18"/>
                <w:szCs w:val="18"/>
                <w:b w:val="1"/>
                <w:bCs w:val="1"/>
                <w:color w:val="auto"/>
              </w:rPr>
              <w:t>Art. 14 Président et scrutateurs</w:t>
            </w:r>
          </w:p>
        </w:tc>
      </w:tr>
      <w:tr>
        <w:trPr>
          <w:trHeight w:val="391"/>
        </w:trPr>
        <w:tc>
          <w:tcPr>
            <w:tcW w:w="554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The Chairman of the Board of Directors shall preside over the</w:t>
            </w:r>
          </w:p>
        </w:tc>
        <w:tc>
          <w:tcPr>
            <w:tcW w:w="220" w:type="dxa"/>
            <w:vAlign w:val="bottom"/>
            <w:tcBorders>
              <w:right w:val="single" w:sz="8" w:color="auto"/>
            </w:tcBorders>
          </w:tcPr>
          <w:p>
            <w:pPr>
              <w:spacing w:after="0"/>
              <w:rPr>
                <w:sz w:val="24"/>
                <w:szCs w:val="24"/>
                <w:color w:val="auto"/>
              </w:rPr>
            </w:pPr>
          </w:p>
        </w:tc>
        <w:tc>
          <w:tcPr>
            <w:tcW w:w="548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L'assemblée générale est présidée par le président du conseil</w:t>
            </w:r>
          </w:p>
        </w:tc>
      </w:tr>
      <w:tr>
        <w:trPr>
          <w:trHeight w:val="203"/>
        </w:trPr>
        <w:tc>
          <w:tcPr>
            <w:tcW w:w="5540" w:type="dxa"/>
            <w:vAlign w:val="bottom"/>
            <w:tcBorders>
              <w:left w:val="single" w:sz="8" w:color="auto"/>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General Meeting. In his absence, a member of the Board of</w:t>
            </w:r>
          </w:p>
        </w:tc>
        <w:tc>
          <w:tcPr>
            <w:tcW w:w="22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d'administration. En cas d'empêchement, un autre membre du</w:t>
            </w:r>
          </w:p>
        </w:tc>
      </w:tr>
      <w:tr>
        <w:trPr>
          <w:trHeight w:val="203"/>
        </w:trPr>
        <w:tc>
          <w:tcPr>
            <w:tcW w:w="5540" w:type="dxa"/>
            <w:vAlign w:val="bottom"/>
            <w:tcBorders>
              <w:left w:val="single" w:sz="8" w:color="auto"/>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Directors or another Chairman of the Meeting designated by the</w:t>
            </w:r>
          </w:p>
        </w:tc>
        <w:tc>
          <w:tcPr>
            <w:tcW w:w="22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conseil  d'administration  ou  un  président  ad  hoc  nommé  par</w:t>
            </w:r>
          </w:p>
        </w:tc>
      </w:tr>
      <w:tr>
        <w:trPr>
          <w:trHeight w:val="217"/>
        </w:trPr>
        <w:tc>
          <w:tcPr>
            <w:tcW w:w="554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General Meeting shall preside.</w:t>
            </w:r>
          </w:p>
        </w:tc>
        <w:tc>
          <w:tcPr>
            <w:tcW w:w="220" w:type="dxa"/>
            <w:vAlign w:val="bottom"/>
            <w:tcBorders>
              <w:right w:val="single" w:sz="8" w:color="auto"/>
            </w:tcBorders>
          </w:tcPr>
          <w:p>
            <w:pPr>
              <w:spacing w:after="0"/>
              <w:rPr>
                <w:sz w:val="18"/>
                <w:szCs w:val="18"/>
                <w:color w:val="auto"/>
              </w:rPr>
            </w:pPr>
          </w:p>
        </w:tc>
        <w:tc>
          <w:tcPr>
            <w:tcW w:w="548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l'assemblée générale préside celle-ci.</w:t>
            </w:r>
          </w:p>
        </w:tc>
      </w:tr>
      <w:tr>
        <w:trPr>
          <w:trHeight w:val="54"/>
        </w:trPr>
        <w:tc>
          <w:tcPr>
            <w:tcW w:w="5540" w:type="dxa"/>
            <w:vAlign w:val="bottom"/>
            <w:tcBorders>
              <w:left w:val="single" w:sz="8" w:color="auto"/>
              <w:bottom w:val="single" w:sz="8" w:color="auto"/>
              <w:right w:val="single" w:sz="8" w:color="auto"/>
            </w:tcBorders>
          </w:tcPr>
          <w:p>
            <w:pPr>
              <w:spacing w:after="0"/>
              <w:rPr>
                <w:sz w:val="4"/>
                <w:szCs w:val="4"/>
                <w:color w:val="auto"/>
              </w:rPr>
            </w:pPr>
          </w:p>
        </w:tc>
        <w:tc>
          <w:tcPr>
            <w:tcW w:w="220" w:type="dxa"/>
            <w:vAlign w:val="bottom"/>
            <w:tcBorders>
              <w:bottom w:val="single" w:sz="8" w:color="auto"/>
              <w:right w:val="single" w:sz="8" w:color="auto"/>
            </w:tcBorders>
          </w:tcPr>
          <w:p>
            <w:pPr>
              <w:spacing w:after="0"/>
              <w:rPr>
                <w:sz w:val="4"/>
                <w:szCs w:val="4"/>
                <w:color w:val="auto"/>
              </w:rPr>
            </w:pPr>
          </w:p>
        </w:tc>
        <w:tc>
          <w:tcPr>
            <w:tcW w:w="5480" w:type="dxa"/>
            <w:vAlign w:val="bottom"/>
            <w:tcBorders>
              <w:bottom w:val="single" w:sz="8" w:color="auto"/>
              <w:right w:val="single" w:sz="8" w:color="auto"/>
            </w:tcBorders>
          </w:tcPr>
          <w:p>
            <w:pPr>
              <w:spacing w:after="0"/>
              <w:rPr>
                <w:sz w:val="4"/>
                <w:szCs w:val="4"/>
                <w:color w:val="auto"/>
              </w:rPr>
            </w:pPr>
          </w:p>
        </w:tc>
      </w:tr>
      <w:tr>
        <w:trPr>
          <w:trHeight w:val="263"/>
        </w:trPr>
        <w:tc>
          <w:tcPr>
            <w:tcW w:w="554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The Chairman of the Meeting shall designate a Secretary and the</w:t>
            </w:r>
          </w:p>
        </w:tc>
        <w:tc>
          <w:tcPr>
            <w:tcW w:w="220" w:type="dxa"/>
            <w:vAlign w:val="bottom"/>
            <w:tcBorders>
              <w:right w:val="single" w:sz="8" w:color="auto"/>
            </w:tcBorders>
          </w:tcPr>
          <w:p>
            <w:pPr>
              <w:spacing w:after="0"/>
              <w:rPr>
                <w:sz w:val="22"/>
                <w:szCs w:val="22"/>
                <w:color w:val="auto"/>
              </w:rPr>
            </w:pPr>
          </w:p>
        </w:tc>
        <w:tc>
          <w:tcPr>
            <w:tcW w:w="548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Le président de l'assemblée générale désigne un secrétaire et les</w:t>
            </w:r>
          </w:p>
        </w:tc>
      </w:tr>
      <w:tr>
        <w:trPr>
          <w:trHeight w:val="217"/>
        </w:trPr>
        <w:tc>
          <w:tcPr>
            <w:tcW w:w="554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scrutineers who need not be shareholders.</w:t>
            </w:r>
          </w:p>
        </w:tc>
        <w:tc>
          <w:tcPr>
            <w:tcW w:w="220" w:type="dxa"/>
            <w:vAlign w:val="bottom"/>
            <w:tcBorders>
              <w:right w:val="single" w:sz="8" w:color="auto"/>
            </w:tcBorders>
          </w:tcPr>
          <w:p>
            <w:pPr>
              <w:spacing w:after="0"/>
              <w:rPr>
                <w:sz w:val="18"/>
                <w:szCs w:val="18"/>
                <w:color w:val="auto"/>
              </w:rPr>
            </w:pPr>
          </w:p>
        </w:tc>
        <w:tc>
          <w:tcPr>
            <w:tcW w:w="548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scrutateurs qui ne doivent pas nécessairement être actionnaires.</w:t>
            </w:r>
          </w:p>
        </w:tc>
      </w:tr>
      <w:tr>
        <w:trPr>
          <w:trHeight w:val="54"/>
        </w:trPr>
        <w:tc>
          <w:tcPr>
            <w:tcW w:w="5540" w:type="dxa"/>
            <w:vAlign w:val="bottom"/>
            <w:tcBorders>
              <w:left w:val="single" w:sz="8" w:color="auto"/>
              <w:bottom w:val="single" w:sz="8" w:color="auto"/>
              <w:right w:val="single" w:sz="8" w:color="auto"/>
            </w:tcBorders>
          </w:tcPr>
          <w:p>
            <w:pPr>
              <w:spacing w:after="0"/>
              <w:rPr>
                <w:sz w:val="4"/>
                <w:szCs w:val="4"/>
                <w:color w:val="auto"/>
              </w:rPr>
            </w:pPr>
          </w:p>
        </w:tc>
        <w:tc>
          <w:tcPr>
            <w:tcW w:w="220" w:type="dxa"/>
            <w:vAlign w:val="bottom"/>
            <w:tcBorders>
              <w:bottom w:val="single" w:sz="8" w:color="auto"/>
              <w:right w:val="single" w:sz="8" w:color="auto"/>
            </w:tcBorders>
          </w:tcPr>
          <w:p>
            <w:pPr>
              <w:spacing w:after="0"/>
              <w:rPr>
                <w:sz w:val="4"/>
                <w:szCs w:val="4"/>
                <w:color w:val="auto"/>
              </w:rPr>
            </w:pPr>
          </w:p>
        </w:tc>
        <w:tc>
          <w:tcPr>
            <w:tcW w:w="5480" w:type="dxa"/>
            <w:vAlign w:val="bottom"/>
            <w:tcBorders>
              <w:bottom w:val="single" w:sz="8" w:color="auto"/>
              <w:right w:val="single" w:sz="8" w:color="auto"/>
            </w:tcBorders>
          </w:tcPr>
          <w:p>
            <w:pPr>
              <w:spacing w:after="0"/>
              <w:rPr>
                <w:sz w:val="4"/>
                <w:szCs w:val="4"/>
                <w:color w:val="auto"/>
              </w:rPr>
            </w:pPr>
          </w:p>
        </w:tc>
      </w:tr>
      <w:tr>
        <w:trPr>
          <w:trHeight w:val="277"/>
        </w:trPr>
        <w:tc>
          <w:tcPr>
            <w:tcW w:w="554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b w:val="1"/>
                <w:bCs w:val="1"/>
                <w:color w:val="auto"/>
              </w:rPr>
              <w:t>Art. 15 Minutes</w:t>
            </w:r>
          </w:p>
        </w:tc>
        <w:tc>
          <w:tcPr>
            <w:tcW w:w="220" w:type="dxa"/>
            <w:vAlign w:val="bottom"/>
            <w:tcBorders>
              <w:right w:val="single" w:sz="8" w:color="auto"/>
            </w:tcBorders>
          </w:tcPr>
          <w:p>
            <w:pPr>
              <w:spacing w:after="0"/>
              <w:rPr>
                <w:sz w:val="24"/>
                <w:szCs w:val="24"/>
                <w:color w:val="auto"/>
              </w:rPr>
            </w:pPr>
          </w:p>
        </w:tc>
        <w:tc>
          <w:tcPr>
            <w:tcW w:w="5480" w:type="dxa"/>
            <w:vAlign w:val="bottom"/>
            <w:tcBorders>
              <w:right w:val="single" w:sz="8" w:color="auto"/>
            </w:tcBorders>
          </w:tcPr>
          <w:p>
            <w:pPr>
              <w:ind w:left="60"/>
              <w:spacing w:after="0"/>
              <w:rPr>
                <w:sz w:val="20"/>
                <w:szCs w:val="20"/>
                <w:color w:val="auto"/>
              </w:rPr>
            </w:pPr>
            <w:r>
              <w:rPr>
                <w:rFonts w:ascii="Arial" w:cs="Arial" w:eastAsia="Arial" w:hAnsi="Arial"/>
                <w:sz w:val="18"/>
                <w:szCs w:val="18"/>
                <w:b w:val="1"/>
                <w:bCs w:val="1"/>
                <w:color w:val="auto"/>
              </w:rPr>
              <w:t>Art. 15 Procès-verbal</w:t>
            </w:r>
          </w:p>
        </w:tc>
      </w:tr>
      <w:tr>
        <w:trPr>
          <w:trHeight w:val="391"/>
        </w:trPr>
        <w:tc>
          <w:tcPr>
            <w:tcW w:w="554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The Board of Directors is responsible for the keeping of the</w:t>
            </w:r>
          </w:p>
        </w:tc>
        <w:tc>
          <w:tcPr>
            <w:tcW w:w="220" w:type="dxa"/>
            <w:vAlign w:val="bottom"/>
            <w:tcBorders>
              <w:right w:val="single" w:sz="8" w:color="auto"/>
            </w:tcBorders>
          </w:tcPr>
          <w:p>
            <w:pPr>
              <w:spacing w:after="0"/>
              <w:rPr>
                <w:sz w:val="24"/>
                <w:szCs w:val="24"/>
                <w:color w:val="auto"/>
              </w:rPr>
            </w:pPr>
          </w:p>
        </w:tc>
        <w:tc>
          <w:tcPr>
            <w:tcW w:w="548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Le conseil d'administration est responsable de la tenue du procès-</w:t>
            </w:r>
          </w:p>
        </w:tc>
      </w:tr>
      <w:tr>
        <w:trPr>
          <w:trHeight w:val="203"/>
        </w:trPr>
        <w:tc>
          <w:tcPr>
            <w:tcW w:w="5540" w:type="dxa"/>
            <w:vAlign w:val="bottom"/>
            <w:tcBorders>
              <w:left w:val="single" w:sz="8" w:color="auto"/>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minutes of the Meeting, which shall state the number, kind, nominal</w:t>
            </w:r>
          </w:p>
        </w:tc>
        <w:tc>
          <w:tcPr>
            <w:tcW w:w="22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verbal de l'assemblée, qui doit indiquer le nombre, le type, la</w:t>
            </w:r>
          </w:p>
        </w:tc>
      </w:tr>
      <w:tr>
        <w:trPr>
          <w:trHeight w:val="203"/>
        </w:trPr>
        <w:tc>
          <w:tcPr>
            <w:tcW w:w="5540" w:type="dxa"/>
            <w:vAlign w:val="bottom"/>
            <w:tcBorders>
              <w:left w:val="single" w:sz="8" w:color="auto"/>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value of shares represented by the shareholders, by the corporate</w:t>
            </w:r>
          </w:p>
        </w:tc>
        <w:tc>
          <w:tcPr>
            <w:tcW w:w="22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valeur nominale des actions représentées par les actionnaires, par</w:t>
            </w:r>
          </w:p>
        </w:tc>
      </w:tr>
      <w:tr>
        <w:trPr>
          <w:trHeight w:val="203"/>
        </w:trPr>
        <w:tc>
          <w:tcPr>
            <w:tcW w:w="5540" w:type="dxa"/>
            <w:vAlign w:val="bottom"/>
            <w:tcBorders>
              <w:left w:val="single" w:sz="8" w:color="auto"/>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bodies and by the independent proxy and gives information on</w:t>
            </w:r>
          </w:p>
        </w:tc>
        <w:tc>
          <w:tcPr>
            <w:tcW w:w="22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les organes sociaux et par le représentant indépendant et donne</w:t>
            </w:r>
          </w:p>
        </w:tc>
      </w:tr>
      <w:tr>
        <w:trPr>
          <w:trHeight w:val="203"/>
        </w:trPr>
        <w:tc>
          <w:tcPr>
            <w:tcW w:w="5540" w:type="dxa"/>
            <w:vAlign w:val="bottom"/>
            <w:tcBorders>
              <w:left w:val="single" w:sz="8" w:color="auto"/>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resolutions  passed,  elections,  requests  for  information  and</w:t>
            </w:r>
          </w:p>
        </w:tc>
        <w:tc>
          <w:tcPr>
            <w:tcW w:w="22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des informations sur les décisions adoptées, les élections, les</w:t>
            </w:r>
          </w:p>
        </w:tc>
      </w:tr>
      <w:tr>
        <w:trPr>
          <w:trHeight w:val="203"/>
        </w:trPr>
        <w:tc>
          <w:tcPr>
            <w:tcW w:w="5540" w:type="dxa"/>
            <w:vAlign w:val="bottom"/>
            <w:tcBorders>
              <w:left w:val="single" w:sz="8" w:color="auto"/>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information as well as declarations given by the shareholders. The</w:t>
            </w:r>
          </w:p>
        </w:tc>
        <w:tc>
          <w:tcPr>
            <w:tcW w:w="22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demandes de renseignements et les informations ainsi que les</w:t>
            </w:r>
          </w:p>
        </w:tc>
      </w:tr>
      <w:tr>
        <w:trPr>
          <w:trHeight w:val="203"/>
        </w:trPr>
        <w:tc>
          <w:tcPr>
            <w:tcW w:w="5540" w:type="dxa"/>
            <w:vAlign w:val="bottom"/>
            <w:tcBorders>
              <w:left w:val="single" w:sz="8" w:color="auto"/>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minutes shall be signed by the Chairman and the Secretary.</w:t>
            </w:r>
          </w:p>
        </w:tc>
        <w:tc>
          <w:tcPr>
            <w:tcW w:w="22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déclarations faites par les actionnaires. Le procès-verbal est signé</w:t>
            </w:r>
          </w:p>
        </w:tc>
      </w:tr>
      <w:tr>
        <w:trPr>
          <w:trHeight w:val="217"/>
        </w:trPr>
        <w:tc>
          <w:tcPr>
            <w:tcW w:w="5540" w:type="dxa"/>
            <w:vAlign w:val="bottom"/>
            <w:tcBorders>
              <w:left w:val="single" w:sz="8" w:color="auto"/>
              <w:right w:val="single" w:sz="8" w:color="auto"/>
            </w:tcBorders>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548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par le président et le secrétaire.</w:t>
            </w:r>
          </w:p>
        </w:tc>
      </w:tr>
      <w:tr>
        <w:trPr>
          <w:trHeight w:val="54"/>
        </w:trPr>
        <w:tc>
          <w:tcPr>
            <w:tcW w:w="5540" w:type="dxa"/>
            <w:vAlign w:val="bottom"/>
            <w:tcBorders>
              <w:left w:val="single" w:sz="8" w:color="auto"/>
              <w:bottom w:val="single" w:sz="8" w:color="auto"/>
              <w:right w:val="single" w:sz="8" w:color="auto"/>
            </w:tcBorders>
          </w:tcPr>
          <w:p>
            <w:pPr>
              <w:spacing w:after="0"/>
              <w:rPr>
                <w:sz w:val="4"/>
                <w:szCs w:val="4"/>
                <w:color w:val="auto"/>
              </w:rPr>
            </w:pPr>
          </w:p>
        </w:tc>
        <w:tc>
          <w:tcPr>
            <w:tcW w:w="220" w:type="dxa"/>
            <w:vAlign w:val="bottom"/>
            <w:tcBorders>
              <w:bottom w:val="single" w:sz="8" w:color="auto"/>
              <w:right w:val="single" w:sz="8" w:color="auto"/>
            </w:tcBorders>
          </w:tcPr>
          <w:p>
            <w:pPr>
              <w:spacing w:after="0"/>
              <w:rPr>
                <w:sz w:val="4"/>
                <w:szCs w:val="4"/>
                <w:color w:val="auto"/>
              </w:rPr>
            </w:pPr>
          </w:p>
        </w:tc>
        <w:tc>
          <w:tcPr>
            <w:tcW w:w="5480" w:type="dxa"/>
            <w:vAlign w:val="bottom"/>
            <w:tcBorders>
              <w:bottom w:val="single" w:sz="8" w:color="auto"/>
              <w:right w:val="single" w:sz="8" w:color="auto"/>
            </w:tcBorders>
          </w:tcPr>
          <w:p>
            <w:pPr>
              <w:spacing w:after="0"/>
              <w:rPr>
                <w:sz w:val="4"/>
                <w:szCs w:val="4"/>
                <w:color w:val="auto"/>
              </w:rPr>
            </w:pPr>
          </w:p>
        </w:tc>
      </w:tr>
      <w:tr>
        <w:trPr>
          <w:trHeight w:val="453"/>
        </w:trPr>
        <w:tc>
          <w:tcPr>
            <w:tcW w:w="55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54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249" w:right="339" w:bottom="1440" w:gutter="0" w:footer="0" w:header="0"/>
        </w:sectPr>
      </w:pPr>
    </w:p>
    <w:bookmarkStart w:id="52" w:name="page53"/>
    <w:bookmarkEnd w:id="52"/>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187"/>
        </w:trPr>
        <w:tc>
          <w:tcPr>
            <w:tcW w:w="554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4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w:t>
            </w:r>
          </w:p>
        </w:tc>
        <w:tc>
          <w:tcPr>
            <w:tcW w:w="0" w:type="dxa"/>
            <w:vAlign w:val="bottom"/>
          </w:tcPr>
          <w:p>
            <w:pPr>
              <w:spacing w:after="0"/>
              <w:rPr>
                <w:sz w:val="1"/>
                <w:szCs w:val="1"/>
                <w:color w:val="auto"/>
              </w:rPr>
            </w:pPr>
          </w:p>
        </w:tc>
      </w:tr>
      <w:tr>
        <w:trPr>
          <w:trHeight w:val="277"/>
        </w:trPr>
        <w:tc>
          <w:tcPr>
            <w:tcW w:w="554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The shareholders are entitled to inspect the minutes.</w:t>
            </w:r>
          </w:p>
        </w:tc>
        <w:tc>
          <w:tcPr>
            <w:tcW w:w="220" w:type="dxa"/>
            <w:vAlign w:val="bottom"/>
            <w:tcBorders>
              <w:right w:val="single" w:sz="8" w:color="auto"/>
            </w:tcBorders>
          </w:tcPr>
          <w:p>
            <w:pPr>
              <w:spacing w:after="0"/>
              <w:rPr>
                <w:sz w:val="24"/>
                <w:szCs w:val="24"/>
                <w:color w:val="auto"/>
              </w:rPr>
            </w:pPr>
          </w:p>
        </w:tc>
        <w:tc>
          <w:tcPr>
            <w:tcW w:w="5480" w:type="dxa"/>
            <w:vAlign w:val="bottom"/>
            <w:tcBorders>
              <w:right w:val="single" w:sz="8" w:color="auto"/>
            </w:tcBorders>
            <w:gridSpan w:val="2"/>
          </w:tcPr>
          <w:p>
            <w:pPr>
              <w:ind w:left="60"/>
              <w:spacing w:after="0"/>
              <w:rPr>
                <w:sz w:val="20"/>
                <w:szCs w:val="20"/>
                <w:color w:val="auto"/>
              </w:rPr>
            </w:pPr>
            <w:r>
              <w:rPr>
                <w:rFonts w:ascii="Arial" w:cs="Arial" w:eastAsia="Arial" w:hAnsi="Arial"/>
                <w:sz w:val="18"/>
                <w:szCs w:val="18"/>
                <w:color w:val="auto"/>
              </w:rPr>
              <w:t>Les actionnaires ont le droit d'examiner le procès-verbal.</w:t>
            </w:r>
          </w:p>
        </w:tc>
        <w:tc>
          <w:tcPr>
            <w:tcW w:w="0" w:type="dxa"/>
            <w:vAlign w:val="bottom"/>
          </w:tcPr>
          <w:p>
            <w:pPr>
              <w:spacing w:after="0"/>
              <w:rPr>
                <w:sz w:val="1"/>
                <w:szCs w:val="1"/>
                <w:color w:val="auto"/>
              </w:rPr>
            </w:pPr>
          </w:p>
        </w:tc>
      </w:tr>
      <w:tr>
        <w:trPr>
          <w:trHeight w:val="54"/>
        </w:trPr>
        <w:tc>
          <w:tcPr>
            <w:tcW w:w="5540" w:type="dxa"/>
            <w:vAlign w:val="bottom"/>
            <w:tcBorders>
              <w:left w:val="single" w:sz="8" w:color="auto"/>
              <w:bottom w:val="single" w:sz="8" w:color="auto"/>
              <w:right w:val="single" w:sz="8" w:color="auto"/>
            </w:tcBorders>
          </w:tcPr>
          <w:p>
            <w:pPr>
              <w:spacing w:after="0"/>
              <w:rPr>
                <w:sz w:val="4"/>
                <w:szCs w:val="4"/>
                <w:color w:val="auto"/>
              </w:rPr>
            </w:pPr>
          </w:p>
        </w:tc>
        <w:tc>
          <w:tcPr>
            <w:tcW w:w="220" w:type="dxa"/>
            <w:vAlign w:val="bottom"/>
            <w:tcBorders>
              <w:bottom w:val="single" w:sz="8" w:color="auto"/>
              <w:right w:val="single" w:sz="8" w:color="auto"/>
            </w:tcBorders>
          </w:tcPr>
          <w:p>
            <w:pPr>
              <w:spacing w:after="0"/>
              <w:rPr>
                <w:sz w:val="4"/>
                <w:szCs w:val="4"/>
                <w:color w:val="auto"/>
              </w:rPr>
            </w:pPr>
          </w:p>
        </w:tc>
        <w:tc>
          <w:tcPr>
            <w:tcW w:w="5480" w:type="dxa"/>
            <w:vAlign w:val="bottom"/>
            <w:tcBorders>
              <w:bottom w:val="single" w:sz="8" w:color="auto"/>
              <w:right w:val="single" w:sz="8" w:color="auto"/>
            </w:tcBorders>
            <w:gridSpan w:val="2"/>
          </w:tcPr>
          <w:p>
            <w:pPr>
              <w:spacing w:after="0"/>
              <w:rPr>
                <w:sz w:val="4"/>
                <w:szCs w:val="4"/>
                <w:color w:val="auto"/>
              </w:rPr>
            </w:pPr>
          </w:p>
        </w:tc>
        <w:tc>
          <w:tcPr>
            <w:tcW w:w="0" w:type="dxa"/>
            <w:vAlign w:val="bottom"/>
          </w:tcPr>
          <w:p>
            <w:pPr>
              <w:spacing w:after="0"/>
              <w:rPr>
                <w:sz w:val="1"/>
                <w:szCs w:val="1"/>
                <w:color w:val="auto"/>
              </w:rPr>
            </w:pPr>
          </w:p>
        </w:tc>
      </w:tr>
      <w:tr>
        <w:trPr>
          <w:trHeight w:val="277"/>
        </w:trPr>
        <w:tc>
          <w:tcPr>
            <w:tcW w:w="554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b w:val="1"/>
                <w:bCs w:val="1"/>
                <w:color w:val="auto"/>
              </w:rPr>
              <w:t>Art. 16 Right to Vote</w:t>
            </w:r>
          </w:p>
        </w:tc>
        <w:tc>
          <w:tcPr>
            <w:tcW w:w="220" w:type="dxa"/>
            <w:vAlign w:val="bottom"/>
            <w:tcBorders>
              <w:right w:val="single" w:sz="8" w:color="auto"/>
            </w:tcBorders>
          </w:tcPr>
          <w:p>
            <w:pPr>
              <w:spacing w:after="0"/>
              <w:rPr>
                <w:sz w:val="24"/>
                <w:szCs w:val="24"/>
                <w:color w:val="auto"/>
              </w:rPr>
            </w:pPr>
          </w:p>
        </w:tc>
        <w:tc>
          <w:tcPr>
            <w:tcW w:w="5480" w:type="dxa"/>
            <w:vAlign w:val="bottom"/>
            <w:tcBorders>
              <w:right w:val="single" w:sz="8" w:color="auto"/>
            </w:tcBorders>
            <w:gridSpan w:val="2"/>
          </w:tcPr>
          <w:p>
            <w:pPr>
              <w:ind w:left="60"/>
              <w:spacing w:after="0"/>
              <w:rPr>
                <w:sz w:val="20"/>
                <w:szCs w:val="20"/>
                <w:color w:val="auto"/>
              </w:rPr>
            </w:pPr>
            <w:r>
              <w:rPr>
                <w:rFonts w:ascii="Arial" w:cs="Arial" w:eastAsia="Arial" w:hAnsi="Arial"/>
                <w:sz w:val="18"/>
                <w:szCs w:val="18"/>
                <w:b w:val="1"/>
                <w:bCs w:val="1"/>
                <w:color w:val="auto"/>
              </w:rPr>
              <w:t>Art. 16 Droit de vote</w:t>
            </w:r>
          </w:p>
        </w:tc>
        <w:tc>
          <w:tcPr>
            <w:tcW w:w="0" w:type="dxa"/>
            <w:vAlign w:val="bottom"/>
          </w:tcPr>
          <w:p>
            <w:pPr>
              <w:spacing w:after="0"/>
              <w:rPr>
                <w:sz w:val="1"/>
                <w:szCs w:val="1"/>
                <w:color w:val="auto"/>
              </w:rPr>
            </w:pPr>
          </w:p>
        </w:tc>
      </w:tr>
      <w:tr>
        <w:trPr>
          <w:trHeight w:val="405"/>
        </w:trPr>
        <w:tc>
          <w:tcPr>
            <w:tcW w:w="554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Each share entitles to one vote.</w:t>
            </w:r>
          </w:p>
        </w:tc>
        <w:tc>
          <w:tcPr>
            <w:tcW w:w="220" w:type="dxa"/>
            <w:vAlign w:val="bottom"/>
            <w:tcBorders>
              <w:right w:val="single" w:sz="8" w:color="auto"/>
            </w:tcBorders>
          </w:tcPr>
          <w:p>
            <w:pPr>
              <w:spacing w:after="0"/>
              <w:rPr>
                <w:sz w:val="24"/>
                <w:szCs w:val="24"/>
                <w:color w:val="auto"/>
              </w:rPr>
            </w:pPr>
          </w:p>
        </w:tc>
        <w:tc>
          <w:tcPr>
            <w:tcW w:w="5480" w:type="dxa"/>
            <w:vAlign w:val="bottom"/>
            <w:tcBorders>
              <w:right w:val="single" w:sz="8" w:color="auto"/>
            </w:tcBorders>
            <w:gridSpan w:val="2"/>
          </w:tcPr>
          <w:p>
            <w:pPr>
              <w:ind w:left="60"/>
              <w:spacing w:after="0"/>
              <w:rPr>
                <w:sz w:val="20"/>
                <w:szCs w:val="20"/>
                <w:color w:val="auto"/>
              </w:rPr>
            </w:pPr>
            <w:r>
              <w:rPr>
                <w:rFonts w:ascii="Arial" w:cs="Arial" w:eastAsia="Arial" w:hAnsi="Arial"/>
                <w:sz w:val="18"/>
                <w:szCs w:val="18"/>
                <w:color w:val="auto"/>
              </w:rPr>
              <w:t>Chaque action donne droit à une voix.</w:t>
            </w:r>
          </w:p>
        </w:tc>
        <w:tc>
          <w:tcPr>
            <w:tcW w:w="0" w:type="dxa"/>
            <w:vAlign w:val="bottom"/>
          </w:tcPr>
          <w:p>
            <w:pPr>
              <w:spacing w:after="0"/>
              <w:rPr>
                <w:sz w:val="1"/>
                <w:szCs w:val="1"/>
                <w:color w:val="auto"/>
              </w:rPr>
            </w:pPr>
          </w:p>
        </w:tc>
      </w:tr>
      <w:tr>
        <w:trPr>
          <w:trHeight w:val="54"/>
        </w:trPr>
        <w:tc>
          <w:tcPr>
            <w:tcW w:w="5540" w:type="dxa"/>
            <w:vAlign w:val="bottom"/>
            <w:tcBorders>
              <w:left w:val="single" w:sz="8" w:color="auto"/>
              <w:bottom w:val="single" w:sz="8" w:color="auto"/>
              <w:right w:val="single" w:sz="8" w:color="auto"/>
            </w:tcBorders>
          </w:tcPr>
          <w:p>
            <w:pPr>
              <w:spacing w:after="0"/>
              <w:rPr>
                <w:sz w:val="4"/>
                <w:szCs w:val="4"/>
                <w:color w:val="auto"/>
              </w:rPr>
            </w:pPr>
          </w:p>
        </w:tc>
        <w:tc>
          <w:tcPr>
            <w:tcW w:w="220" w:type="dxa"/>
            <w:vAlign w:val="bottom"/>
            <w:tcBorders>
              <w:bottom w:val="single" w:sz="8" w:color="auto"/>
              <w:right w:val="single" w:sz="8" w:color="auto"/>
            </w:tcBorders>
          </w:tcPr>
          <w:p>
            <w:pPr>
              <w:spacing w:after="0"/>
              <w:rPr>
                <w:sz w:val="4"/>
                <w:szCs w:val="4"/>
                <w:color w:val="auto"/>
              </w:rPr>
            </w:pPr>
          </w:p>
        </w:tc>
        <w:tc>
          <w:tcPr>
            <w:tcW w:w="5480" w:type="dxa"/>
            <w:vAlign w:val="bottom"/>
            <w:tcBorders>
              <w:bottom w:val="single" w:sz="8" w:color="auto"/>
              <w:right w:val="single" w:sz="8" w:color="auto"/>
            </w:tcBorders>
            <w:gridSpan w:val="2"/>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554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Each shareholder may be represented at a General Meeting by</w:t>
            </w:r>
          </w:p>
        </w:tc>
        <w:tc>
          <w:tcPr>
            <w:tcW w:w="220" w:type="dxa"/>
            <w:vAlign w:val="bottom"/>
            <w:tcBorders>
              <w:right w:val="single" w:sz="8" w:color="auto"/>
            </w:tcBorders>
          </w:tcPr>
          <w:p>
            <w:pPr>
              <w:spacing w:after="0"/>
              <w:rPr>
                <w:sz w:val="22"/>
                <w:szCs w:val="22"/>
                <w:color w:val="auto"/>
              </w:rPr>
            </w:pPr>
          </w:p>
        </w:tc>
        <w:tc>
          <w:tcPr>
            <w:tcW w:w="5480" w:type="dxa"/>
            <w:vAlign w:val="bottom"/>
            <w:tcBorders>
              <w:right w:val="single" w:sz="8" w:color="auto"/>
            </w:tcBorders>
            <w:gridSpan w:val="2"/>
          </w:tcPr>
          <w:p>
            <w:pPr>
              <w:ind w:left="60"/>
              <w:spacing w:after="0"/>
              <w:rPr>
                <w:sz w:val="20"/>
                <w:szCs w:val="20"/>
                <w:color w:val="auto"/>
              </w:rPr>
            </w:pPr>
            <w:r>
              <w:rPr>
                <w:rFonts w:ascii="Arial" w:cs="Arial" w:eastAsia="Arial" w:hAnsi="Arial"/>
                <w:sz w:val="18"/>
                <w:szCs w:val="18"/>
                <w:color w:val="auto"/>
              </w:rPr>
              <w:t>Chaque  actionnaire  peut  se  faire  représenter  à  l'assemblée</w:t>
            </w:r>
          </w:p>
        </w:tc>
        <w:tc>
          <w:tcPr>
            <w:tcW w:w="0" w:type="dxa"/>
            <w:vAlign w:val="bottom"/>
          </w:tcPr>
          <w:p>
            <w:pPr>
              <w:spacing w:after="0"/>
              <w:rPr>
                <w:sz w:val="1"/>
                <w:szCs w:val="1"/>
                <w:color w:val="auto"/>
              </w:rPr>
            </w:pPr>
          </w:p>
        </w:tc>
      </w:tr>
      <w:tr>
        <w:trPr>
          <w:trHeight w:val="202"/>
        </w:trPr>
        <w:tc>
          <w:tcPr>
            <w:tcW w:w="5540" w:type="dxa"/>
            <w:vAlign w:val="bottom"/>
            <w:tcBorders>
              <w:left w:val="single" w:sz="8" w:color="auto"/>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any person who is so authorized by a written proxy. A proxy need</w:t>
            </w:r>
          </w:p>
        </w:tc>
        <w:tc>
          <w:tcPr>
            <w:tcW w:w="22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gridSpan w:val="2"/>
          </w:tcPr>
          <w:p>
            <w:pPr>
              <w:ind w:left="60"/>
              <w:spacing w:after="0" w:line="202" w:lineRule="exact"/>
              <w:rPr>
                <w:sz w:val="20"/>
                <w:szCs w:val="20"/>
                <w:color w:val="auto"/>
              </w:rPr>
            </w:pPr>
            <w:r>
              <w:rPr>
                <w:rFonts w:ascii="Arial" w:cs="Arial" w:eastAsia="Arial" w:hAnsi="Arial"/>
                <w:sz w:val="18"/>
                <w:szCs w:val="18"/>
                <w:color w:val="auto"/>
              </w:rPr>
              <w:t>générale par toute personne qui est autorisée par une procuration</w:t>
            </w:r>
          </w:p>
        </w:tc>
        <w:tc>
          <w:tcPr>
            <w:tcW w:w="0" w:type="dxa"/>
            <w:vAlign w:val="bottom"/>
          </w:tcPr>
          <w:p>
            <w:pPr>
              <w:spacing w:after="0"/>
              <w:rPr>
                <w:sz w:val="1"/>
                <w:szCs w:val="1"/>
                <w:color w:val="auto"/>
              </w:rPr>
            </w:pPr>
          </w:p>
        </w:tc>
      </w:tr>
      <w:tr>
        <w:trPr>
          <w:trHeight w:val="203"/>
        </w:trPr>
        <w:tc>
          <w:tcPr>
            <w:tcW w:w="5540" w:type="dxa"/>
            <w:vAlign w:val="bottom"/>
            <w:tcBorders>
              <w:left w:val="single" w:sz="8" w:color="auto"/>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not be a shareholder.</w:t>
            </w:r>
          </w:p>
        </w:tc>
        <w:tc>
          <w:tcPr>
            <w:tcW w:w="22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gridSpan w:val="2"/>
          </w:tcPr>
          <w:p>
            <w:pPr>
              <w:ind w:left="60"/>
              <w:spacing w:after="0" w:line="202" w:lineRule="exact"/>
              <w:rPr>
                <w:sz w:val="20"/>
                <w:szCs w:val="20"/>
                <w:color w:val="auto"/>
              </w:rPr>
            </w:pPr>
            <w:r>
              <w:rPr>
                <w:rFonts w:ascii="Arial" w:cs="Arial" w:eastAsia="Arial" w:hAnsi="Arial"/>
                <w:sz w:val="18"/>
                <w:szCs w:val="18"/>
                <w:color w:val="auto"/>
              </w:rPr>
              <w:t>écrite.  Le  représentant  ne  doit  pas  nécessairement  être  un</w:t>
            </w:r>
          </w:p>
        </w:tc>
        <w:tc>
          <w:tcPr>
            <w:tcW w:w="0" w:type="dxa"/>
            <w:vAlign w:val="bottom"/>
          </w:tcPr>
          <w:p>
            <w:pPr>
              <w:spacing w:after="0"/>
              <w:rPr>
                <w:sz w:val="1"/>
                <w:szCs w:val="1"/>
                <w:color w:val="auto"/>
              </w:rPr>
            </w:pPr>
          </w:p>
        </w:tc>
      </w:tr>
      <w:tr>
        <w:trPr>
          <w:trHeight w:val="217"/>
        </w:trPr>
        <w:tc>
          <w:tcPr>
            <w:tcW w:w="5540" w:type="dxa"/>
            <w:vAlign w:val="bottom"/>
            <w:tcBorders>
              <w:left w:val="single" w:sz="8" w:color="auto"/>
              <w:right w:val="single" w:sz="8" w:color="auto"/>
            </w:tcBorders>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5480" w:type="dxa"/>
            <w:vAlign w:val="bottom"/>
            <w:tcBorders>
              <w:right w:val="single" w:sz="8" w:color="auto"/>
            </w:tcBorders>
            <w:gridSpan w:val="2"/>
          </w:tcPr>
          <w:p>
            <w:pPr>
              <w:ind w:left="60"/>
              <w:spacing w:after="0"/>
              <w:rPr>
                <w:sz w:val="20"/>
                <w:szCs w:val="20"/>
                <w:color w:val="auto"/>
              </w:rPr>
            </w:pPr>
            <w:r>
              <w:rPr>
                <w:rFonts w:ascii="Arial" w:cs="Arial" w:eastAsia="Arial" w:hAnsi="Arial"/>
                <w:sz w:val="18"/>
                <w:szCs w:val="18"/>
                <w:color w:val="auto"/>
              </w:rPr>
              <w:t>actionnaire.</w:t>
            </w:r>
          </w:p>
        </w:tc>
        <w:tc>
          <w:tcPr>
            <w:tcW w:w="0" w:type="dxa"/>
            <w:vAlign w:val="bottom"/>
          </w:tcPr>
          <w:p>
            <w:pPr>
              <w:spacing w:after="0"/>
              <w:rPr>
                <w:sz w:val="1"/>
                <w:szCs w:val="1"/>
                <w:color w:val="auto"/>
              </w:rPr>
            </w:pPr>
          </w:p>
        </w:tc>
      </w:tr>
      <w:tr>
        <w:trPr>
          <w:trHeight w:val="54"/>
        </w:trPr>
        <w:tc>
          <w:tcPr>
            <w:tcW w:w="5540" w:type="dxa"/>
            <w:vAlign w:val="bottom"/>
            <w:tcBorders>
              <w:left w:val="single" w:sz="8" w:color="auto"/>
              <w:bottom w:val="single" w:sz="8" w:color="auto"/>
              <w:right w:val="single" w:sz="8" w:color="auto"/>
            </w:tcBorders>
          </w:tcPr>
          <w:p>
            <w:pPr>
              <w:spacing w:after="0"/>
              <w:rPr>
                <w:sz w:val="4"/>
                <w:szCs w:val="4"/>
                <w:color w:val="auto"/>
              </w:rPr>
            </w:pPr>
          </w:p>
        </w:tc>
        <w:tc>
          <w:tcPr>
            <w:tcW w:w="220" w:type="dxa"/>
            <w:vAlign w:val="bottom"/>
            <w:tcBorders>
              <w:bottom w:val="single" w:sz="8" w:color="auto"/>
              <w:right w:val="single" w:sz="8" w:color="auto"/>
            </w:tcBorders>
          </w:tcPr>
          <w:p>
            <w:pPr>
              <w:spacing w:after="0"/>
              <w:rPr>
                <w:sz w:val="4"/>
                <w:szCs w:val="4"/>
                <w:color w:val="auto"/>
              </w:rPr>
            </w:pPr>
          </w:p>
        </w:tc>
        <w:tc>
          <w:tcPr>
            <w:tcW w:w="5480" w:type="dxa"/>
            <w:vAlign w:val="bottom"/>
            <w:tcBorders>
              <w:bottom w:val="single" w:sz="8" w:color="auto"/>
              <w:right w:val="single" w:sz="8" w:color="auto"/>
            </w:tcBorders>
            <w:gridSpan w:val="2"/>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554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Each shareholder may be represented by the Independent Proxy.</w:t>
            </w:r>
          </w:p>
        </w:tc>
        <w:tc>
          <w:tcPr>
            <w:tcW w:w="220" w:type="dxa"/>
            <w:vAlign w:val="bottom"/>
            <w:tcBorders>
              <w:right w:val="single" w:sz="8" w:color="auto"/>
            </w:tcBorders>
          </w:tcPr>
          <w:p>
            <w:pPr>
              <w:spacing w:after="0"/>
              <w:rPr>
                <w:sz w:val="22"/>
                <w:szCs w:val="22"/>
                <w:color w:val="auto"/>
              </w:rPr>
            </w:pPr>
          </w:p>
        </w:tc>
        <w:tc>
          <w:tcPr>
            <w:tcW w:w="5480" w:type="dxa"/>
            <w:vAlign w:val="bottom"/>
            <w:tcBorders>
              <w:right w:val="single" w:sz="8" w:color="auto"/>
            </w:tcBorders>
            <w:gridSpan w:val="2"/>
          </w:tcPr>
          <w:p>
            <w:pPr>
              <w:ind w:left="60"/>
              <w:spacing w:after="0"/>
              <w:rPr>
                <w:sz w:val="20"/>
                <w:szCs w:val="20"/>
                <w:color w:val="auto"/>
              </w:rPr>
            </w:pPr>
            <w:r>
              <w:rPr>
                <w:rFonts w:ascii="Arial" w:cs="Arial" w:eastAsia="Arial" w:hAnsi="Arial"/>
                <w:sz w:val="18"/>
                <w:szCs w:val="18"/>
                <w:color w:val="auto"/>
              </w:rPr>
              <w:t>Chaque actionnaire peut se faire représenter par le représentant</w:t>
            </w:r>
          </w:p>
        </w:tc>
        <w:tc>
          <w:tcPr>
            <w:tcW w:w="0" w:type="dxa"/>
            <w:vAlign w:val="bottom"/>
          </w:tcPr>
          <w:p>
            <w:pPr>
              <w:spacing w:after="0"/>
              <w:rPr>
                <w:sz w:val="1"/>
                <w:szCs w:val="1"/>
                <w:color w:val="auto"/>
              </w:rPr>
            </w:pPr>
          </w:p>
        </w:tc>
      </w:tr>
      <w:tr>
        <w:trPr>
          <w:trHeight w:val="203"/>
        </w:trPr>
        <w:tc>
          <w:tcPr>
            <w:tcW w:w="5540" w:type="dxa"/>
            <w:vAlign w:val="bottom"/>
            <w:tcBorders>
              <w:left w:val="single" w:sz="8" w:color="auto"/>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The  requirements  regarding  proxies  and  instructions  are</w:t>
            </w:r>
          </w:p>
        </w:tc>
        <w:tc>
          <w:tcPr>
            <w:tcW w:w="22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gridSpan w:val="2"/>
          </w:tcPr>
          <w:p>
            <w:pPr>
              <w:ind w:left="60"/>
              <w:spacing w:after="0" w:line="202" w:lineRule="exact"/>
              <w:rPr>
                <w:sz w:val="20"/>
                <w:szCs w:val="20"/>
                <w:color w:val="auto"/>
              </w:rPr>
            </w:pPr>
            <w:r>
              <w:rPr>
                <w:rFonts w:ascii="Arial" w:cs="Arial" w:eastAsia="Arial" w:hAnsi="Arial"/>
                <w:sz w:val="18"/>
                <w:szCs w:val="18"/>
                <w:color w:val="auto"/>
              </w:rPr>
              <w:t>indépendant. Les exigences en matière de procurations et les</w:t>
            </w:r>
          </w:p>
        </w:tc>
        <w:tc>
          <w:tcPr>
            <w:tcW w:w="0" w:type="dxa"/>
            <w:vAlign w:val="bottom"/>
          </w:tcPr>
          <w:p>
            <w:pPr>
              <w:spacing w:after="0"/>
              <w:rPr>
                <w:sz w:val="1"/>
                <w:szCs w:val="1"/>
                <w:color w:val="auto"/>
              </w:rPr>
            </w:pPr>
          </w:p>
        </w:tc>
      </w:tr>
      <w:tr>
        <w:trPr>
          <w:trHeight w:val="217"/>
        </w:trPr>
        <w:tc>
          <w:tcPr>
            <w:tcW w:w="554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determined by the Board of Directors.</w:t>
            </w:r>
          </w:p>
        </w:tc>
        <w:tc>
          <w:tcPr>
            <w:tcW w:w="220" w:type="dxa"/>
            <w:vAlign w:val="bottom"/>
            <w:tcBorders>
              <w:right w:val="single" w:sz="8" w:color="auto"/>
            </w:tcBorders>
          </w:tcPr>
          <w:p>
            <w:pPr>
              <w:spacing w:after="0"/>
              <w:rPr>
                <w:sz w:val="18"/>
                <w:szCs w:val="18"/>
                <w:color w:val="auto"/>
              </w:rPr>
            </w:pPr>
          </w:p>
        </w:tc>
        <w:tc>
          <w:tcPr>
            <w:tcW w:w="5480" w:type="dxa"/>
            <w:vAlign w:val="bottom"/>
            <w:tcBorders>
              <w:right w:val="single" w:sz="8" w:color="auto"/>
            </w:tcBorders>
            <w:gridSpan w:val="2"/>
          </w:tcPr>
          <w:p>
            <w:pPr>
              <w:ind w:left="60"/>
              <w:spacing w:after="0"/>
              <w:rPr>
                <w:sz w:val="20"/>
                <w:szCs w:val="20"/>
                <w:color w:val="auto"/>
              </w:rPr>
            </w:pPr>
            <w:r>
              <w:rPr>
                <w:rFonts w:ascii="Arial" w:cs="Arial" w:eastAsia="Arial" w:hAnsi="Arial"/>
                <w:sz w:val="18"/>
                <w:szCs w:val="18"/>
                <w:color w:val="auto"/>
              </w:rPr>
              <w:t>instructions sont déterminées par le conseil d'administration.</w:t>
            </w:r>
          </w:p>
        </w:tc>
        <w:tc>
          <w:tcPr>
            <w:tcW w:w="0" w:type="dxa"/>
            <w:vAlign w:val="bottom"/>
          </w:tcPr>
          <w:p>
            <w:pPr>
              <w:spacing w:after="0"/>
              <w:rPr>
                <w:sz w:val="1"/>
                <w:szCs w:val="1"/>
                <w:color w:val="auto"/>
              </w:rPr>
            </w:pPr>
          </w:p>
        </w:tc>
      </w:tr>
      <w:tr>
        <w:trPr>
          <w:trHeight w:val="54"/>
        </w:trPr>
        <w:tc>
          <w:tcPr>
            <w:tcW w:w="5540" w:type="dxa"/>
            <w:vAlign w:val="bottom"/>
            <w:tcBorders>
              <w:left w:val="single" w:sz="8" w:color="auto"/>
              <w:bottom w:val="single" w:sz="8" w:color="auto"/>
              <w:right w:val="single" w:sz="8" w:color="auto"/>
            </w:tcBorders>
          </w:tcPr>
          <w:p>
            <w:pPr>
              <w:spacing w:after="0"/>
              <w:rPr>
                <w:sz w:val="4"/>
                <w:szCs w:val="4"/>
                <w:color w:val="auto"/>
              </w:rPr>
            </w:pPr>
          </w:p>
        </w:tc>
        <w:tc>
          <w:tcPr>
            <w:tcW w:w="220" w:type="dxa"/>
            <w:vAlign w:val="bottom"/>
            <w:tcBorders>
              <w:bottom w:val="single" w:sz="8" w:color="auto"/>
              <w:right w:val="single" w:sz="8" w:color="auto"/>
            </w:tcBorders>
          </w:tcPr>
          <w:p>
            <w:pPr>
              <w:spacing w:after="0"/>
              <w:rPr>
                <w:sz w:val="4"/>
                <w:szCs w:val="4"/>
                <w:color w:val="auto"/>
              </w:rPr>
            </w:pPr>
          </w:p>
        </w:tc>
        <w:tc>
          <w:tcPr>
            <w:tcW w:w="5480" w:type="dxa"/>
            <w:vAlign w:val="bottom"/>
            <w:tcBorders>
              <w:bottom w:val="single" w:sz="8" w:color="auto"/>
              <w:right w:val="single" w:sz="8" w:color="auto"/>
            </w:tcBorders>
            <w:gridSpan w:val="2"/>
          </w:tcPr>
          <w:p>
            <w:pPr>
              <w:spacing w:after="0"/>
              <w:rPr>
                <w:sz w:val="4"/>
                <w:szCs w:val="4"/>
                <w:color w:val="auto"/>
              </w:rPr>
            </w:pPr>
          </w:p>
        </w:tc>
        <w:tc>
          <w:tcPr>
            <w:tcW w:w="0" w:type="dxa"/>
            <w:vAlign w:val="bottom"/>
          </w:tcPr>
          <w:p>
            <w:pPr>
              <w:spacing w:after="0"/>
              <w:rPr>
                <w:sz w:val="1"/>
                <w:szCs w:val="1"/>
                <w:color w:val="auto"/>
              </w:rPr>
            </w:pPr>
          </w:p>
        </w:tc>
      </w:tr>
      <w:tr>
        <w:trPr>
          <w:trHeight w:val="277"/>
        </w:trPr>
        <w:tc>
          <w:tcPr>
            <w:tcW w:w="554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b w:val="1"/>
                <w:bCs w:val="1"/>
                <w:color w:val="auto"/>
              </w:rPr>
              <w:t>Art. 17 Resolutions and Elections</w:t>
            </w:r>
          </w:p>
        </w:tc>
        <w:tc>
          <w:tcPr>
            <w:tcW w:w="220" w:type="dxa"/>
            <w:vAlign w:val="bottom"/>
            <w:tcBorders>
              <w:right w:val="single" w:sz="8" w:color="auto"/>
            </w:tcBorders>
          </w:tcPr>
          <w:p>
            <w:pPr>
              <w:spacing w:after="0"/>
              <w:rPr>
                <w:sz w:val="24"/>
                <w:szCs w:val="24"/>
                <w:color w:val="auto"/>
              </w:rPr>
            </w:pPr>
          </w:p>
        </w:tc>
        <w:tc>
          <w:tcPr>
            <w:tcW w:w="5480" w:type="dxa"/>
            <w:vAlign w:val="bottom"/>
            <w:tcBorders>
              <w:right w:val="single" w:sz="8" w:color="auto"/>
            </w:tcBorders>
            <w:gridSpan w:val="2"/>
          </w:tcPr>
          <w:p>
            <w:pPr>
              <w:ind w:left="60"/>
              <w:spacing w:after="0"/>
              <w:rPr>
                <w:sz w:val="20"/>
                <w:szCs w:val="20"/>
                <w:color w:val="auto"/>
              </w:rPr>
            </w:pPr>
            <w:r>
              <w:rPr>
                <w:rFonts w:ascii="Arial" w:cs="Arial" w:eastAsia="Arial" w:hAnsi="Arial"/>
                <w:sz w:val="18"/>
                <w:szCs w:val="18"/>
                <w:b w:val="1"/>
                <w:bCs w:val="1"/>
                <w:color w:val="auto"/>
              </w:rPr>
              <w:t>Art. 17 Décisions and élections</w:t>
            </w:r>
          </w:p>
        </w:tc>
        <w:tc>
          <w:tcPr>
            <w:tcW w:w="0" w:type="dxa"/>
            <w:vAlign w:val="bottom"/>
          </w:tcPr>
          <w:p>
            <w:pPr>
              <w:spacing w:after="0"/>
              <w:rPr>
                <w:sz w:val="1"/>
                <w:szCs w:val="1"/>
                <w:color w:val="auto"/>
              </w:rPr>
            </w:pPr>
          </w:p>
        </w:tc>
      </w:tr>
      <w:tr>
        <w:trPr>
          <w:trHeight w:val="391"/>
        </w:trPr>
        <w:tc>
          <w:tcPr>
            <w:tcW w:w="554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All voting and elections are held openly or electronically. A written</w:t>
            </w:r>
          </w:p>
        </w:tc>
        <w:tc>
          <w:tcPr>
            <w:tcW w:w="220" w:type="dxa"/>
            <w:vAlign w:val="bottom"/>
            <w:tcBorders>
              <w:right w:val="single" w:sz="8" w:color="auto"/>
            </w:tcBorders>
          </w:tcPr>
          <w:p>
            <w:pPr>
              <w:spacing w:after="0"/>
              <w:rPr>
                <w:sz w:val="24"/>
                <w:szCs w:val="24"/>
                <w:color w:val="auto"/>
              </w:rPr>
            </w:pPr>
          </w:p>
        </w:tc>
        <w:tc>
          <w:tcPr>
            <w:tcW w:w="5480" w:type="dxa"/>
            <w:vAlign w:val="bottom"/>
            <w:tcBorders>
              <w:right w:val="single" w:sz="8" w:color="auto"/>
            </w:tcBorders>
            <w:gridSpan w:val="2"/>
          </w:tcPr>
          <w:p>
            <w:pPr>
              <w:ind w:left="60"/>
              <w:spacing w:after="0"/>
              <w:rPr>
                <w:sz w:val="20"/>
                <w:szCs w:val="20"/>
                <w:color w:val="auto"/>
              </w:rPr>
            </w:pPr>
            <w:r>
              <w:rPr>
                <w:rFonts w:ascii="Arial" w:cs="Arial" w:eastAsia="Arial" w:hAnsi="Arial"/>
                <w:sz w:val="18"/>
                <w:szCs w:val="18"/>
                <w:color w:val="auto"/>
              </w:rPr>
              <w:t>Tous votes et élections sont tenus ouvertement ou par voie</w:t>
            </w:r>
          </w:p>
        </w:tc>
        <w:tc>
          <w:tcPr>
            <w:tcW w:w="0" w:type="dxa"/>
            <w:vAlign w:val="bottom"/>
          </w:tcPr>
          <w:p>
            <w:pPr>
              <w:spacing w:after="0"/>
              <w:rPr>
                <w:sz w:val="1"/>
                <w:szCs w:val="1"/>
                <w:color w:val="auto"/>
              </w:rPr>
            </w:pPr>
          </w:p>
        </w:tc>
      </w:tr>
      <w:tr>
        <w:trPr>
          <w:trHeight w:val="203"/>
        </w:trPr>
        <w:tc>
          <w:tcPr>
            <w:tcW w:w="5540" w:type="dxa"/>
            <w:vAlign w:val="bottom"/>
            <w:tcBorders>
              <w:left w:val="single" w:sz="8" w:color="auto"/>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voting or election shall be held if instructed so by the Chairman or if</w:t>
            </w:r>
          </w:p>
        </w:tc>
        <w:tc>
          <w:tcPr>
            <w:tcW w:w="22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gridSpan w:val="2"/>
          </w:tcPr>
          <w:p>
            <w:pPr>
              <w:ind w:left="60"/>
              <w:spacing w:after="0" w:line="202" w:lineRule="exact"/>
              <w:rPr>
                <w:sz w:val="20"/>
                <w:szCs w:val="20"/>
                <w:color w:val="auto"/>
              </w:rPr>
            </w:pPr>
            <w:r>
              <w:rPr>
                <w:rFonts w:ascii="Arial" w:cs="Arial" w:eastAsia="Arial" w:hAnsi="Arial"/>
                <w:sz w:val="18"/>
                <w:szCs w:val="18"/>
                <w:color w:val="auto"/>
              </w:rPr>
              <w:t>électronique.  Sur  instruction  du  président  ou  de  l'assemblée</w:t>
            </w:r>
          </w:p>
        </w:tc>
        <w:tc>
          <w:tcPr>
            <w:tcW w:w="0" w:type="dxa"/>
            <w:vAlign w:val="bottom"/>
          </w:tcPr>
          <w:p>
            <w:pPr>
              <w:spacing w:after="0"/>
              <w:rPr>
                <w:sz w:val="1"/>
                <w:szCs w:val="1"/>
                <w:color w:val="auto"/>
              </w:rPr>
            </w:pPr>
          </w:p>
        </w:tc>
      </w:tr>
      <w:tr>
        <w:trPr>
          <w:trHeight w:val="217"/>
        </w:trPr>
        <w:tc>
          <w:tcPr>
            <w:tcW w:w="554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decided by the General Meeting.</w:t>
            </w:r>
          </w:p>
        </w:tc>
        <w:tc>
          <w:tcPr>
            <w:tcW w:w="220" w:type="dxa"/>
            <w:vAlign w:val="bottom"/>
            <w:tcBorders>
              <w:right w:val="single" w:sz="8" w:color="auto"/>
            </w:tcBorders>
          </w:tcPr>
          <w:p>
            <w:pPr>
              <w:spacing w:after="0"/>
              <w:rPr>
                <w:sz w:val="18"/>
                <w:szCs w:val="18"/>
                <w:color w:val="auto"/>
              </w:rPr>
            </w:pPr>
          </w:p>
        </w:tc>
        <w:tc>
          <w:tcPr>
            <w:tcW w:w="5480" w:type="dxa"/>
            <w:vAlign w:val="bottom"/>
            <w:tcBorders>
              <w:right w:val="single" w:sz="8" w:color="auto"/>
            </w:tcBorders>
            <w:gridSpan w:val="2"/>
          </w:tcPr>
          <w:p>
            <w:pPr>
              <w:ind w:left="60"/>
              <w:spacing w:after="0"/>
              <w:rPr>
                <w:sz w:val="20"/>
                <w:szCs w:val="20"/>
                <w:color w:val="auto"/>
              </w:rPr>
            </w:pPr>
            <w:r>
              <w:rPr>
                <w:rFonts w:ascii="Arial" w:cs="Arial" w:eastAsia="Arial" w:hAnsi="Arial"/>
                <w:sz w:val="18"/>
                <w:szCs w:val="18"/>
                <w:color w:val="auto"/>
              </w:rPr>
              <w:t>générale, un vote ou une élection doit être tenu par écrit.</w:t>
            </w:r>
          </w:p>
        </w:tc>
        <w:tc>
          <w:tcPr>
            <w:tcW w:w="0" w:type="dxa"/>
            <w:vAlign w:val="bottom"/>
          </w:tcPr>
          <w:p>
            <w:pPr>
              <w:spacing w:after="0"/>
              <w:rPr>
                <w:sz w:val="1"/>
                <w:szCs w:val="1"/>
                <w:color w:val="auto"/>
              </w:rPr>
            </w:pPr>
          </w:p>
        </w:tc>
      </w:tr>
      <w:tr>
        <w:trPr>
          <w:trHeight w:val="54"/>
        </w:trPr>
        <w:tc>
          <w:tcPr>
            <w:tcW w:w="5540" w:type="dxa"/>
            <w:vAlign w:val="bottom"/>
            <w:tcBorders>
              <w:left w:val="single" w:sz="8" w:color="auto"/>
              <w:bottom w:val="single" w:sz="8" w:color="auto"/>
              <w:right w:val="single" w:sz="8" w:color="auto"/>
            </w:tcBorders>
          </w:tcPr>
          <w:p>
            <w:pPr>
              <w:spacing w:after="0"/>
              <w:rPr>
                <w:sz w:val="4"/>
                <w:szCs w:val="4"/>
                <w:color w:val="auto"/>
              </w:rPr>
            </w:pPr>
          </w:p>
        </w:tc>
        <w:tc>
          <w:tcPr>
            <w:tcW w:w="220" w:type="dxa"/>
            <w:vAlign w:val="bottom"/>
            <w:tcBorders>
              <w:bottom w:val="single" w:sz="8" w:color="auto"/>
              <w:right w:val="single" w:sz="8" w:color="auto"/>
            </w:tcBorders>
          </w:tcPr>
          <w:p>
            <w:pPr>
              <w:spacing w:after="0"/>
              <w:rPr>
                <w:sz w:val="4"/>
                <w:szCs w:val="4"/>
                <w:color w:val="auto"/>
              </w:rPr>
            </w:pPr>
          </w:p>
        </w:tc>
        <w:tc>
          <w:tcPr>
            <w:tcW w:w="5480" w:type="dxa"/>
            <w:vAlign w:val="bottom"/>
            <w:tcBorders>
              <w:bottom w:val="single" w:sz="8" w:color="auto"/>
              <w:right w:val="single" w:sz="8" w:color="auto"/>
            </w:tcBorders>
            <w:gridSpan w:val="2"/>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554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The General Meeting shall pass its resolutions and carry out its</w:t>
            </w:r>
          </w:p>
        </w:tc>
        <w:tc>
          <w:tcPr>
            <w:tcW w:w="220" w:type="dxa"/>
            <w:vAlign w:val="bottom"/>
            <w:tcBorders>
              <w:right w:val="single" w:sz="8" w:color="auto"/>
            </w:tcBorders>
          </w:tcPr>
          <w:p>
            <w:pPr>
              <w:spacing w:after="0"/>
              <w:rPr>
                <w:sz w:val="22"/>
                <w:szCs w:val="22"/>
                <w:color w:val="auto"/>
              </w:rPr>
            </w:pPr>
          </w:p>
        </w:tc>
        <w:tc>
          <w:tcPr>
            <w:tcW w:w="5480" w:type="dxa"/>
            <w:vAlign w:val="bottom"/>
            <w:tcBorders>
              <w:right w:val="single" w:sz="8" w:color="auto"/>
            </w:tcBorders>
            <w:gridSpan w:val="2"/>
          </w:tcPr>
          <w:p>
            <w:pPr>
              <w:ind w:left="60"/>
              <w:spacing w:after="0"/>
              <w:rPr>
                <w:sz w:val="20"/>
                <w:szCs w:val="20"/>
                <w:color w:val="auto"/>
              </w:rPr>
            </w:pPr>
            <w:r>
              <w:rPr>
                <w:rFonts w:ascii="Arial" w:cs="Arial" w:eastAsia="Arial" w:hAnsi="Arial"/>
                <w:sz w:val="18"/>
                <w:szCs w:val="18"/>
                <w:color w:val="auto"/>
              </w:rPr>
              <w:t>Sous réserve des dispositions impératives de la loi ou des statuts,</w:t>
            </w:r>
          </w:p>
        </w:tc>
        <w:tc>
          <w:tcPr>
            <w:tcW w:w="0" w:type="dxa"/>
            <w:vAlign w:val="bottom"/>
          </w:tcPr>
          <w:p>
            <w:pPr>
              <w:spacing w:after="0"/>
              <w:rPr>
                <w:sz w:val="1"/>
                <w:szCs w:val="1"/>
                <w:color w:val="auto"/>
              </w:rPr>
            </w:pPr>
          </w:p>
        </w:tc>
      </w:tr>
      <w:tr>
        <w:trPr>
          <w:trHeight w:val="203"/>
        </w:trPr>
        <w:tc>
          <w:tcPr>
            <w:tcW w:w="5540" w:type="dxa"/>
            <w:vAlign w:val="bottom"/>
            <w:tcBorders>
              <w:left w:val="single" w:sz="8" w:color="auto"/>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elections with the simple majority of the votes cast regardless of</w:t>
            </w:r>
          </w:p>
        </w:tc>
        <w:tc>
          <w:tcPr>
            <w:tcW w:w="22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gridSpan w:val="2"/>
          </w:tcPr>
          <w:p>
            <w:pPr>
              <w:ind w:left="60"/>
              <w:spacing w:after="0" w:line="202" w:lineRule="exact"/>
              <w:rPr>
                <w:sz w:val="20"/>
                <w:szCs w:val="20"/>
                <w:color w:val="auto"/>
              </w:rPr>
            </w:pPr>
            <w:r>
              <w:rPr>
                <w:rFonts w:ascii="Arial" w:cs="Arial" w:eastAsia="Arial" w:hAnsi="Arial"/>
                <w:sz w:val="18"/>
                <w:szCs w:val="18"/>
                <w:color w:val="auto"/>
              </w:rPr>
              <w:t>l'assemblée générale prend ses décisions et procède aux élections</w:t>
            </w:r>
          </w:p>
        </w:tc>
        <w:tc>
          <w:tcPr>
            <w:tcW w:w="0" w:type="dxa"/>
            <w:vAlign w:val="bottom"/>
          </w:tcPr>
          <w:p>
            <w:pPr>
              <w:spacing w:after="0"/>
              <w:rPr>
                <w:sz w:val="1"/>
                <w:szCs w:val="1"/>
                <w:color w:val="auto"/>
              </w:rPr>
            </w:pPr>
          </w:p>
        </w:tc>
      </w:tr>
      <w:tr>
        <w:trPr>
          <w:trHeight w:val="203"/>
        </w:trPr>
        <w:tc>
          <w:tcPr>
            <w:tcW w:w="5540" w:type="dxa"/>
            <w:vAlign w:val="bottom"/>
            <w:tcBorders>
              <w:left w:val="single" w:sz="8" w:color="auto"/>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abstentions and empty or invalid votes, unless statutory law or</w:t>
            </w:r>
          </w:p>
        </w:tc>
        <w:tc>
          <w:tcPr>
            <w:tcW w:w="22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gridSpan w:val="2"/>
          </w:tcPr>
          <w:p>
            <w:pPr>
              <w:ind w:left="60"/>
              <w:spacing w:after="0" w:line="202" w:lineRule="exact"/>
              <w:rPr>
                <w:sz w:val="20"/>
                <w:szCs w:val="20"/>
                <w:color w:val="auto"/>
              </w:rPr>
            </w:pPr>
            <w:r>
              <w:rPr>
                <w:rFonts w:ascii="Arial" w:cs="Arial" w:eastAsia="Arial" w:hAnsi="Arial"/>
                <w:sz w:val="18"/>
                <w:szCs w:val="18"/>
                <w:color w:val="auto"/>
              </w:rPr>
              <w:t>à la majorité simple des voix émises. En cas de partage égal des</w:t>
            </w:r>
          </w:p>
        </w:tc>
        <w:tc>
          <w:tcPr>
            <w:tcW w:w="0" w:type="dxa"/>
            <w:vAlign w:val="bottom"/>
          </w:tcPr>
          <w:p>
            <w:pPr>
              <w:spacing w:after="0"/>
              <w:rPr>
                <w:sz w:val="1"/>
                <w:szCs w:val="1"/>
                <w:color w:val="auto"/>
              </w:rPr>
            </w:pPr>
          </w:p>
        </w:tc>
      </w:tr>
      <w:tr>
        <w:trPr>
          <w:trHeight w:val="203"/>
        </w:trPr>
        <w:tc>
          <w:tcPr>
            <w:tcW w:w="5540" w:type="dxa"/>
            <w:vAlign w:val="bottom"/>
            <w:tcBorders>
              <w:left w:val="single" w:sz="8" w:color="auto"/>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articles of association state otherwise. In the event of tie votes, the</w:t>
            </w:r>
          </w:p>
        </w:tc>
        <w:tc>
          <w:tcPr>
            <w:tcW w:w="22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gridSpan w:val="2"/>
          </w:tcPr>
          <w:p>
            <w:pPr>
              <w:ind w:left="60"/>
              <w:spacing w:after="0" w:line="202" w:lineRule="exact"/>
              <w:rPr>
                <w:sz w:val="20"/>
                <w:szCs w:val="20"/>
                <w:color w:val="auto"/>
              </w:rPr>
            </w:pPr>
            <w:r>
              <w:rPr>
                <w:rFonts w:ascii="Arial" w:cs="Arial" w:eastAsia="Arial" w:hAnsi="Arial"/>
                <w:sz w:val="18"/>
                <w:szCs w:val="18"/>
                <w:color w:val="auto"/>
              </w:rPr>
              <w:t>voix,  la  requête  sera  refusée.  Le  président  n'a  pas  voix</w:t>
            </w:r>
          </w:p>
        </w:tc>
        <w:tc>
          <w:tcPr>
            <w:tcW w:w="0" w:type="dxa"/>
            <w:vAlign w:val="bottom"/>
          </w:tcPr>
          <w:p>
            <w:pPr>
              <w:spacing w:after="0"/>
              <w:rPr>
                <w:sz w:val="1"/>
                <w:szCs w:val="1"/>
                <w:color w:val="auto"/>
              </w:rPr>
            </w:pPr>
          </w:p>
        </w:tc>
      </w:tr>
      <w:tr>
        <w:trPr>
          <w:trHeight w:val="203"/>
        </w:trPr>
        <w:tc>
          <w:tcPr>
            <w:tcW w:w="5540" w:type="dxa"/>
            <w:vAlign w:val="bottom"/>
            <w:tcBorders>
              <w:left w:val="single" w:sz="8" w:color="auto"/>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request shall be refused. The Chairman shall not have a casting</w:t>
            </w:r>
          </w:p>
        </w:tc>
        <w:tc>
          <w:tcPr>
            <w:tcW w:w="22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gridSpan w:val="2"/>
          </w:tcPr>
          <w:p>
            <w:pPr>
              <w:ind w:left="60"/>
              <w:spacing w:after="0" w:line="202" w:lineRule="exact"/>
              <w:rPr>
                <w:sz w:val="20"/>
                <w:szCs w:val="20"/>
                <w:color w:val="auto"/>
              </w:rPr>
            </w:pPr>
            <w:r>
              <w:rPr>
                <w:rFonts w:ascii="Arial" w:cs="Arial" w:eastAsia="Arial" w:hAnsi="Arial"/>
                <w:sz w:val="18"/>
                <w:szCs w:val="18"/>
                <w:color w:val="auto"/>
              </w:rPr>
              <w:t>prépondérante.</w:t>
            </w:r>
          </w:p>
        </w:tc>
        <w:tc>
          <w:tcPr>
            <w:tcW w:w="0" w:type="dxa"/>
            <w:vAlign w:val="bottom"/>
          </w:tcPr>
          <w:p>
            <w:pPr>
              <w:spacing w:after="0"/>
              <w:rPr>
                <w:sz w:val="1"/>
                <w:szCs w:val="1"/>
                <w:color w:val="auto"/>
              </w:rPr>
            </w:pPr>
          </w:p>
        </w:tc>
      </w:tr>
      <w:tr>
        <w:trPr>
          <w:trHeight w:val="217"/>
        </w:trPr>
        <w:tc>
          <w:tcPr>
            <w:tcW w:w="554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vote.</w:t>
            </w:r>
          </w:p>
        </w:tc>
        <w:tc>
          <w:tcPr>
            <w:tcW w:w="220" w:type="dxa"/>
            <w:vAlign w:val="bottom"/>
            <w:tcBorders>
              <w:right w:val="single" w:sz="8" w:color="auto"/>
            </w:tcBorders>
          </w:tcPr>
          <w:p>
            <w:pPr>
              <w:spacing w:after="0"/>
              <w:rPr>
                <w:sz w:val="18"/>
                <w:szCs w:val="18"/>
                <w:color w:val="auto"/>
              </w:rPr>
            </w:pPr>
          </w:p>
        </w:tc>
        <w:tc>
          <w:tcPr>
            <w:tcW w:w="820" w:type="dxa"/>
            <w:vAlign w:val="bottom"/>
          </w:tcPr>
          <w:p>
            <w:pPr>
              <w:spacing w:after="0"/>
              <w:rPr>
                <w:sz w:val="18"/>
                <w:szCs w:val="18"/>
                <w:color w:val="auto"/>
              </w:rPr>
            </w:pPr>
          </w:p>
        </w:tc>
        <w:tc>
          <w:tcPr>
            <w:tcW w:w="46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54"/>
        </w:trPr>
        <w:tc>
          <w:tcPr>
            <w:tcW w:w="5540" w:type="dxa"/>
            <w:vAlign w:val="bottom"/>
            <w:tcBorders>
              <w:left w:val="single" w:sz="8" w:color="auto"/>
              <w:bottom w:val="single" w:sz="8" w:color="auto"/>
              <w:right w:val="single" w:sz="8" w:color="auto"/>
            </w:tcBorders>
          </w:tcPr>
          <w:p>
            <w:pPr>
              <w:spacing w:after="0"/>
              <w:rPr>
                <w:sz w:val="4"/>
                <w:szCs w:val="4"/>
                <w:color w:val="auto"/>
              </w:rPr>
            </w:pPr>
          </w:p>
        </w:tc>
        <w:tc>
          <w:tcPr>
            <w:tcW w:w="220" w:type="dxa"/>
            <w:vAlign w:val="bottom"/>
            <w:tcBorders>
              <w:bottom w:val="single" w:sz="8" w:color="auto"/>
              <w:right w:val="single" w:sz="8" w:color="auto"/>
            </w:tcBorders>
          </w:tcPr>
          <w:p>
            <w:pPr>
              <w:spacing w:after="0"/>
              <w:rPr>
                <w:sz w:val="4"/>
                <w:szCs w:val="4"/>
                <w:color w:val="auto"/>
              </w:rPr>
            </w:pPr>
          </w:p>
        </w:tc>
        <w:tc>
          <w:tcPr>
            <w:tcW w:w="5480" w:type="dxa"/>
            <w:vAlign w:val="bottom"/>
            <w:tcBorders>
              <w:bottom w:val="single" w:sz="8" w:color="auto"/>
              <w:right w:val="single" w:sz="8" w:color="auto"/>
            </w:tcBorders>
            <w:gridSpan w:val="2"/>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554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A resolution of the General Meeting passed by at least two thirds of</w:t>
            </w:r>
          </w:p>
        </w:tc>
        <w:tc>
          <w:tcPr>
            <w:tcW w:w="220" w:type="dxa"/>
            <w:vAlign w:val="bottom"/>
            <w:tcBorders>
              <w:right w:val="single" w:sz="8" w:color="auto"/>
            </w:tcBorders>
          </w:tcPr>
          <w:p>
            <w:pPr>
              <w:spacing w:after="0"/>
              <w:rPr>
                <w:sz w:val="22"/>
                <w:szCs w:val="22"/>
                <w:color w:val="auto"/>
              </w:rPr>
            </w:pPr>
          </w:p>
        </w:tc>
        <w:tc>
          <w:tcPr>
            <w:tcW w:w="5480" w:type="dxa"/>
            <w:vAlign w:val="bottom"/>
            <w:tcBorders>
              <w:right w:val="single" w:sz="8" w:color="auto"/>
            </w:tcBorders>
            <w:gridSpan w:val="2"/>
          </w:tcPr>
          <w:p>
            <w:pPr>
              <w:ind w:left="60"/>
              <w:spacing w:after="0"/>
              <w:rPr>
                <w:sz w:val="20"/>
                <w:szCs w:val="20"/>
                <w:color w:val="auto"/>
              </w:rPr>
            </w:pPr>
            <w:r>
              <w:rPr>
                <w:rFonts w:ascii="Arial" w:cs="Arial" w:eastAsia="Arial" w:hAnsi="Arial"/>
                <w:sz w:val="18"/>
                <w:szCs w:val="18"/>
                <w:color w:val="auto"/>
              </w:rPr>
              <w:t>Une décision de l'assemblée générale recueillant au moins les</w:t>
            </w:r>
          </w:p>
        </w:tc>
        <w:tc>
          <w:tcPr>
            <w:tcW w:w="0" w:type="dxa"/>
            <w:vAlign w:val="bottom"/>
          </w:tcPr>
          <w:p>
            <w:pPr>
              <w:spacing w:after="0"/>
              <w:rPr>
                <w:sz w:val="1"/>
                <w:szCs w:val="1"/>
                <w:color w:val="auto"/>
              </w:rPr>
            </w:pPr>
          </w:p>
        </w:tc>
      </w:tr>
      <w:tr>
        <w:trPr>
          <w:trHeight w:val="203"/>
        </w:trPr>
        <w:tc>
          <w:tcPr>
            <w:tcW w:w="5540" w:type="dxa"/>
            <w:vAlign w:val="bottom"/>
            <w:tcBorders>
              <w:left w:val="single" w:sz="8" w:color="auto"/>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the represented share votes and the absolute majority of the</w:t>
            </w:r>
          </w:p>
        </w:tc>
        <w:tc>
          <w:tcPr>
            <w:tcW w:w="22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gridSpan w:val="2"/>
          </w:tcPr>
          <w:p>
            <w:pPr>
              <w:ind w:left="60"/>
              <w:spacing w:after="0" w:line="202" w:lineRule="exact"/>
              <w:rPr>
                <w:sz w:val="20"/>
                <w:szCs w:val="20"/>
                <w:color w:val="auto"/>
              </w:rPr>
            </w:pPr>
            <w:r>
              <w:rPr>
                <w:rFonts w:ascii="Arial" w:cs="Arial" w:eastAsia="Arial" w:hAnsi="Arial"/>
                <w:sz w:val="18"/>
                <w:szCs w:val="18"/>
                <w:color w:val="auto"/>
              </w:rPr>
              <w:t>deux tiers des voix attribuées aux actions représentées et la</w:t>
            </w:r>
          </w:p>
        </w:tc>
        <w:tc>
          <w:tcPr>
            <w:tcW w:w="0" w:type="dxa"/>
            <w:vAlign w:val="bottom"/>
          </w:tcPr>
          <w:p>
            <w:pPr>
              <w:spacing w:after="0"/>
              <w:rPr>
                <w:sz w:val="1"/>
                <w:szCs w:val="1"/>
                <w:color w:val="auto"/>
              </w:rPr>
            </w:pPr>
          </w:p>
        </w:tc>
      </w:tr>
      <w:tr>
        <w:trPr>
          <w:trHeight w:val="203"/>
        </w:trPr>
        <w:tc>
          <w:tcPr>
            <w:tcW w:w="5540" w:type="dxa"/>
            <w:vAlign w:val="bottom"/>
            <w:tcBorders>
              <w:left w:val="single" w:sz="8" w:color="auto"/>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represented shares par value is required for:</w:t>
            </w:r>
          </w:p>
        </w:tc>
        <w:tc>
          <w:tcPr>
            <w:tcW w:w="22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gridSpan w:val="2"/>
          </w:tcPr>
          <w:p>
            <w:pPr>
              <w:ind w:left="60"/>
              <w:spacing w:after="0" w:line="202" w:lineRule="exact"/>
              <w:rPr>
                <w:sz w:val="20"/>
                <w:szCs w:val="20"/>
                <w:color w:val="auto"/>
              </w:rPr>
            </w:pPr>
            <w:r>
              <w:rPr>
                <w:rFonts w:ascii="Arial" w:cs="Arial" w:eastAsia="Arial" w:hAnsi="Arial"/>
                <w:sz w:val="18"/>
                <w:szCs w:val="18"/>
                <w:color w:val="auto"/>
              </w:rPr>
              <w:t>majorité  absolue  des  valeurs  nominales  représentées  est</w:t>
            </w:r>
          </w:p>
        </w:tc>
        <w:tc>
          <w:tcPr>
            <w:tcW w:w="0" w:type="dxa"/>
            <w:vAlign w:val="bottom"/>
          </w:tcPr>
          <w:p>
            <w:pPr>
              <w:spacing w:after="0"/>
              <w:rPr>
                <w:sz w:val="1"/>
                <w:szCs w:val="1"/>
                <w:color w:val="auto"/>
              </w:rPr>
            </w:pPr>
          </w:p>
        </w:tc>
      </w:tr>
      <w:tr>
        <w:trPr>
          <w:trHeight w:val="217"/>
        </w:trPr>
        <w:tc>
          <w:tcPr>
            <w:tcW w:w="5540" w:type="dxa"/>
            <w:vAlign w:val="bottom"/>
            <w:tcBorders>
              <w:left w:val="single" w:sz="8" w:color="auto"/>
              <w:right w:val="single" w:sz="8" w:color="auto"/>
            </w:tcBorders>
            <w:vMerge w:val="restart"/>
          </w:tcPr>
          <w:p>
            <w:pPr>
              <w:ind w:left="100"/>
              <w:spacing w:after="0"/>
              <w:rPr>
                <w:sz w:val="20"/>
                <w:szCs w:val="20"/>
                <w:color w:val="auto"/>
              </w:rPr>
            </w:pPr>
            <w:r>
              <w:rPr>
                <w:rFonts w:ascii="Arial" w:cs="Arial" w:eastAsia="Arial" w:hAnsi="Arial"/>
                <w:sz w:val="18"/>
                <w:szCs w:val="18"/>
                <w:color w:val="auto"/>
              </w:rPr>
              <w:t>a)  The cases listed in art. 704 para. 1 CO, i.e.:</w:t>
            </w:r>
          </w:p>
        </w:tc>
        <w:tc>
          <w:tcPr>
            <w:tcW w:w="220" w:type="dxa"/>
            <w:vAlign w:val="bottom"/>
            <w:tcBorders>
              <w:right w:val="single" w:sz="8" w:color="auto"/>
            </w:tcBorders>
          </w:tcPr>
          <w:p>
            <w:pPr>
              <w:spacing w:after="0"/>
              <w:rPr>
                <w:sz w:val="18"/>
                <w:szCs w:val="18"/>
                <w:color w:val="auto"/>
              </w:rPr>
            </w:pPr>
          </w:p>
        </w:tc>
        <w:tc>
          <w:tcPr>
            <w:tcW w:w="5480" w:type="dxa"/>
            <w:vAlign w:val="bottom"/>
            <w:tcBorders>
              <w:right w:val="single" w:sz="8" w:color="auto"/>
            </w:tcBorders>
            <w:gridSpan w:val="2"/>
          </w:tcPr>
          <w:p>
            <w:pPr>
              <w:ind w:left="60"/>
              <w:spacing w:after="0"/>
              <w:rPr>
                <w:sz w:val="20"/>
                <w:szCs w:val="20"/>
                <w:color w:val="auto"/>
              </w:rPr>
            </w:pPr>
            <w:r>
              <w:rPr>
                <w:rFonts w:ascii="Arial" w:cs="Arial" w:eastAsia="Arial" w:hAnsi="Arial"/>
                <w:sz w:val="18"/>
                <w:szCs w:val="18"/>
                <w:color w:val="auto"/>
              </w:rPr>
              <w:t>nécessaire pour:</w:t>
            </w:r>
          </w:p>
        </w:tc>
        <w:tc>
          <w:tcPr>
            <w:tcW w:w="0" w:type="dxa"/>
            <w:vAlign w:val="bottom"/>
          </w:tcPr>
          <w:p>
            <w:pPr>
              <w:spacing w:after="0"/>
              <w:rPr>
                <w:sz w:val="1"/>
                <w:szCs w:val="1"/>
                <w:color w:val="auto"/>
              </w:rPr>
            </w:pPr>
          </w:p>
        </w:tc>
      </w:tr>
      <w:tr>
        <w:trPr>
          <w:trHeight w:val="203"/>
        </w:trPr>
        <w:tc>
          <w:tcPr>
            <w:tcW w:w="5540" w:type="dxa"/>
            <w:vAlign w:val="bottom"/>
            <w:tcBorders>
              <w:left w:val="single" w:sz="8" w:color="auto"/>
              <w:right w:val="single" w:sz="8" w:color="auto"/>
            </w:tcBorders>
            <w:vMerge w:val="continue"/>
          </w:tcPr>
          <w:p>
            <w:pPr>
              <w:spacing w:after="0"/>
              <w:rPr>
                <w:sz w:val="17"/>
                <w:szCs w:val="17"/>
                <w:color w:val="auto"/>
              </w:rPr>
            </w:pPr>
          </w:p>
        </w:tc>
        <w:tc>
          <w:tcPr>
            <w:tcW w:w="22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gridSpan w:val="2"/>
            <w:vMerge w:val="restart"/>
          </w:tcPr>
          <w:p>
            <w:pPr>
              <w:ind w:left="60"/>
              <w:spacing w:after="0"/>
              <w:rPr>
                <w:sz w:val="20"/>
                <w:szCs w:val="20"/>
                <w:color w:val="auto"/>
              </w:rPr>
            </w:pPr>
            <w:r>
              <w:rPr>
                <w:rFonts w:ascii="Arial" w:cs="Arial" w:eastAsia="Arial" w:hAnsi="Arial"/>
                <w:sz w:val="18"/>
                <w:szCs w:val="18"/>
                <w:color w:val="auto"/>
              </w:rPr>
              <w:t>a)   les cas énumérés dans l'art. 704 al. 1 CO, i.e.:</w:t>
            </w:r>
          </w:p>
        </w:tc>
        <w:tc>
          <w:tcPr>
            <w:tcW w:w="0" w:type="dxa"/>
            <w:vAlign w:val="bottom"/>
          </w:tcPr>
          <w:p>
            <w:pPr>
              <w:spacing w:after="0"/>
              <w:rPr>
                <w:sz w:val="1"/>
                <w:szCs w:val="1"/>
                <w:color w:val="auto"/>
              </w:rPr>
            </w:pPr>
          </w:p>
        </w:tc>
      </w:tr>
      <w:tr>
        <w:trPr>
          <w:trHeight w:val="203"/>
        </w:trPr>
        <w:tc>
          <w:tcPr>
            <w:tcW w:w="5540" w:type="dxa"/>
            <w:vAlign w:val="bottom"/>
            <w:tcBorders>
              <w:left w:val="single" w:sz="8" w:color="auto"/>
              <w:right w:val="single" w:sz="8" w:color="auto"/>
            </w:tcBorders>
            <w:vMerge w:val="restart"/>
          </w:tcPr>
          <w:p>
            <w:pPr>
              <w:ind w:left="480"/>
              <w:spacing w:after="0"/>
              <w:rPr>
                <w:sz w:val="20"/>
                <w:szCs w:val="20"/>
                <w:color w:val="auto"/>
              </w:rPr>
            </w:pPr>
            <w:r>
              <w:rPr>
                <w:rFonts w:ascii="Arial" w:cs="Arial" w:eastAsia="Arial" w:hAnsi="Arial"/>
                <w:sz w:val="18"/>
                <w:szCs w:val="18"/>
                <w:color w:val="auto"/>
              </w:rPr>
              <w:t>(i)  the change of the company purpose;</w:t>
            </w:r>
          </w:p>
        </w:tc>
        <w:tc>
          <w:tcPr>
            <w:tcW w:w="22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540" w:type="dxa"/>
            <w:vAlign w:val="bottom"/>
            <w:tcBorders>
              <w:left w:val="single" w:sz="8" w:color="auto"/>
              <w:right w:val="single" w:sz="8" w:color="auto"/>
            </w:tcBorders>
            <w:vMerge w:val="continue"/>
          </w:tcPr>
          <w:p>
            <w:pPr>
              <w:spacing w:after="0"/>
              <w:rPr>
                <w:sz w:val="17"/>
                <w:szCs w:val="17"/>
                <w:color w:val="auto"/>
              </w:rPr>
            </w:pPr>
          </w:p>
        </w:tc>
        <w:tc>
          <w:tcPr>
            <w:tcW w:w="220" w:type="dxa"/>
            <w:vAlign w:val="bottom"/>
            <w:tcBorders>
              <w:right w:val="single" w:sz="8" w:color="auto"/>
            </w:tcBorders>
          </w:tcPr>
          <w:p>
            <w:pPr>
              <w:spacing w:after="0"/>
              <w:rPr>
                <w:sz w:val="17"/>
                <w:szCs w:val="17"/>
                <w:color w:val="auto"/>
              </w:rPr>
            </w:pPr>
          </w:p>
        </w:tc>
        <w:tc>
          <w:tcPr>
            <w:tcW w:w="820" w:type="dxa"/>
            <w:vAlign w:val="bottom"/>
            <w:vMerge w:val="restart"/>
          </w:tcPr>
          <w:p>
            <w:pPr>
              <w:ind w:left="520"/>
              <w:spacing w:after="0"/>
              <w:rPr>
                <w:sz w:val="20"/>
                <w:szCs w:val="20"/>
                <w:color w:val="auto"/>
              </w:rPr>
            </w:pPr>
            <w:r>
              <w:rPr>
                <w:rFonts w:ascii="Arial" w:cs="Arial" w:eastAsia="Arial" w:hAnsi="Arial"/>
                <w:sz w:val="18"/>
                <w:szCs w:val="18"/>
                <w:color w:val="auto"/>
              </w:rPr>
              <w:t>(i)</w:t>
            </w:r>
          </w:p>
        </w:tc>
        <w:tc>
          <w:tcPr>
            <w:tcW w:w="4660" w:type="dxa"/>
            <w:vAlign w:val="bottom"/>
            <w:tcBorders>
              <w:right w:val="single" w:sz="8" w:color="auto"/>
            </w:tcBorders>
            <w:vMerge w:val="restart"/>
          </w:tcPr>
          <w:p>
            <w:pPr>
              <w:jc w:val="right"/>
              <w:ind w:right="2152"/>
              <w:spacing w:after="0"/>
              <w:rPr>
                <w:sz w:val="20"/>
                <w:szCs w:val="20"/>
                <w:color w:val="auto"/>
              </w:rPr>
            </w:pPr>
            <w:r>
              <w:rPr>
                <w:rFonts w:ascii="Arial" w:cs="Arial" w:eastAsia="Arial" w:hAnsi="Arial"/>
                <w:sz w:val="18"/>
                <w:szCs w:val="18"/>
                <w:color w:val="auto"/>
              </w:rPr>
              <w:t>la modification du but social;</w:t>
            </w:r>
          </w:p>
        </w:tc>
        <w:tc>
          <w:tcPr>
            <w:tcW w:w="0" w:type="dxa"/>
            <w:vAlign w:val="bottom"/>
          </w:tcPr>
          <w:p>
            <w:pPr>
              <w:spacing w:after="0"/>
              <w:rPr>
                <w:sz w:val="1"/>
                <w:szCs w:val="1"/>
                <w:color w:val="auto"/>
              </w:rPr>
            </w:pPr>
          </w:p>
        </w:tc>
      </w:tr>
      <w:tr>
        <w:trPr>
          <w:trHeight w:val="203"/>
        </w:trPr>
        <w:tc>
          <w:tcPr>
            <w:tcW w:w="5540" w:type="dxa"/>
            <w:vAlign w:val="bottom"/>
            <w:tcBorders>
              <w:left w:val="single" w:sz="8" w:color="auto"/>
              <w:right w:val="single" w:sz="8" w:color="auto"/>
            </w:tcBorders>
            <w:vMerge w:val="restart"/>
          </w:tcPr>
          <w:p>
            <w:pPr>
              <w:ind w:left="480"/>
              <w:spacing w:after="0"/>
              <w:rPr>
                <w:sz w:val="20"/>
                <w:szCs w:val="20"/>
                <w:color w:val="auto"/>
              </w:rPr>
            </w:pPr>
            <w:r>
              <w:rPr>
                <w:rFonts w:ascii="Arial" w:cs="Arial" w:eastAsia="Arial" w:hAnsi="Arial"/>
                <w:sz w:val="18"/>
                <w:szCs w:val="18"/>
                <w:color w:val="auto"/>
              </w:rPr>
              <w:t>(ii)  the creation of shares with privileged voting rights;</w:t>
            </w:r>
          </w:p>
        </w:tc>
        <w:tc>
          <w:tcPr>
            <w:tcW w:w="220" w:type="dxa"/>
            <w:vAlign w:val="bottom"/>
            <w:tcBorders>
              <w:right w:val="single" w:sz="8" w:color="auto"/>
            </w:tcBorders>
          </w:tcPr>
          <w:p>
            <w:pPr>
              <w:spacing w:after="0"/>
              <w:rPr>
                <w:sz w:val="17"/>
                <w:szCs w:val="17"/>
                <w:color w:val="auto"/>
              </w:rPr>
            </w:pPr>
          </w:p>
        </w:tc>
        <w:tc>
          <w:tcPr>
            <w:tcW w:w="820" w:type="dxa"/>
            <w:vAlign w:val="bottom"/>
            <w:vMerge w:val="continue"/>
          </w:tcPr>
          <w:p>
            <w:pPr>
              <w:spacing w:after="0"/>
              <w:rPr>
                <w:sz w:val="17"/>
                <w:szCs w:val="17"/>
                <w:color w:val="auto"/>
              </w:rPr>
            </w:pPr>
          </w:p>
        </w:tc>
        <w:tc>
          <w:tcPr>
            <w:tcW w:w="4660" w:type="dxa"/>
            <w:vAlign w:val="bottom"/>
            <w:tcBorders>
              <w:right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540" w:type="dxa"/>
            <w:vAlign w:val="bottom"/>
            <w:tcBorders>
              <w:left w:val="single" w:sz="8" w:color="auto"/>
              <w:right w:val="single" w:sz="8" w:color="auto"/>
            </w:tcBorders>
            <w:vMerge w:val="continue"/>
          </w:tcPr>
          <w:p>
            <w:pPr>
              <w:spacing w:after="0"/>
              <w:rPr>
                <w:sz w:val="17"/>
                <w:szCs w:val="17"/>
                <w:color w:val="auto"/>
              </w:rPr>
            </w:pPr>
          </w:p>
        </w:tc>
        <w:tc>
          <w:tcPr>
            <w:tcW w:w="22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gridSpan w:val="2"/>
            <w:vMerge w:val="restart"/>
          </w:tcPr>
          <w:p>
            <w:pPr>
              <w:ind w:left="520"/>
              <w:spacing w:after="0"/>
              <w:rPr>
                <w:sz w:val="20"/>
                <w:szCs w:val="20"/>
                <w:color w:val="auto"/>
              </w:rPr>
            </w:pPr>
            <w:r>
              <w:rPr>
                <w:rFonts w:ascii="Arial" w:cs="Arial" w:eastAsia="Arial" w:hAnsi="Arial"/>
                <w:sz w:val="18"/>
                <w:szCs w:val="18"/>
                <w:color w:val="auto"/>
              </w:rPr>
              <w:t>(ii)   l'introduction d'actions à droit de vote privilégié;</w:t>
            </w:r>
          </w:p>
        </w:tc>
        <w:tc>
          <w:tcPr>
            <w:tcW w:w="0" w:type="dxa"/>
            <w:vAlign w:val="bottom"/>
          </w:tcPr>
          <w:p>
            <w:pPr>
              <w:spacing w:after="0"/>
              <w:rPr>
                <w:sz w:val="1"/>
                <w:szCs w:val="1"/>
                <w:color w:val="auto"/>
              </w:rPr>
            </w:pPr>
          </w:p>
        </w:tc>
      </w:tr>
      <w:tr>
        <w:trPr>
          <w:trHeight w:val="203"/>
        </w:trPr>
        <w:tc>
          <w:tcPr>
            <w:tcW w:w="5540" w:type="dxa"/>
            <w:vAlign w:val="bottom"/>
            <w:tcBorders>
              <w:left w:val="single" w:sz="8" w:color="auto"/>
              <w:right w:val="single" w:sz="8" w:color="auto"/>
            </w:tcBorders>
            <w:vMerge w:val="restart"/>
          </w:tcPr>
          <w:p>
            <w:pPr>
              <w:ind w:left="480"/>
              <w:spacing w:after="0"/>
              <w:rPr>
                <w:sz w:val="20"/>
                <w:szCs w:val="20"/>
                <w:color w:val="auto"/>
              </w:rPr>
            </w:pPr>
            <w:r>
              <w:rPr>
                <w:rFonts w:ascii="Arial" w:cs="Arial" w:eastAsia="Arial" w:hAnsi="Arial"/>
                <w:sz w:val="18"/>
                <w:szCs w:val="18"/>
                <w:color w:val="auto"/>
              </w:rPr>
              <w:t>(iii)  the restriction of the transferability of registered shares;</w:t>
            </w:r>
          </w:p>
        </w:tc>
        <w:tc>
          <w:tcPr>
            <w:tcW w:w="22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540" w:type="dxa"/>
            <w:vAlign w:val="bottom"/>
            <w:tcBorders>
              <w:left w:val="single" w:sz="8" w:color="auto"/>
              <w:right w:val="single" w:sz="8" w:color="auto"/>
            </w:tcBorders>
            <w:vMerge w:val="continue"/>
          </w:tcPr>
          <w:p>
            <w:pPr>
              <w:spacing w:after="0"/>
              <w:rPr>
                <w:sz w:val="17"/>
                <w:szCs w:val="17"/>
                <w:color w:val="auto"/>
              </w:rPr>
            </w:pPr>
          </w:p>
        </w:tc>
        <w:tc>
          <w:tcPr>
            <w:tcW w:w="220" w:type="dxa"/>
            <w:vAlign w:val="bottom"/>
            <w:tcBorders>
              <w:right w:val="single" w:sz="8" w:color="auto"/>
            </w:tcBorders>
          </w:tcPr>
          <w:p>
            <w:pPr>
              <w:spacing w:after="0"/>
              <w:rPr>
                <w:sz w:val="17"/>
                <w:szCs w:val="17"/>
                <w:color w:val="auto"/>
              </w:rPr>
            </w:pPr>
          </w:p>
        </w:tc>
        <w:tc>
          <w:tcPr>
            <w:tcW w:w="820" w:type="dxa"/>
            <w:vAlign w:val="bottom"/>
            <w:vMerge w:val="restart"/>
          </w:tcPr>
          <w:p>
            <w:pPr>
              <w:ind w:left="520"/>
              <w:spacing w:after="0"/>
              <w:rPr>
                <w:sz w:val="20"/>
                <w:szCs w:val="20"/>
                <w:color w:val="auto"/>
              </w:rPr>
            </w:pPr>
            <w:r>
              <w:rPr>
                <w:rFonts w:ascii="Arial" w:cs="Arial" w:eastAsia="Arial" w:hAnsi="Arial"/>
                <w:sz w:val="18"/>
                <w:szCs w:val="18"/>
                <w:color w:val="auto"/>
              </w:rPr>
              <w:t>(iii)</w:t>
            </w:r>
          </w:p>
        </w:tc>
        <w:tc>
          <w:tcPr>
            <w:tcW w:w="4660" w:type="dxa"/>
            <w:vAlign w:val="bottom"/>
            <w:tcBorders>
              <w:right w:val="single" w:sz="8" w:color="auto"/>
            </w:tcBorders>
            <w:vMerge w:val="restart"/>
          </w:tcPr>
          <w:p>
            <w:pPr>
              <w:jc w:val="right"/>
              <w:spacing w:after="0"/>
              <w:rPr>
                <w:sz w:val="20"/>
                <w:szCs w:val="20"/>
                <w:color w:val="auto"/>
              </w:rPr>
            </w:pPr>
            <w:r>
              <w:rPr>
                <w:rFonts w:ascii="Arial" w:cs="Arial" w:eastAsia="Arial" w:hAnsi="Arial"/>
                <w:sz w:val="18"/>
                <w:szCs w:val="18"/>
                <w:color w:val="auto"/>
              </w:rPr>
              <w:t>a  restriction  de  la  transmissibilité  des  actions</w:t>
            </w:r>
          </w:p>
        </w:tc>
        <w:tc>
          <w:tcPr>
            <w:tcW w:w="0" w:type="dxa"/>
            <w:vAlign w:val="bottom"/>
          </w:tcPr>
          <w:p>
            <w:pPr>
              <w:spacing w:after="0"/>
              <w:rPr>
                <w:sz w:val="1"/>
                <w:szCs w:val="1"/>
                <w:color w:val="auto"/>
              </w:rPr>
            </w:pPr>
          </w:p>
        </w:tc>
      </w:tr>
      <w:tr>
        <w:trPr>
          <w:trHeight w:val="188"/>
        </w:trPr>
        <w:tc>
          <w:tcPr>
            <w:tcW w:w="5540" w:type="dxa"/>
            <w:vAlign w:val="bottom"/>
            <w:tcBorders>
              <w:left w:val="single" w:sz="8" w:color="auto"/>
              <w:right w:val="single" w:sz="8" w:color="auto"/>
            </w:tcBorders>
          </w:tcPr>
          <w:p>
            <w:pPr>
              <w:spacing w:after="0"/>
              <w:rPr>
                <w:sz w:val="16"/>
                <w:szCs w:val="16"/>
                <w:color w:val="auto"/>
              </w:rPr>
            </w:pPr>
          </w:p>
        </w:tc>
        <w:tc>
          <w:tcPr>
            <w:tcW w:w="220" w:type="dxa"/>
            <w:vAlign w:val="bottom"/>
            <w:tcBorders>
              <w:right w:val="single" w:sz="8" w:color="auto"/>
            </w:tcBorders>
          </w:tcPr>
          <w:p>
            <w:pPr>
              <w:spacing w:after="0"/>
              <w:rPr>
                <w:sz w:val="16"/>
                <w:szCs w:val="16"/>
                <w:color w:val="auto"/>
              </w:rPr>
            </w:pPr>
          </w:p>
        </w:tc>
        <w:tc>
          <w:tcPr>
            <w:tcW w:w="820" w:type="dxa"/>
            <w:vAlign w:val="bottom"/>
            <w:vMerge w:val="continue"/>
          </w:tcPr>
          <w:p>
            <w:pPr>
              <w:spacing w:after="0"/>
              <w:rPr>
                <w:sz w:val="16"/>
                <w:szCs w:val="16"/>
                <w:color w:val="auto"/>
              </w:rPr>
            </w:pPr>
          </w:p>
        </w:tc>
        <w:tc>
          <w:tcPr>
            <w:tcW w:w="4660" w:type="dxa"/>
            <w:vAlign w:val="bottom"/>
            <w:tcBorders>
              <w:right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5540" w:type="dxa"/>
            <w:vAlign w:val="bottom"/>
            <w:tcBorders>
              <w:left w:val="single" w:sz="8" w:color="auto"/>
              <w:right w:val="single" w:sz="8" w:color="auto"/>
            </w:tcBorders>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820" w:type="dxa"/>
            <w:vAlign w:val="bottom"/>
          </w:tcPr>
          <w:p>
            <w:pPr>
              <w:spacing w:after="0"/>
              <w:rPr>
                <w:sz w:val="18"/>
                <w:szCs w:val="18"/>
                <w:color w:val="auto"/>
              </w:rPr>
            </w:pPr>
          </w:p>
        </w:tc>
        <w:tc>
          <w:tcPr>
            <w:tcW w:w="4660" w:type="dxa"/>
            <w:vAlign w:val="bottom"/>
            <w:tcBorders>
              <w:right w:val="single" w:sz="8" w:color="auto"/>
            </w:tcBorders>
          </w:tcPr>
          <w:p>
            <w:pPr>
              <w:jc w:val="right"/>
              <w:ind w:right="3492"/>
              <w:spacing w:after="0"/>
              <w:rPr>
                <w:sz w:val="20"/>
                <w:szCs w:val="20"/>
                <w:color w:val="auto"/>
              </w:rPr>
            </w:pPr>
            <w:r>
              <w:rPr>
                <w:rFonts w:ascii="Arial" w:cs="Arial" w:eastAsia="Arial" w:hAnsi="Arial"/>
                <w:sz w:val="18"/>
                <w:szCs w:val="18"/>
                <w:color w:val="auto"/>
              </w:rPr>
              <w:t>nominatives;</w:t>
            </w:r>
          </w:p>
        </w:tc>
        <w:tc>
          <w:tcPr>
            <w:tcW w:w="0" w:type="dxa"/>
            <w:vAlign w:val="bottom"/>
          </w:tcPr>
          <w:p>
            <w:pPr>
              <w:spacing w:after="0"/>
              <w:rPr>
                <w:sz w:val="1"/>
                <w:szCs w:val="1"/>
                <w:color w:val="auto"/>
              </w:rPr>
            </w:pPr>
          </w:p>
        </w:tc>
      </w:tr>
      <w:tr>
        <w:trPr>
          <w:trHeight w:val="54"/>
        </w:trPr>
        <w:tc>
          <w:tcPr>
            <w:tcW w:w="5540" w:type="dxa"/>
            <w:vAlign w:val="bottom"/>
            <w:tcBorders>
              <w:left w:val="single" w:sz="8" w:color="auto"/>
              <w:bottom w:val="single" w:sz="8" w:color="auto"/>
              <w:right w:val="single" w:sz="8" w:color="auto"/>
            </w:tcBorders>
          </w:tcPr>
          <w:p>
            <w:pPr>
              <w:spacing w:after="0"/>
              <w:rPr>
                <w:sz w:val="4"/>
                <w:szCs w:val="4"/>
                <w:color w:val="auto"/>
              </w:rPr>
            </w:pPr>
          </w:p>
        </w:tc>
        <w:tc>
          <w:tcPr>
            <w:tcW w:w="220" w:type="dxa"/>
            <w:vAlign w:val="bottom"/>
            <w:tcBorders>
              <w:bottom w:val="single" w:sz="8" w:color="auto"/>
              <w:right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46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453"/>
        </w:trPr>
        <w:tc>
          <w:tcPr>
            <w:tcW w:w="55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46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249" w:right="339" w:bottom="1440" w:gutter="0" w:footer="0" w:header="0"/>
        </w:sectPr>
      </w:pPr>
    </w:p>
    <w:bookmarkStart w:id="53" w:name="page54"/>
    <w:bookmarkEnd w:id="5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960" w:type="dxa"/>
            <w:vAlign w:val="bottom"/>
            <w:tcBorders>
              <w:bottom w:val="single" w:sz="8" w:color="auto"/>
            </w:tcBorders>
          </w:tcPr>
          <w:p>
            <w:pPr>
              <w:spacing w:after="0"/>
              <w:rPr>
                <w:sz w:val="16"/>
                <w:szCs w:val="16"/>
                <w:color w:val="auto"/>
              </w:rPr>
            </w:pPr>
          </w:p>
        </w:tc>
        <w:tc>
          <w:tcPr>
            <w:tcW w:w="5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w:t>
            </w:r>
          </w:p>
        </w:tc>
      </w:tr>
      <w:tr>
        <w:trPr>
          <w:trHeight w:val="263"/>
        </w:trPr>
        <w:tc>
          <w:tcPr>
            <w:tcW w:w="5960" w:type="dxa"/>
            <w:vAlign w:val="bottom"/>
          </w:tcPr>
          <w:p>
            <w:pPr>
              <w:ind w:left="480"/>
              <w:spacing w:after="0"/>
              <w:rPr>
                <w:sz w:val="20"/>
                <w:szCs w:val="20"/>
                <w:color w:val="auto"/>
              </w:rPr>
            </w:pPr>
            <w:r>
              <w:rPr>
                <w:rFonts w:ascii="Arial" w:cs="Arial" w:eastAsia="Arial" w:hAnsi="Arial"/>
                <w:sz w:val="18"/>
                <w:szCs w:val="18"/>
                <w:color w:val="auto"/>
              </w:rPr>
              <w:t>(iv)  an increase of capital, authorized or subject to a condition;</w:t>
            </w:r>
          </w:p>
        </w:tc>
        <w:tc>
          <w:tcPr>
            <w:tcW w:w="5280" w:type="dxa"/>
            <w:vAlign w:val="bottom"/>
          </w:tcPr>
          <w:p>
            <w:pPr>
              <w:jc w:val="right"/>
              <w:spacing w:after="0"/>
              <w:rPr>
                <w:sz w:val="20"/>
                <w:szCs w:val="20"/>
                <w:color w:val="auto"/>
              </w:rPr>
            </w:pPr>
            <w:r>
              <w:rPr>
                <w:rFonts w:ascii="Arial" w:cs="Arial" w:eastAsia="Arial" w:hAnsi="Arial"/>
                <w:sz w:val="18"/>
                <w:szCs w:val="18"/>
                <w:color w:val="auto"/>
              </w:rPr>
              <w:t>(iv)  l'augmentation autorisée ou conditionnelle du capital-</w:t>
            </w:r>
          </w:p>
        </w:tc>
      </w:tr>
      <w:tr>
        <w:trPr>
          <w:trHeight w:val="203"/>
        </w:trPr>
        <w:tc>
          <w:tcPr>
            <w:tcW w:w="5960" w:type="dxa"/>
            <w:vAlign w:val="bottom"/>
          </w:tcPr>
          <w:p>
            <w:pPr>
              <w:spacing w:after="0"/>
              <w:rPr>
                <w:sz w:val="17"/>
                <w:szCs w:val="17"/>
                <w:color w:val="auto"/>
              </w:rPr>
            </w:pPr>
          </w:p>
        </w:tc>
        <w:tc>
          <w:tcPr>
            <w:tcW w:w="5280" w:type="dxa"/>
            <w:vAlign w:val="bottom"/>
          </w:tcPr>
          <w:p>
            <w:pPr>
              <w:jc w:val="right"/>
              <w:ind w:right="3753"/>
              <w:spacing w:after="0" w:line="202" w:lineRule="exact"/>
              <w:rPr>
                <w:sz w:val="20"/>
                <w:szCs w:val="20"/>
                <w:color w:val="auto"/>
              </w:rPr>
            </w:pPr>
            <w:r>
              <w:rPr>
                <w:rFonts w:ascii="Arial" w:cs="Arial" w:eastAsia="Arial" w:hAnsi="Arial"/>
                <w:sz w:val="18"/>
                <w:szCs w:val="18"/>
                <w:color w:val="auto"/>
              </w:rPr>
              <w:t>actions;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-307340</wp:posOffset>
            </wp:positionV>
            <wp:extent cx="7132320" cy="55632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5563235"/>
                    </a:xfrm>
                    <a:prstGeom prst="rect">
                      <a:avLst/>
                    </a:prstGeom>
                    <a:noFill/>
                  </pic:spPr>
                </pic:pic>
              </a:graphicData>
            </a:graphic>
          </wp:anchor>
        </w:drawing>
      </w:r>
    </w:p>
    <w:p>
      <w:pPr>
        <w:ind w:left="920" w:hanging="444"/>
        <w:spacing w:after="0" w:line="234" w:lineRule="auto"/>
        <w:tabs>
          <w:tab w:leader="none" w:pos="920" w:val="left"/>
        </w:tabs>
        <w:numPr>
          <w:ilvl w:val="0"/>
          <w:numId w:val="65"/>
        </w:numPr>
        <w:rPr>
          <w:rFonts w:ascii="Arial" w:cs="Arial" w:eastAsia="Arial" w:hAnsi="Arial"/>
          <w:sz w:val="18"/>
          <w:szCs w:val="18"/>
          <w:color w:val="auto"/>
        </w:rPr>
      </w:pPr>
      <w:r>
        <w:rPr>
          <w:rFonts w:ascii="Arial" w:cs="Arial" w:eastAsia="Arial" w:hAnsi="Arial"/>
          <w:sz w:val="18"/>
          <w:szCs w:val="18"/>
          <w:color w:val="auto"/>
        </w:rPr>
        <w:t>an increase of capital out of equity, against contribution in</w:t>
      </w:r>
    </w:p>
    <w:tbl>
      <w:tblPr>
        <w:tblLayout w:type="fixed"/>
        <w:tblInd w:w="0" w:type="dxa"/>
        <w:tblCellMar>
          <w:top w:w="0" w:type="dxa"/>
          <w:left w:w="0" w:type="dxa"/>
          <w:bottom w:w="0" w:type="dxa"/>
          <w:right w:w="0" w:type="dxa"/>
        </w:tblCellMar>
      </w:tblPr>
      <w:tr>
        <w:trPr>
          <w:trHeight w:val="203"/>
        </w:trPr>
        <w:tc>
          <w:tcPr>
            <w:tcW w:w="360" w:type="dxa"/>
            <w:vAlign w:val="bottom"/>
          </w:tcPr>
          <w:p>
            <w:pPr>
              <w:spacing w:after="0"/>
              <w:rPr>
                <w:sz w:val="17"/>
                <w:szCs w:val="17"/>
                <w:color w:val="auto"/>
              </w:rPr>
            </w:pPr>
          </w:p>
        </w:tc>
        <w:tc>
          <w:tcPr>
            <w:tcW w:w="5380" w:type="dxa"/>
            <w:vAlign w:val="bottom"/>
          </w:tcPr>
          <w:p>
            <w:pPr>
              <w:ind w:left="500"/>
              <w:spacing w:after="0" w:line="203" w:lineRule="exact"/>
              <w:rPr>
                <w:sz w:val="20"/>
                <w:szCs w:val="20"/>
                <w:color w:val="auto"/>
              </w:rPr>
            </w:pPr>
            <w:r>
              <w:rPr>
                <w:rFonts w:ascii="Arial" w:cs="Arial" w:eastAsia="Arial" w:hAnsi="Arial"/>
                <w:sz w:val="18"/>
                <w:szCs w:val="18"/>
                <w:color w:val="auto"/>
              </w:rPr>
              <w:t>kind, or for the purpose of acquisition of assets and the</w:t>
            </w:r>
          </w:p>
        </w:tc>
        <w:tc>
          <w:tcPr>
            <w:tcW w:w="440" w:type="dxa"/>
            <w:vAlign w:val="bottom"/>
          </w:tcPr>
          <w:p>
            <w:pPr>
              <w:spacing w:after="0"/>
              <w:rPr>
                <w:sz w:val="17"/>
                <w:szCs w:val="17"/>
                <w:color w:val="auto"/>
              </w:rPr>
            </w:pPr>
          </w:p>
        </w:tc>
        <w:tc>
          <w:tcPr>
            <w:tcW w:w="5060" w:type="dxa"/>
            <w:vAlign w:val="bottom"/>
            <w:gridSpan w:val="2"/>
          </w:tcPr>
          <w:p>
            <w:pPr>
              <w:ind w:left="220"/>
              <w:spacing w:after="0" w:line="203" w:lineRule="exact"/>
              <w:rPr>
                <w:sz w:val="20"/>
                <w:szCs w:val="20"/>
                <w:color w:val="auto"/>
              </w:rPr>
            </w:pPr>
            <w:r>
              <w:rPr>
                <w:rFonts w:ascii="Arial" w:cs="Arial" w:eastAsia="Arial" w:hAnsi="Arial"/>
                <w:sz w:val="18"/>
                <w:szCs w:val="18"/>
                <w:color w:val="auto"/>
              </w:rPr>
              <w:t>(v)   l'augmentation du capital-actions au moyen des fonds</w:t>
            </w:r>
          </w:p>
        </w:tc>
        <w:tc>
          <w:tcPr>
            <w:tcW w:w="0" w:type="dxa"/>
            <w:vAlign w:val="bottom"/>
          </w:tcPr>
          <w:p>
            <w:pPr>
              <w:spacing w:after="0"/>
              <w:rPr>
                <w:sz w:val="1"/>
                <w:szCs w:val="1"/>
                <w:color w:val="auto"/>
              </w:rPr>
            </w:pPr>
          </w:p>
        </w:tc>
      </w:tr>
      <w:tr>
        <w:trPr>
          <w:trHeight w:val="203"/>
        </w:trPr>
        <w:tc>
          <w:tcPr>
            <w:tcW w:w="360" w:type="dxa"/>
            <w:vAlign w:val="bottom"/>
          </w:tcPr>
          <w:p>
            <w:pPr>
              <w:spacing w:after="0"/>
              <w:rPr>
                <w:sz w:val="17"/>
                <w:szCs w:val="17"/>
                <w:color w:val="auto"/>
              </w:rPr>
            </w:pPr>
          </w:p>
        </w:tc>
        <w:tc>
          <w:tcPr>
            <w:tcW w:w="5380" w:type="dxa"/>
            <w:vAlign w:val="bottom"/>
          </w:tcPr>
          <w:p>
            <w:pPr>
              <w:ind w:left="500"/>
              <w:spacing w:after="0" w:line="202" w:lineRule="exact"/>
              <w:rPr>
                <w:sz w:val="20"/>
                <w:szCs w:val="20"/>
                <w:color w:val="auto"/>
              </w:rPr>
            </w:pPr>
            <w:r>
              <w:rPr>
                <w:rFonts w:ascii="Arial" w:cs="Arial" w:eastAsia="Arial" w:hAnsi="Arial"/>
                <w:sz w:val="18"/>
                <w:szCs w:val="18"/>
                <w:color w:val="auto"/>
              </w:rPr>
              <w:t>granting of special benefits;</w:t>
            </w:r>
          </w:p>
        </w:tc>
        <w:tc>
          <w:tcPr>
            <w:tcW w:w="4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480" w:type="dxa"/>
            <w:vAlign w:val="bottom"/>
          </w:tcPr>
          <w:p>
            <w:pPr>
              <w:ind w:left="20"/>
              <w:spacing w:after="0" w:line="202" w:lineRule="exact"/>
              <w:rPr>
                <w:sz w:val="20"/>
                <w:szCs w:val="20"/>
                <w:color w:val="auto"/>
              </w:rPr>
            </w:pPr>
            <w:r>
              <w:rPr>
                <w:rFonts w:ascii="Arial" w:cs="Arial" w:eastAsia="Arial" w:hAnsi="Arial"/>
                <w:sz w:val="18"/>
                <w:szCs w:val="18"/>
                <w:color w:val="auto"/>
              </w:rPr>
              <w:t>propres, contre apport en nature ou en vue d'une</w:t>
            </w:r>
          </w:p>
        </w:tc>
        <w:tc>
          <w:tcPr>
            <w:tcW w:w="0" w:type="dxa"/>
            <w:vAlign w:val="bottom"/>
          </w:tcPr>
          <w:p>
            <w:pPr>
              <w:spacing w:after="0"/>
              <w:rPr>
                <w:sz w:val="1"/>
                <w:szCs w:val="1"/>
                <w:color w:val="auto"/>
              </w:rPr>
            </w:pPr>
          </w:p>
        </w:tc>
      </w:tr>
      <w:tr>
        <w:trPr>
          <w:trHeight w:val="217"/>
        </w:trPr>
        <w:tc>
          <w:tcPr>
            <w:tcW w:w="360" w:type="dxa"/>
            <w:vAlign w:val="bottom"/>
          </w:tcPr>
          <w:p>
            <w:pPr>
              <w:spacing w:after="0"/>
              <w:rPr>
                <w:sz w:val="18"/>
                <w:szCs w:val="18"/>
                <w:color w:val="auto"/>
              </w:rPr>
            </w:pPr>
          </w:p>
        </w:tc>
        <w:tc>
          <w:tcPr>
            <w:tcW w:w="5380" w:type="dxa"/>
            <w:vAlign w:val="bottom"/>
            <w:vMerge w:val="restart"/>
          </w:tcPr>
          <w:p>
            <w:pPr>
              <w:ind w:left="120"/>
              <w:spacing w:after="0"/>
              <w:rPr>
                <w:sz w:val="20"/>
                <w:szCs w:val="20"/>
                <w:color w:val="auto"/>
              </w:rPr>
            </w:pPr>
            <w:r>
              <w:rPr>
                <w:rFonts w:ascii="Arial" w:cs="Arial" w:eastAsia="Arial" w:hAnsi="Arial"/>
                <w:sz w:val="18"/>
                <w:szCs w:val="18"/>
                <w:color w:val="auto"/>
              </w:rPr>
              <w:t>(vi)  the limitation or withdrawal of subscription rights;</w:t>
            </w:r>
          </w:p>
        </w:tc>
        <w:tc>
          <w:tcPr>
            <w:tcW w:w="4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480" w:type="dxa"/>
            <w:vAlign w:val="bottom"/>
          </w:tcPr>
          <w:p>
            <w:pPr>
              <w:ind w:left="20"/>
              <w:spacing w:after="0"/>
              <w:rPr>
                <w:sz w:val="20"/>
                <w:szCs w:val="20"/>
                <w:color w:val="auto"/>
              </w:rPr>
            </w:pPr>
            <w:r>
              <w:rPr>
                <w:rFonts w:ascii="Arial" w:cs="Arial" w:eastAsia="Arial" w:hAnsi="Arial"/>
                <w:sz w:val="18"/>
                <w:szCs w:val="18"/>
                <w:color w:val="auto"/>
              </w:rPr>
              <w:t>reprise de biens et l'octroi d'avantages particuliers;</w:t>
            </w:r>
          </w:p>
        </w:tc>
        <w:tc>
          <w:tcPr>
            <w:tcW w:w="0" w:type="dxa"/>
            <w:vAlign w:val="bottom"/>
          </w:tcPr>
          <w:p>
            <w:pPr>
              <w:spacing w:after="0"/>
              <w:rPr>
                <w:sz w:val="1"/>
                <w:szCs w:val="1"/>
                <w:color w:val="auto"/>
              </w:rPr>
            </w:pPr>
          </w:p>
        </w:tc>
      </w:tr>
      <w:tr>
        <w:trPr>
          <w:trHeight w:val="203"/>
        </w:trPr>
        <w:tc>
          <w:tcPr>
            <w:tcW w:w="360" w:type="dxa"/>
            <w:vAlign w:val="bottom"/>
          </w:tcPr>
          <w:p>
            <w:pPr>
              <w:spacing w:after="0"/>
              <w:rPr>
                <w:sz w:val="17"/>
                <w:szCs w:val="17"/>
                <w:color w:val="auto"/>
              </w:rPr>
            </w:pPr>
          </w:p>
        </w:tc>
        <w:tc>
          <w:tcPr>
            <w:tcW w:w="5380" w:type="dxa"/>
            <w:vAlign w:val="bottom"/>
            <w:vMerge w:val="continue"/>
          </w:tcPr>
          <w:p>
            <w:pPr>
              <w:spacing w:after="0"/>
              <w:rPr>
                <w:sz w:val="17"/>
                <w:szCs w:val="17"/>
                <w:color w:val="auto"/>
              </w:rPr>
            </w:pPr>
          </w:p>
        </w:tc>
        <w:tc>
          <w:tcPr>
            <w:tcW w:w="440" w:type="dxa"/>
            <w:vAlign w:val="bottom"/>
          </w:tcPr>
          <w:p>
            <w:pPr>
              <w:spacing w:after="0"/>
              <w:rPr>
                <w:sz w:val="17"/>
                <w:szCs w:val="17"/>
                <w:color w:val="auto"/>
              </w:rPr>
            </w:pPr>
          </w:p>
        </w:tc>
        <w:tc>
          <w:tcPr>
            <w:tcW w:w="5060" w:type="dxa"/>
            <w:vAlign w:val="bottom"/>
            <w:gridSpan w:val="2"/>
            <w:vMerge w:val="restart"/>
          </w:tcPr>
          <w:p>
            <w:pPr>
              <w:ind w:left="220"/>
              <w:spacing w:after="0"/>
              <w:rPr>
                <w:sz w:val="20"/>
                <w:szCs w:val="20"/>
                <w:color w:val="auto"/>
              </w:rPr>
            </w:pPr>
            <w:r>
              <w:rPr>
                <w:rFonts w:ascii="Arial" w:cs="Arial" w:eastAsia="Arial" w:hAnsi="Arial"/>
                <w:sz w:val="18"/>
                <w:szCs w:val="18"/>
                <w:color w:val="auto"/>
              </w:rPr>
              <w:t>(vi)  la limitation ou la suppression du droit de souscription</w:t>
            </w:r>
          </w:p>
        </w:tc>
        <w:tc>
          <w:tcPr>
            <w:tcW w:w="0" w:type="dxa"/>
            <w:vAlign w:val="bottom"/>
          </w:tcPr>
          <w:p>
            <w:pPr>
              <w:spacing w:after="0"/>
              <w:rPr>
                <w:sz w:val="1"/>
                <w:szCs w:val="1"/>
                <w:color w:val="auto"/>
              </w:rPr>
            </w:pPr>
          </w:p>
        </w:tc>
      </w:tr>
      <w:tr>
        <w:trPr>
          <w:trHeight w:val="188"/>
        </w:trPr>
        <w:tc>
          <w:tcPr>
            <w:tcW w:w="360" w:type="dxa"/>
            <w:vAlign w:val="bottom"/>
          </w:tcPr>
          <w:p>
            <w:pPr>
              <w:spacing w:after="0"/>
              <w:rPr>
                <w:sz w:val="16"/>
                <w:szCs w:val="16"/>
                <w:color w:val="auto"/>
              </w:rPr>
            </w:pPr>
          </w:p>
        </w:tc>
        <w:tc>
          <w:tcPr>
            <w:tcW w:w="53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506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360" w:type="dxa"/>
            <w:vAlign w:val="bottom"/>
          </w:tcPr>
          <w:p>
            <w:pPr>
              <w:spacing w:after="0"/>
              <w:rPr>
                <w:sz w:val="18"/>
                <w:szCs w:val="18"/>
                <w:color w:val="auto"/>
              </w:rPr>
            </w:pPr>
          </w:p>
        </w:tc>
        <w:tc>
          <w:tcPr>
            <w:tcW w:w="5380" w:type="dxa"/>
            <w:vAlign w:val="bottom"/>
          </w:tcPr>
          <w:p>
            <w:pPr>
              <w:ind w:left="120"/>
              <w:spacing w:after="0"/>
              <w:rPr>
                <w:sz w:val="20"/>
                <w:szCs w:val="20"/>
                <w:color w:val="auto"/>
              </w:rPr>
            </w:pPr>
            <w:r>
              <w:rPr>
                <w:rFonts w:ascii="Arial" w:cs="Arial" w:eastAsia="Arial" w:hAnsi="Arial"/>
                <w:sz w:val="18"/>
                <w:szCs w:val="18"/>
                <w:color w:val="auto"/>
              </w:rPr>
              <w:t>(vii) the change of the domicile of the Company; and</w:t>
            </w:r>
          </w:p>
        </w:tc>
        <w:tc>
          <w:tcPr>
            <w:tcW w:w="4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480" w:type="dxa"/>
            <w:vAlign w:val="bottom"/>
          </w:tcPr>
          <w:p>
            <w:pPr>
              <w:ind w:left="20"/>
              <w:spacing w:after="0"/>
              <w:rPr>
                <w:sz w:val="20"/>
                <w:szCs w:val="20"/>
                <w:color w:val="auto"/>
              </w:rPr>
            </w:pPr>
            <w:r>
              <w:rPr>
                <w:rFonts w:ascii="Arial" w:cs="Arial" w:eastAsia="Arial" w:hAnsi="Arial"/>
                <w:sz w:val="18"/>
                <w:szCs w:val="18"/>
                <w:color w:val="auto"/>
              </w:rPr>
              <w:t>préférentiel;</w:t>
            </w:r>
          </w:p>
        </w:tc>
        <w:tc>
          <w:tcPr>
            <w:tcW w:w="0" w:type="dxa"/>
            <w:vAlign w:val="bottom"/>
          </w:tcPr>
          <w:p>
            <w:pPr>
              <w:spacing w:after="0"/>
              <w:rPr>
                <w:sz w:val="1"/>
                <w:szCs w:val="1"/>
                <w:color w:val="auto"/>
              </w:rPr>
            </w:pPr>
          </w:p>
        </w:tc>
      </w:tr>
      <w:tr>
        <w:trPr>
          <w:trHeight w:val="405"/>
        </w:trPr>
        <w:tc>
          <w:tcPr>
            <w:tcW w:w="360" w:type="dxa"/>
            <w:vAlign w:val="bottom"/>
          </w:tcPr>
          <w:p>
            <w:pPr>
              <w:spacing w:after="0"/>
              <w:rPr>
                <w:sz w:val="24"/>
                <w:szCs w:val="24"/>
                <w:color w:val="auto"/>
              </w:rPr>
            </w:pPr>
          </w:p>
        </w:tc>
        <w:tc>
          <w:tcPr>
            <w:tcW w:w="5380" w:type="dxa"/>
            <w:vAlign w:val="bottom"/>
          </w:tcPr>
          <w:p>
            <w:pPr>
              <w:ind w:left="120"/>
              <w:spacing w:after="0"/>
              <w:rPr>
                <w:sz w:val="20"/>
                <w:szCs w:val="20"/>
                <w:color w:val="auto"/>
              </w:rPr>
            </w:pPr>
            <w:r>
              <w:rPr>
                <w:rFonts w:ascii="Arial" w:cs="Arial" w:eastAsia="Arial" w:hAnsi="Arial"/>
                <w:sz w:val="18"/>
                <w:szCs w:val="18"/>
                <w:color w:val="auto"/>
              </w:rPr>
              <w:t>(viii) the liquidation of the Company;</w:t>
            </w:r>
          </w:p>
        </w:tc>
        <w:tc>
          <w:tcPr>
            <w:tcW w:w="440" w:type="dxa"/>
            <w:vAlign w:val="bottom"/>
          </w:tcPr>
          <w:p>
            <w:pPr>
              <w:spacing w:after="0"/>
              <w:rPr>
                <w:sz w:val="24"/>
                <w:szCs w:val="24"/>
                <w:color w:val="auto"/>
              </w:rPr>
            </w:pPr>
          </w:p>
        </w:tc>
        <w:tc>
          <w:tcPr>
            <w:tcW w:w="580" w:type="dxa"/>
            <w:vAlign w:val="bottom"/>
          </w:tcPr>
          <w:p>
            <w:pPr>
              <w:ind w:left="220"/>
              <w:spacing w:after="0"/>
              <w:rPr>
                <w:sz w:val="20"/>
                <w:szCs w:val="20"/>
                <w:color w:val="auto"/>
              </w:rPr>
            </w:pPr>
            <w:r>
              <w:rPr>
                <w:rFonts w:ascii="Arial" w:cs="Arial" w:eastAsia="Arial" w:hAnsi="Arial"/>
                <w:sz w:val="18"/>
                <w:szCs w:val="18"/>
                <w:color w:val="auto"/>
              </w:rPr>
              <w:t>(vii)</w:t>
            </w:r>
          </w:p>
        </w:tc>
        <w:tc>
          <w:tcPr>
            <w:tcW w:w="4480" w:type="dxa"/>
            <w:vAlign w:val="bottom"/>
          </w:tcPr>
          <w:p>
            <w:pPr>
              <w:ind w:left="20"/>
              <w:spacing w:after="0"/>
              <w:rPr>
                <w:sz w:val="20"/>
                <w:szCs w:val="20"/>
                <w:color w:val="auto"/>
              </w:rPr>
            </w:pPr>
            <w:r>
              <w:rPr>
                <w:rFonts w:ascii="Arial" w:cs="Arial" w:eastAsia="Arial" w:hAnsi="Arial"/>
                <w:sz w:val="18"/>
                <w:szCs w:val="18"/>
                <w:color w:val="auto"/>
              </w:rPr>
              <w:t>le transfert du siège de la société; et</w:t>
            </w:r>
          </w:p>
        </w:tc>
        <w:tc>
          <w:tcPr>
            <w:tcW w:w="0" w:type="dxa"/>
            <w:vAlign w:val="bottom"/>
          </w:tcPr>
          <w:p>
            <w:pPr>
              <w:spacing w:after="0"/>
              <w:rPr>
                <w:sz w:val="1"/>
                <w:szCs w:val="1"/>
                <w:color w:val="auto"/>
              </w:rPr>
            </w:pPr>
          </w:p>
        </w:tc>
      </w:tr>
      <w:tr>
        <w:trPr>
          <w:trHeight w:val="391"/>
        </w:trPr>
        <w:tc>
          <w:tcPr>
            <w:tcW w:w="360" w:type="dxa"/>
            <w:vAlign w:val="bottom"/>
          </w:tcPr>
          <w:p>
            <w:pPr>
              <w:ind w:left="100"/>
              <w:spacing w:after="0"/>
              <w:rPr>
                <w:sz w:val="20"/>
                <w:szCs w:val="20"/>
                <w:color w:val="auto"/>
              </w:rPr>
            </w:pPr>
            <w:r>
              <w:rPr>
                <w:rFonts w:ascii="Arial" w:cs="Arial" w:eastAsia="Arial" w:hAnsi="Arial"/>
                <w:sz w:val="18"/>
                <w:szCs w:val="18"/>
                <w:color w:val="auto"/>
              </w:rPr>
              <w:t>b)</w:t>
            </w:r>
          </w:p>
        </w:tc>
        <w:tc>
          <w:tcPr>
            <w:tcW w:w="5380" w:type="dxa"/>
            <w:vAlign w:val="bottom"/>
          </w:tcPr>
          <w:p>
            <w:pPr>
              <w:jc w:val="right"/>
              <w:ind w:right="110"/>
              <w:spacing w:after="0"/>
              <w:rPr>
                <w:sz w:val="20"/>
                <w:szCs w:val="20"/>
                <w:color w:val="auto"/>
              </w:rPr>
            </w:pPr>
            <w:r>
              <w:rPr>
                <w:rFonts w:ascii="Arial" w:cs="Arial" w:eastAsia="Arial" w:hAnsi="Arial"/>
                <w:sz w:val="18"/>
                <w:szCs w:val="18"/>
                <w:color w:val="auto"/>
              </w:rPr>
              <w:t>the merger, de-merger or conversion of the Company (subject</w:t>
            </w:r>
          </w:p>
        </w:tc>
        <w:tc>
          <w:tcPr>
            <w:tcW w:w="440" w:type="dxa"/>
            <w:vAlign w:val="bottom"/>
          </w:tcPr>
          <w:p>
            <w:pPr>
              <w:spacing w:after="0"/>
              <w:rPr>
                <w:sz w:val="24"/>
                <w:szCs w:val="24"/>
                <w:color w:val="auto"/>
              </w:rPr>
            </w:pPr>
          </w:p>
        </w:tc>
        <w:tc>
          <w:tcPr>
            <w:tcW w:w="580" w:type="dxa"/>
            <w:vAlign w:val="bottom"/>
          </w:tcPr>
          <w:p>
            <w:pPr>
              <w:ind w:left="220"/>
              <w:spacing w:after="0"/>
              <w:rPr>
                <w:sz w:val="20"/>
                <w:szCs w:val="20"/>
                <w:color w:val="auto"/>
              </w:rPr>
            </w:pPr>
            <w:r>
              <w:rPr>
                <w:rFonts w:ascii="Arial" w:cs="Arial" w:eastAsia="Arial" w:hAnsi="Arial"/>
                <w:sz w:val="18"/>
                <w:szCs w:val="18"/>
                <w:color w:val="auto"/>
              </w:rPr>
              <w:t>(viii)</w:t>
            </w:r>
          </w:p>
        </w:tc>
        <w:tc>
          <w:tcPr>
            <w:tcW w:w="4480" w:type="dxa"/>
            <w:vAlign w:val="bottom"/>
          </w:tcPr>
          <w:p>
            <w:pPr>
              <w:ind w:left="60"/>
              <w:spacing w:after="0"/>
              <w:rPr>
                <w:sz w:val="20"/>
                <w:szCs w:val="20"/>
                <w:color w:val="auto"/>
              </w:rPr>
            </w:pPr>
            <w:r>
              <w:rPr>
                <w:rFonts w:ascii="Arial" w:cs="Arial" w:eastAsia="Arial" w:hAnsi="Arial"/>
                <w:sz w:val="18"/>
                <w:szCs w:val="18"/>
                <w:color w:val="auto"/>
              </w:rPr>
              <w:t>la dissolution de la société;</w:t>
            </w:r>
          </w:p>
        </w:tc>
        <w:tc>
          <w:tcPr>
            <w:tcW w:w="0" w:type="dxa"/>
            <w:vAlign w:val="bottom"/>
          </w:tcPr>
          <w:p>
            <w:pPr>
              <w:spacing w:after="0"/>
              <w:rPr>
                <w:sz w:val="1"/>
                <w:szCs w:val="1"/>
                <w:color w:val="auto"/>
              </w:rPr>
            </w:pPr>
          </w:p>
        </w:tc>
      </w:tr>
      <w:tr>
        <w:trPr>
          <w:trHeight w:val="217"/>
        </w:trPr>
        <w:tc>
          <w:tcPr>
            <w:tcW w:w="360" w:type="dxa"/>
            <w:vAlign w:val="bottom"/>
          </w:tcPr>
          <w:p>
            <w:pPr>
              <w:spacing w:after="0"/>
              <w:rPr>
                <w:sz w:val="18"/>
                <w:szCs w:val="18"/>
                <w:color w:val="auto"/>
              </w:rPr>
            </w:pPr>
          </w:p>
        </w:tc>
        <w:tc>
          <w:tcPr>
            <w:tcW w:w="5380" w:type="dxa"/>
            <w:vAlign w:val="bottom"/>
          </w:tcPr>
          <w:p>
            <w:pPr>
              <w:ind w:left="120"/>
              <w:spacing w:after="0"/>
              <w:rPr>
                <w:sz w:val="20"/>
                <w:szCs w:val="20"/>
                <w:color w:val="auto"/>
              </w:rPr>
            </w:pPr>
            <w:r>
              <w:rPr>
                <w:rFonts w:ascii="Arial" w:cs="Arial" w:eastAsia="Arial" w:hAnsi="Arial"/>
                <w:sz w:val="18"/>
                <w:szCs w:val="18"/>
                <w:color w:val="auto"/>
              </w:rPr>
              <w:t>to mandatory law);</w:t>
            </w:r>
          </w:p>
        </w:tc>
        <w:tc>
          <w:tcPr>
            <w:tcW w:w="440" w:type="dxa"/>
            <w:vAlign w:val="bottom"/>
            <w:vMerge w:val="restart"/>
          </w:tcPr>
          <w:p>
            <w:pPr>
              <w:ind w:left="200"/>
              <w:spacing w:after="0"/>
              <w:rPr>
                <w:sz w:val="20"/>
                <w:szCs w:val="20"/>
                <w:color w:val="auto"/>
              </w:rPr>
            </w:pPr>
            <w:r>
              <w:rPr>
                <w:rFonts w:ascii="Arial" w:cs="Arial" w:eastAsia="Arial" w:hAnsi="Arial"/>
                <w:sz w:val="18"/>
                <w:szCs w:val="18"/>
                <w:color w:val="auto"/>
              </w:rPr>
              <w:t>b)</w:t>
            </w:r>
          </w:p>
        </w:tc>
        <w:tc>
          <w:tcPr>
            <w:tcW w:w="5060" w:type="dxa"/>
            <w:vAlign w:val="bottom"/>
            <w:gridSpan w:val="2"/>
            <w:vMerge w:val="restart"/>
          </w:tcPr>
          <w:p>
            <w:pPr>
              <w:ind w:left="220"/>
              <w:spacing w:after="0"/>
              <w:rPr>
                <w:sz w:val="20"/>
                <w:szCs w:val="20"/>
                <w:color w:val="auto"/>
              </w:rPr>
            </w:pPr>
            <w:r>
              <w:rPr>
                <w:rFonts w:ascii="Arial" w:cs="Arial" w:eastAsia="Arial" w:hAnsi="Arial"/>
                <w:sz w:val="18"/>
                <w:szCs w:val="18"/>
                <w:color w:val="auto"/>
              </w:rPr>
              <w:t>la fusion, la scission ou la conversion de la société (sous</w:t>
            </w:r>
          </w:p>
        </w:tc>
        <w:tc>
          <w:tcPr>
            <w:tcW w:w="0" w:type="dxa"/>
            <w:vAlign w:val="bottom"/>
          </w:tcPr>
          <w:p>
            <w:pPr>
              <w:spacing w:after="0"/>
              <w:rPr>
                <w:sz w:val="1"/>
                <w:szCs w:val="1"/>
                <w:color w:val="auto"/>
              </w:rPr>
            </w:pPr>
          </w:p>
        </w:tc>
      </w:tr>
      <w:tr>
        <w:trPr>
          <w:trHeight w:val="188"/>
        </w:trPr>
        <w:tc>
          <w:tcPr>
            <w:tcW w:w="360" w:type="dxa"/>
            <w:vAlign w:val="bottom"/>
          </w:tcPr>
          <w:p>
            <w:pPr>
              <w:spacing w:after="0"/>
              <w:rPr>
                <w:sz w:val="16"/>
                <w:szCs w:val="16"/>
                <w:color w:val="auto"/>
              </w:rPr>
            </w:pPr>
          </w:p>
        </w:tc>
        <w:tc>
          <w:tcPr>
            <w:tcW w:w="5380" w:type="dxa"/>
            <w:vAlign w:val="bottom"/>
          </w:tcPr>
          <w:p>
            <w:pPr>
              <w:spacing w:after="0"/>
              <w:rPr>
                <w:sz w:val="16"/>
                <w:szCs w:val="16"/>
                <w:color w:val="auto"/>
              </w:rPr>
            </w:pPr>
          </w:p>
        </w:tc>
        <w:tc>
          <w:tcPr>
            <w:tcW w:w="440" w:type="dxa"/>
            <w:vAlign w:val="bottom"/>
            <w:vMerge w:val="continue"/>
          </w:tcPr>
          <w:p>
            <w:pPr>
              <w:spacing w:after="0"/>
              <w:rPr>
                <w:sz w:val="16"/>
                <w:szCs w:val="16"/>
                <w:color w:val="auto"/>
              </w:rPr>
            </w:pPr>
          </w:p>
        </w:tc>
        <w:tc>
          <w:tcPr>
            <w:tcW w:w="506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5740" w:type="dxa"/>
            <w:vAlign w:val="bottom"/>
            <w:gridSpan w:val="2"/>
          </w:tcPr>
          <w:p>
            <w:pPr>
              <w:ind w:left="100"/>
              <w:spacing w:after="0" w:line="202" w:lineRule="exact"/>
              <w:rPr>
                <w:sz w:val="20"/>
                <w:szCs w:val="20"/>
                <w:color w:val="auto"/>
              </w:rPr>
            </w:pPr>
            <w:r>
              <w:rPr>
                <w:rFonts w:ascii="Arial" w:cs="Arial" w:eastAsia="Arial" w:hAnsi="Arial"/>
                <w:sz w:val="18"/>
                <w:szCs w:val="18"/>
                <w:color w:val="auto"/>
              </w:rPr>
              <w:t>c)   the alleviating or withdrawal of restrictions upon the transfer of</w:t>
            </w:r>
          </w:p>
        </w:tc>
        <w:tc>
          <w:tcPr>
            <w:tcW w:w="440" w:type="dxa"/>
            <w:vAlign w:val="bottom"/>
          </w:tcPr>
          <w:p>
            <w:pPr>
              <w:spacing w:after="0"/>
              <w:rPr>
                <w:sz w:val="17"/>
                <w:szCs w:val="17"/>
                <w:color w:val="auto"/>
              </w:rPr>
            </w:pPr>
          </w:p>
        </w:tc>
        <w:tc>
          <w:tcPr>
            <w:tcW w:w="5060" w:type="dxa"/>
            <w:vAlign w:val="bottom"/>
            <w:gridSpan w:val="2"/>
          </w:tcPr>
          <w:p>
            <w:pPr>
              <w:ind w:left="220"/>
              <w:spacing w:after="0" w:line="202" w:lineRule="exact"/>
              <w:rPr>
                <w:sz w:val="20"/>
                <w:szCs w:val="20"/>
                <w:color w:val="auto"/>
              </w:rPr>
            </w:pPr>
            <w:r>
              <w:rPr>
                <w:rFonts w:ascii="Arial" w:cs="Arial" w:eastAsia="Arial" w:hAnsi="Arial"/>
                <w:sz w:val="18"/>
                <w:szCs w:val="18"/>
                <w:color w:val="auto"/>
              </w:rPr>
              <w:t>réserve des dispositions impératives);</w:t>
            </w:r>
          </w:p>
        </w:tc>
        <w:tc>
          <w:tcPr>
            <w:tcW w:w="0" w:type="dxa"/>
            <w:vAlign w:val="bottom"/>
          </w:tcPr>
          <w:p>
            <w:pPr>
              <w:spacing w:after="0"/>
              <w:rPr>
                <w:sz w:val="1"/>
                <w:szCs w:val="1"/>
                <w:color w:val="auto"/>
              </w:rPr>
            </w:pPr>
          </w:p>
        </w:tc>
      </w:tr>
      <w:tr>
        <w:trPr>
          <w:trHeight w:val="217"/>
        </w:trPr>
        <w:tc>
          <w:tcPr>
            <w:tcW w:w="360" w:type="dxa"/>
            <w:vAlign w:val="bottom"/>
          </w:tcPr>
          <w:p>
            <w:pPr>
              <w:spacing w:after="0"/>
              <w:rPr>
                <w:sz w:val="18"/>
                <w:szCs w:val="18"/>
                <w:color w:val="auto"/>
              </w:rPr>
            </w:pPr>
          </w:p>
        </w:tc>
        <w:tc>
          <w:tcPr>
            <w:tcW w:w="5380" w:type="dxa"/>
            <w:vAlign w:val="bottom"/>
          </w:tcPr>
          <w:p>
            <w:pPr>
              <w:ind w:left="120"/>
              <w:spacing w:after="0"/>
              <w:rPr>
                <w:sz w:val="20"/>
                <w:szCs w:val="20"/>
                <w:color w:val="auto"/>
              </w:rPr>
            </w:pPr>
            <w:r>
              <w:rPr>
                <w:rFonts w:ascii="Arial" w:cs="Arial" w:eastAsia="Arial" w:hAnsi="Arial"/>
                <w:sz w:val="18"/>
                <w:szCs w:val="18"/>
                <w:color w:val="auto"/>
              </w:rPr>
              <w:t>registered shares;</w:t>
            </w:r>
          </w:p>
        </w:tc>
        <w:tc>
          <w:tcPr>
            <w:tcW w:w="440" w:type="dxa"/>
            <w:vAlign w:val="bottom"/>
            <w:vMerge w:val="restart"/>
          </w:tcPr>
          <w:p>
            <w:pPr>
              <w:ind w:left="200"/>
              <w:spacing w:after="0"/>
              <w:rPr>
                <w:sz w:val="20"/>
                <w:szCs w:val="20"/>
                <w:color w:val="auto"/>
              </w:rPr>
            </w:pPr>
            <w:r>
              <w:rPr>
                <w:rFonts w:ascii="Arial" w:cs="Arial" w:eastAsia="Arial" w:hAnsi="Arial"/>
                <w:sz w:val="18"/>
                <w:szCs w:val="18"/>
                <w:color w:val="auto"/>
              </w:rPr>
              <w:t>c)</w:t>
            </w:r>
          </w:p>
        </w:tc>
        <w:tc>
          <w:tcPr>
            <w:tcW w:w="5060" w:type="dxa"/>
            <w:vAlign w:val="bottom"/>
            <w:gridSpan w:val="2"/>
            <w:vMerge w:val="restart"/>
          </w:tcPr>
          <w:p>
            <w:pPr>
              <w:jc w:val="right"/>
              <w:spacing w:after="0"/>
              <w:rPr>
                <w:sz w:val="20"/>
                <w:szCs w:val="20"/>
                <w:color w:val="auto"/>
              </w:rPr>
            </w:pPr>
            <w:r>
              <w:rPr>
                <w:rFonts w:ascii="Arial" w:cs="Arial" w:eastAsia="Arial" w:hAnsi="Arial"/>
                <w:sz w:val="18"/>
                <w:szCs w:val="18"/>
                <w:color w:val="auto"/>
              </w:rPr>
              <w:t>l'atténuation ou la suppression des restrictions sur le</w:t>
            </w:r>
          </w:p>
        </w:tc>
        <w:tc>
          <w:tcPr>
            <w:tcW w:w="0" w:type="dxa"/>
            <w:vAlign w:val="bottom"/>
          </w:tcPr>
          <w:p>
            <w:pPr>
              <w:spacing w:after="0"/>
              <w:rPr>
                <w:sz w:val="1"/>
                <w:szCs w:val="1"/>
                <w:color w:val="auto"/>
              </w:rPr>
            </w:pPr>
          </w:p>
        </w:tc>
      </w:tr>
      <w:tr>
        <w:trPr>
          <w:trHeight w:val="188"/>
        </w:trPr>
        <w:tc>
          <w:tcPr>
            <w:tcW w:w="360" w:type="dxa"/>
            <w:vAlign w:val="bottom"/>
          </w:tcPr>
          <w:p>
            <w:pPr>
              <w:spacing w:after="0"/>
              <w:rPr>
                <w:sz w:val="16"/>
                <w:szCs w:val="16"/>
                <w:color w:val="auto"/>
              </w:rPr>
            </w:pPr>
          </w:p>
        </w:tc>
        <w:tc>
          <w:tcPr>
            <w:tcW w:w="5380" w:type="dxa"/>
            <w:vAlign w:val="bottom"/>
          </w:tcPr>
          <w:p>
            <w:pPr>
              <w:spacing w:after="0"/>
              <w:rPr>
                <w:sz w:val="16"/>
                <w:szCs w:val="16"/>
                <w:color w:val="auto"/>
              </w:rPr>
            </w:pPr>
          </w:p>
        </w:tc>
        <w:tc>
          <w:tcPr>
            <w:tcW w:w="440" w:type="dxa"/>
            <w:vAlign w:val="bottom"/>
            <w:vMerge w:val="continue"/>
          </w:tcPr>
          <w:p>
            <w:pPr>
              <w:spacing w:after="0"/>
              <w:rPr>
                <w:sz w:val="16"/>
                <w:szCs w:val="16"/>
                <w:color w:val="auto"/>
              </w:rPr>
            </w:pPr>
          </w:p>
        </w:tc>
        <w:tc>
          <w:tcPr>
            <w:tcW w:w="506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5740" w:type="dxa"/>
            <w:vAlign w:val="bottom"/>
            <w:gridSpan w:val="2"/>
          </w:tcPr>
          <w:p>
            <w:pPr>
              <w:ind w:left="100"/>
              <w:spacing w:after="0" w:line="202" w:lineRule="exact"/>
              <w:rPr>
                <w:sz w:val="20"/>
                <w:szCs w:val="20"/>
                <w:color w:val="auto"/>
              </w:rPr>
            </w:pPr>
            <w:r>
              <w:rPr>
                <w:rFonts w:ascii="Arial" w:cs="Arial" w:eastAsia="Arial" w:hAnsi="Arial"/>
                <w:sz w:val="18"/>
                <w:szCs w:val="18"/>
                <w:color w:val="auto"/>
              </w:rPr>
              <w:t>d)   the conversion of registered shares into bearer shares and vice</w:t>
            </w:r>
          </w:p>
        </w:tc>
        <w:tc>
          <w:tcPr>
            <w:tcW w:w="440" w:type="dxa"/>
            <w:vAlign w:val="bottom"/>
          </w:tcPr>
          <w:p>
            <w:pPr>
              <w:spacing w:after="0"/>
              <w:rPr>
                <w:sz w:val="17"/>
                <w:szCs w:val="17"/>
                <w:color w:val="auto"/>
              </w:rPr>
            </w:pPr>
          </w:p>
        </w:tc>
        <w:tc>
          <w:tcPr>
            <w:tcW w:w="5060" w:type="dxa"/>
            <w:vAlign w:val="bottom"/>
            <w:gridSpan w:val="2"/>
          </w:tcPr>
          <w:p>
            <w:pPr>
              <w:ind w:left="220"/>
              <w:spacing w:after="0" w:line="202" w:lineRule="exact"/>
              <w:rPr>
                <w:sz w:val="20"/>
                <w:szCs w:val="20"/>
                <w:color w:val="auto"/>
              </w:rPr>
            </w:pPr>
            <w:r>
              <w:rPr>
                <w:rFonts w:ascii="Arial" w:cs="Arial" w:eastAsia="Arial" w:hAnsi="Arial"/>
                <w:sz w:val="18"/>
                <w:szCs w:val="18"/>
                <w:color w:val="auto"/>
              </w:rPr>
              <w:t>transfert des actions nominatives;</w:t>
            </w:r>
          </w:p>
        </w:tc>
        <w:tc>
          <w:tcPr>
            <w:tcW w:w="0" w:type="dxa"/>
            <w:vAlign w:val="bottom"/>
          </w:tcPr>
          <w:p>
            <w:pPr>
              <w:spacing w:after="0"/>
              <w:rPr>
                <w:sz w:val="1"/>
                <w:szCs w:val="1"/>
                <w:color w:val="auto"/>
              </w:rPr>
            </w:pPr>
          </w:p>
        </w:tc>
      </w:tr>
      <w:tr>
        <w:trPr>
          <w:trHeight w:val="217"/>
        </w:trPr>
        <w:tc>
          <w:tcPr>
            <w:tcW w:w="360" w:type="dxa"/>
            <w:vAlign w:val="bottom"/>
          </w:tcPr>
          <w:p>
            <w:pPr>
              <w:spacing w:after="0"/>
              <w:rPr>
                <w:sz w:val="18"/>
                <w:szCs w:val="18"/>
                <w:color w:val="auto"/>
              </w:rPr>
            </w:pPr>
          </w:p>
        </w:tc>
        <w:tc>
          <w:tcPr>
            <w:tcW w:w="5380" w:type="dxa"/>
            <w:vAlign w:val="bottom"/>
          </w:tcPr>
          <w:p>
            <w:pPr>
              <w:ind w:left="120"/>
              <w:spacing w:after="0"/>
              <w:rPr>
                <w:sz w:val="20"/>
                <w:szCs w:val="20"/>
                <w:color w:val="auto"/>
              </w:rPr>
            </w:pPr>
            <w:r>
              <w:rPr>
                <w:rFonts w:ascii="Arial" w:cs="Arial" w:eastAsia="Arial" w:hAnsi="Arial"/>
                <w:sz w:val="18"/>
                <w:szCs w:val="18"/>
                <w:color w:val="auto"/>
              </w:rPr>
              <w:t>versa; and</w:t>
            </w:r>
          </w:p>
        </w:tc>
        <w:tc>
          <w:tcPr>
            <w:tcW w:w="5500" w:type="dxa"/>
            <w:vAlign w:val="bottom"/>
            <w:gridSpan w:val="3"/>
            <w:vMerge w:val="restart"/>
          </w:tcPr>
          <w:p>
            <w:pPr>
              <w:ind w:left="200"/>
              <w:spacing w:after="0"/>
              <w:rPr>
                <w:sz w:val="20"/>
                <w:szCs w:val="20"/>
                <w:color w:val="auto"/>
              </w:rPr>
            </w:pPr>
            <w:r>
              <w:rPr>
                <w:rFonts w:ascii="Arial" w:cs="Arial" w:eastAsia="Arial" w:hAnsi="Arial"/>
                <w:sz w:val="18"/>
                <w:szCs w:val="18"/>
                <w:color w:val="auto"/>
              </w:rPr>
              <w:t>d)   la conversion d'actions nominatives en actions au porteur et</w:t>
            </w:r>
          </w:p>
        </w:tc>
        <w:tc>
          <w:tcPr>
            <w:tcW w:w="0" w:type="dxa"/>
            <w:vAlign w:val="bottom"/>
          </w:tcPr>
          <w:p>
            <w:pPr>
              <w:spacing w:after="0"/>
              <w:rPr>
                <w:sz w:val="1"/>
                <w:szCs w:val="1"/>
                <w:color w:val="auto"/>
              </w:rPr>
            </w:pPr>
          </w:p>
        </w:tc>
      </w:tr>
      <w:tr>
        <w:trPr>
          <w:trHeight w:val="188"/>
        </w:trPr>
        <w:tc>
          <w:tcPr>
            <w:tcW w:w="360" w:type="dxa"/>
            <w:vAlign w:val="bottom"/>
          </w:tcPr>
          <w:p>
            <w:pPr>
              <w:spacing w:after="0"/>
              <w:rPr>
                <w:sz w:val="16"/>
                <w:szCs w:val="16"/>
                <w:color w:val="auto"/>
              </w:rPr>
            </w:pPr>
          </w:p>
        </w:tc>
        <w:tc>
          <w:tcPr>
            <w:tcW w:w="5380" w:type="dxa"/>
            <w:vAlign w:val="bottom"/>
          </w:tcPr>
          <w:p>
            <w:pPr>
              <w:spacing w:after="0"/>
              <w:rPr>
                <w:sz w:val="16"/>
                <w:szCs w:val="16"/>
                <w:color w:val="auto"/>
              </w:rPr>
            </w:pPr>
          </w:p>
        </w:tc>
        <w:tc>
          <w:tcPr>
            <w:tcW w:w="5500" w:type="dxa"/>
            <w:vAlign w:val="bottom"/>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5740" w:type="dxa"/>
            <w:vAlign w:val="bottom"/>
            <w:gridSpan w:val="2"/>
          </w:tcPr>
          <w:p>
            <w:pPr>
              <w:ind w:left="100"/>
              <w:spacing w:after="0" w:line="202" w:lineRule="exact"/>
              <w:rPr>
                <w:sz w:val="20"/>
                <w:szCs w:val="20"/>
                <w:color w:val="auto"/>
              </w:rPr>
            </w:pPr>
            <w:r>
              <w:rPr>
                <w:rFonts w:ascii="Arial" w:cs="Arial" w:eastAsia="Arial" w:hAnsi="Arial"/>
                <w:sz w:val="18"/>
                <w:szCs w:val="18"/>
                <w:color w:val="auto"/>
              </w:rPr>
              <w:t>e)   the amendment or elimination of the provisions of Article 4 and</w:t>
            </w:r>
          </w:p>
        </w:tc>
        <w:tc>
          <w:tcPr>
            <w:tcW w:w="440" w:type="dxa"/>
            <w:vAlign w:val="bottom"/>
          </w:tcPr>
          <w:p>
            <w:pPr>
              <w:spacing w:after="0"/>
              <w:rPr>
                <w:sz w:val="17"/>
                <w:szCs w:val="17"/>
                <w:color w:val="auto"/>
              </w:rPr>
            </w:pPr>
          </w:p>
        </w:tc>
        <w:tc>
          <w:tcPr>
            <w:tcW w:w="5060" w:type="dxa"/>
            <w:vAlign w:val="bottom"/>
            <w:gridSpan w:val="2"/>
          </w:tcPr>
          <w:p>
            <w:pPr>
              <w:ind w:left="220"/>
              <w:spacing w:after="0" w:line="202" w:lineRule="exact"/>
              <w:rPr>
                <w:sz w:val="20"/>
                <w:szCs w:val="20"/>
                <w:color w:val="auto"/>
              </w:rPr>
            </w:pPr>
            <w:r>
              <w:rPr>
                <w:rFonts w:ascii="Arial" w:cs="Arial" w:eastAsia="Arial" w:hAnsi="Arial"/>
                <w:sz w:val="18"/>
                <w:szCs w:val="18"/>
                <w:color w:val="auto"/>
              </w:rPr>
              <w:t>vice versa; et</w:t>
            </w:r>
          </w:p>
        </w:tc>
        <w:tc>
          <w:tcPr>
            <w:tcW w:w="0" w:type="dxa"/>
            <w:vAlign w:val="bottom"/>
          </w:tcPr>
          <w:p>
            <w:pPr>
              <w:spacing w:after="0"/>
              <w:rPr>
                <w:sz w:val="1"/>
                <w:szCs w:val="1"/>
                <w:color w:val="auto"/>
              </w:rPr>
            </w:pPr>
          </w:p>
        </w:tc>
      </w:tr>
      <w:tr>
        <w:trPr>
          <w:trHeight w:val="203"/>
        </w:trPr>
        <w:tc>
          <w:tcPr>
            <w:tcW w:w="360" w:type="dxa"/>
            <w:vAlign w:val="bottom"/>
          </w:tcPr>
          <w:p>
            <w:pPr>
              <w:spacing w:after="0"/>
              <w:rPr>
                <w:sz w:val="17"/>
                <w:szCs w:val="17"/>
                <w:color w:val="auto"/>
              </w:rPr>
            </w:pPr>
          </w:p>
        </w:tc>
        <w:tc>
          <w:tcPr>
            <w:tcW w:w="5380" w:type="dxa"/>
            <w:vAlign w:val="bottom"/>
          </w:tcPr>
          <w:p>
            <w:pPr>
              <w:ind w:left="120"/>
              <w:spacing w:after="0" w:line="202" w:lineRule="exact"/>
              <w:rPr>
                <w:sz w:val="20"/>
                <w:szCs w:val="20"/>
                <w:color w:val="auto"/>
              </w:rPr>
            </w:pPr>
            <w:r>
              <w:rPr>
                <w:rFonts w:ascii="Arial" w:cs="Arial" w:eastAsia="Arial" w:hAnsi="Arial"/>
                <w:sz w:val="18"/>
                <w:szCs w:val="18"/>
                <w:color w:val="auto"/>
              </w:rPr>
              <w:t>29 of the Articles of Association as well as those contained in</w:t>
            </w:r>
          </w:p>
        </w:tc>
        <w:tc>
          <w:tcPr>
            <w:tcW w:w="4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60" w:type="dxa"/>
            <w:vAlign w:val="bottom"/>
          </w:tcPr>
          <w:p>
            <w:pPr>
              <w:spacing w:after="0"/>
              <w:rPr>
                <w:sz w:val="17"/>
                <w:szCs w:val="17"/>
                <w:color w:val="auto"/>
              </w:rPr>
            </w:pPr>
          </w:p>
        </w:tc>
        <w:tc>
          <w:tcPr>
            <w:tcW w:w="5380" w:type="dxa"/>
            <w:vAlign w:val="bottom"/>
          </w:tcPr>
          <w:p>
            <w:pPr>
              <w:ind w:left="120"/>
              <w:spacing w:after="0" w:line="202" w:lineRule="exact"/>
              <w:rPr>
                <w:sz w:val="20"/>
                <w:szCs w:val="20"/>
                <w:color w:val="auto"/>
              </w:rPr>
            </w:pPr>
            <w:r>
              <w:rPr>
                <w:rFonts w:ascii="Arial" w:cs="Arial" w:eastAsia="Arial" w:hAnsi="Arial"/>
                <w:sz w:val="18"/>
                <w:szCs w:val="18"/>
                <w:color w:val="auto"/>
              </w:rPr>
              <w:t>this Article 17.</w:t>
            </w:r>
          </w:p>
        </w:tc>
        <w:tc>
          <w:tcPr>
            <w:tcW w:w="440" w:type="dxa"/>
            <w:vAlign w:val="bottom"/>
          </w:tcPr>
          <w:p>
            <w:pPr>
              <w:ind w:left="200"/>
              <w:spacing w:after="0" w:line="202" w:lineRule="exact"/>
              <w:rPr>
                <w:sz w:val="20"/>
                <w:szCs w:val="20"/>
                <w:color w:val="auto"/>
              </w:rPr>
            </w:pPr>
            <w:r>
              <w:rPr>
                <w:rFonts w:ascii="Arial" w:cs="Arial" w:eastAsia="Arial" w:hAnsi="Arial"/>
                <w:sz w:val="18"/>
                <w:szCs w:val="18"/>
                <w:color w:val="auto"/>
              </w:rPr>
              <w:t>e)</w:t>
            </w:r>
          </w:p>
        </w:tc>
        <w:tc>
          <w:tcPr>
            <w:tcW w:w="5060" w:type="dxa"/>
            <w:vAlign w:val="bottom"/>
            <w:gridSpan w:val="2"/>
          </w:tcPr>
          <w:p>
            <w:pPr>
              <w:jc w:val="right"/>
              <w:ind w:right="10"/>
              <w:spacing w:after="0" w:line="202" w:lineRule="exact"/>
              <w:rPr>
                <w:sz w:val="20"/>
                <w:szCs w:val="20"/>
                <w:color w:val="auto"/>
              </w:rPr>
            </w:pPr>
            <w:r>
              <w:rPr>
                <w:rFonts w:ascii="Arial" w:cs="Arial" w:eastAsia="Arial" w:hAnsi="Arial"/>
                <w:sz w:val="18"/>
                <w:szCs w:val="18"/>
                <w:color w:val="auto"/>
              </w:rPr>
              <w:t>la modification ou la suppression des dispositions des</w:t>
            </w:r>
          </w:p>
        </w:tc>
        <w:tc>
          <w:tcPr>
            <w:tcW w:w="0" w:type="dxa"/>
            <w:vAlign w:val="bottom"/>
          </w:tcPr>
          <w:p>
            <w:pPr>
              <w:spacing w:after="0"/>
              <w:rPr>
                <w:sz w:val="1"/>
                <w:szCs w:val="1"/>
                <w:color w:val="auto"/>
              </w:rPr>
            </w:pPr>
          </w:p>
        </w:tc>
      </w:tr>
      <w:tr>
        <w:trPr>
          <w:trHeight w:val="203"/>
        </w:trPr>
        <w:tc>
          <w:tcPr>
            <w:tcW w:w="360" w:type="dxa"/>
            <w:vAlign w:val="bottom"/>
          </w:tcPr>
          <w:p>
            <w:pPr>
              <w:spacing w:after="0"/>
              <w:rPr>
                <w:sz w:val="17"/>
                <w:szCs w:val="17"/>
                <w:color w:val="auto"/>
              </w:rPr>
            </w:pPr>
          </w:p>
        </w:tc>
        <w:tc>
          <w:tcPr>
            <w:tcW w:w="53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0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articles 4 et 29 des statuts ainsi que ceux contenues dans le</w:t>
            </w:r>
          </w:p>
        </w:tc>
        <w:tc>
          <w:tcPr>
            <w:tcW w:w="0" w:type="dxa"/>
            <w:vAlign w:val="bottom"/>
          </w:tcPr>
          <w:p>
            <w:pPr>
              <w:spacing w:after="0"/>
              <w:rPr>
                <w:sz w:val="1"/>
                <w:szCs w:val="1"/>
                <w:color w:val="auto"/>
              </w:rPr>
            </w:pPr>
          </w:p>
        </w:tc>
      </w:tr>
      <w:tr>
        <w:trPr>
          <w:trHeight w:val="217"/>
        </w:trPr>
        <w:tc>
          <w:tcPr>
            <w:tcW w:w="360" w:type="dxa"/>
            <w:vAlign w:val="bottom"/>
          </w:tcPr>
          <w:p>
            <w:pPr>
              <w:spacing w:after="0"/>
              <w:rPr>
                <w:sz w:val="18"/>
                <w:szCs w:val="18"/>
                <w:color w:val="auto"/>
              </w:rPr>
            </w:pPr>
          </w:p>
        </w:tc>
        <w:tc>
          <w:tcPr>
            <w:tcW w:w="53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060" w:type="dxa"/>
            <w:vAlign w:val="bottom"/>
            <w:gridSpan w:val="2"/>
          </w:tcPr>
          <w:p>
            <w:pPr>
              <w:ind w:left="140"/>
              <w:spacing w:after="0"/>
              <w:rPr>
                <w:sz w:val="20"/>
                <w:szCs w:val="20"/>
                <w:color w:val="auto"/>
              </w:rPr>
            </w:pPr>
            <w:r>
              <w:rPr>
                <w:rFonts w:ascii="Arial" w:cs="Arial" w:eastAsia="Arial" w:hAnsi="Arial"/>
                <w:sz w:val="18"/>
                <w:szCs w:val="18"/>
                <w:color w:val="auto"/>
              </w:rPr>
              <w:t>présent article 17.</w:t>
            </w:r>
          </w:p>
        </w:tc>
        <w:tc>
          <w:tcPr>
            <w:tcW w:w="0" w:type="dxa"/>
            <w:vAlign w:val="bottom"/>
          </w:tcPr>
          <w:p>
            <w:pPr>
              <w:spacing w:after="0"/>
              <w:rPr>
                <w:sz w:val="1"/>
                <w:szCs w:val="1"/>
                <w:color w:val="auto"/>
              </w:rPr>
            </w:pPr>
          </w:p>
        </w:tc>
      </w:tr>
      <w:tr>
        <w:trPr>
          <w:trHeight w:val="54"/>
        </w:trPr>
        <w:tc>
          <w:tcPr>
            <w:tcW w:w="5740" w:type="dxa"/>
            <w:vAlign w:val="bottom"/>
            <w:tcBorders>
              <w:bottom w:val="single" w:sz="8" w:color="auto"/>
            </w:tcBorders>
            <w:gridSpan w:val="2"/>
          </w:tcPr>
          <w:p>
            <w:pPr>
              <w:spacing w:after="0"/>
              <w:rPr>
                <w:sz w:val="4"/>
                <w:szCs w:val="4"/>
                <w:color w:val="auto"/>
              </w:rPr>
            </w:pPr>
          </w:p>
        </w:tc>
        <w:tc>
          <w:tcPr>
            <w:tcW w:w="5500" w:type="dxa"/>
            <w:vAlign w:val="bottom"/>
            <w:tcBorders>
              <w:bottom w:val="single" w:sz="8" w:color="auto"/>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277"/>
        </w:trPr>
        <w:tc>
          <w:tcPr>
            <w:tcW w:w="5740" w:type="dxa"/>
            <w:vAlign w:val="bottom"/>
            <w:gridSpan w:val="2"/>
          </w:tcPr>
          <w:p>
            <w:pPr>
              <w:ind w:left="100"/>
              <w:spacing w:after="0"/>
              <w:rPr>
                <w:sz w:val="20"/>
                <w:szCs w:val="20"/>
                <w:color w:val="auto"/>
              </w:rPr>
            </w:pPr>
            <w:r>
              <w:rPr>
                <w:rFonts w:ascii="Arial" w:cs="Arial" w:eastAsia="Arial" w:hAnsi="Arial"/>
                <w:sz w:val="18"/>
                <w:szCs w:val="18"/>
                <w:b w:val="1"/>
                <w:bCs w:val="1"/>
                <w:color w:val="auto"/>
              </w:rPr>
              <w:t>Art. 18 Votes on Compensation</w:t>
            </w:r>
          </w:p>
        </w:tc>
        <w:tc>
          <w:tcPr>
            <w:tcW w:w="5500" w:type="dxa"/>
            <w:vAlign w:val="bottom"/>
            <w:gridSpan w:val="3"/>
          </w:tcPr>
          <w:p>
            <w:pPr>
              <w:ind w:left="200"/>
              <w:spacing w:after="0"/>
              <w:rPr>
                <w:sz w:val="20"/>
                <w:szCs w:val="20"/>
                <w:color w:val="auto"/>
              </w:rPr>
            </w:pPr>
            <w:r>
              <w:rPr>
                <w:rFonts w:ascii="Arial" w:cs="Arial" w:eastAsia="Arial" w:hAnsi="Arial"/>
                <w:sz w:val="18"/>
                <w:szCs w:val="18"/>
                <w:b w:val="1"/>
                <w:bCs w:val="1"/>
                <w:color w:val="auto"/>
              </w:rPr>
              <w:t>Art. 18 Votes sur la rémunération</w:t>
            </w:r>
          </w:p>
        </w:tc>
        <w:tc>
          <w:tcPr>
            <w:tcW w:w="0" w:type="dxa"/>
            <w:vAlign w:val="bottom"/>
          </w:tcPr>
          <w:p>
            <w:pPr>
              <w:spacing w:after="0"/>
              <w:rPr>
                <w:sz w:val="1"/>
                <w:szCs w:val="1"/>
                <w:color w:val="auto"/>
              </w:rPr>
            </w:pPr>
          </w:p>
        </w:tc>
      </w:tr>
      <w:tr>
        <w:trPr>
          <w:trHeight w:val="391"/>
        </w:trPr>
        <w:tc>
          <w:tcPr>
            <w:tcW w:w="5740" w:type="dxa"/>
            <w:vAlign w:val="bottom"/>
            <w:gridSpan w:val="2"/>
          </w:tcPr>
          <w:p>
            <w:pPr>
              <w:ind w:left="100"/>
              <w:spacing w:after="0"/>
              <w:rPr>
                <w:sz w:val="20"/>
                <w:szCs w:val="20"/>
                <w:color w:val="auto"/>
              </w:rPr>
            </w:pPr>
            <w:r>
              <w:rPr>
                <w:rFonts w:ascii="Arial" w:cs="Arial" w:eastAsia="Arial" w:hAnsi="Arial"/>
                <w:sz w:val="18"/>
                <w:szCs w:val="18"/>
                <w:color w:val="auto"/>
              </w:rPr>
              <w:t>The General Meeting shall approve annually and separately the</w:t>
            </w:r>
          </w:p>
        </w:tc>
        <w:tc>
          <w:tcPr>
            <w:tcW w:w="5500" w:type="dxa"/>
            <w:vAlign w:val="bottom"/>
            <w:gridSpan w:val="3"/>
          </w:tcPr>
          <w:p>
            <w:pPr>
              <w:ind w:left="200"/>
              <w:spacing w:after="0"/>
              <w:rPr>
                <w:sz w:val="20"/>
                <w:szCs w:val="20"/>
                <w:color w:val="auto"/>
              </w:rPr>
            </w:pPr>
            <w:r>
              <w:rPr>
                <w:rFonts w:ascii="Arial" w:cs="Arial" w:eastAsia="Arial" w:hAnsi="Arial"/>
                <w:sz w:val="18"/>
                <w:szCs w:val="18"/>
                <w:color w:val="auto"/>
              </w:rPr>
              <w:t>L'assemblée générale approuve annuellement et séparément les</w:t>
            </w:r>
          </w:p>
        </w:tc>
        <w:tc>
          <w:tcPr>
            <w:tcW w:w="0" w:type="dxa"/>
            <w:vAlign w:val="bottom"/>
          </w:tcPr>
          <w:p>
            <w:pPr>
              <w:spacing w:after="0"/>
              <w:rPr>
                <w:sz w:val="1"/>
                <w:szCs w:val="1"/>
                <w:color w:val="auto"/>
              </w:rPr>
            </w:pPr>
          </w:p>
        </w:tc>
      </w:tr>
      <w:tr>
        <w:trPr>
          <w:trHeight w:val="203"/>
        </w:trPr>
        <w:tc>
          <w:tcPr>
            <w:tcW w:w="5740" w:type="dxa"/>
            <w:vAlign w:val="bottom"/>
            <w:gridSpan w:val="2"/>
          </w:tcPr>
          <w:p>
            <w:pPr>
              <w:ind w:left="100"/>
              <w:spacing w:after="0" w:line="202" w:lineRule="exact"/>
              <w:rPr>
                <w:sz w:val="20"/>
                <w:szCs w:val="20"/>
                <w:color w:val="auto"/>
              </w:rPr>
            </w:pPr>
            <w:r>
              <w:rPr>
                <w:rFonts w:ascii="Arial" w:cs="Arial" w:eastAsia="Arial" w:hAnsi="Arial"/>
                <w:sz w:val="18"/>
                <w:szCs w:val="18"/>
                <w:color w:val="auto"/>
              </w:rPr>
              <w:t>proposals of the Board of Directors in relation to the maximum</w:t>
            </w:r>
          </w:p>
        </w:tc>
        <w:tc>
          <w:tcPr>
            <w:tcW w:w="5500" w:type="dxa"/>
            <w:vAlign w:val="bottom"/>
            <w:gridSpan w:val="3"/>
          </w:tcPr>
          <w:p>
            <w:pPr>
              <w:ind w:left="200"/>
              <w:spacing w:after="0" w:line="202" w:lineRule="exact"/>
              <w:rPr>
                <w:sz w:val="20"/>
                <w:szCs w:val="20"/>
                <w:color w:val="auto"/>
              </w:rPr>
            </w:pPr>
            <w:r>
              <w:rPr>
                <w:rFonts w:ascii="Arial" w:cs="Arial" w:eastAsia="Arial" w:hAnsi="Arial"/>
                <w:sz w:val="18"/>
                <w:szCs w:val="18"/>
                <w:color w:val="auto"/>
              </w:rPr>
              <w:t>propositions du conseil d’administration relatives au montant</w:t>
            </w:r>
          </w:p>
        </w:tc>
        <w:tc>
          <w:tcPr>
            <w:tcW w:w="0" w:type="dxa"/>
            <w:vAlign w:val="bottom"/>
          </w:tcPr>
          <w:p>
            <w:pPr>
              <w:spacing w:after="0"/>
              <w:rPr>
                <w:sz w:val="1"/>
                <w:szCs w:val="1"/>
                <w:color w:val="auto"/>
              </w:rPr>
            </w:pPr>
          </w:p>
        </w:tc>
      </w:tr>
      <w:tr>
        <w:trPr>
          <w:trHeight w:val="217"/>
        </w:trPr>
        <w:tc>
          <w:tcPr>
            <w:tcW w:w="5740" w:type="dxa"/>
            <w:vAlign w:val="bottom"/>
            <w:gridSpan w:val="2"/>
          </w:tcPr>
          <w:p>
            <w:pPr>
              <w:ind w:left="100"/>
              <w:spacing w:after="0"/>
              <w:rPr>
                <w:sz w:val="20"/>
                <w:szCs w:val="20"/>
                <w:color w:val="auto"/>
              </w:rPr>
            </w:pPr>
            <w:r>
              <w:rPr>
                <w:rFonts w:ascii="Arial" w:cs="Arial" w:eastAsia="Arial" w:hAnsi="Arial"/>
                <w:sz w:val="18"/>
                <w:szCs w:val="18"/>
                <w:color w:val="auto"/>
              </w:rPr>
              <w:t>aggregate amount of:</w:t>
            </w:r>
          </w:p>
        </w:tc>
        <w:tc>
          <w:tcPr>
            <w:tcW w:w="5500" w:type="dxa"/>
            <w:vAlign w:val="bottom"/>
            <w:gridSpan w:val="3"/>
          </w:tcPr>
          <w:p>
            <w:pPr>
              <w:ind w:left="200"/>
              <w:spacing w:after="0"/>
              <w:rPr>
                <w:sz w:val="20"/>
                <w:szCs w:val="20"/>
                <w:color w:val="auto"/>
              </w:rPr>
            </w:pPr>
            <w:r>
              <w:rPr>
                <w:rFonts w:ascii="Arial" w:cs="Arial" w:eastAsia="Arial" w:hAnsi="Arial"/>
                <w:sz w:val="18"/>
                <w:szCs w:val="18"/>
                <w:color w:val="auto"/>
              </w:rPr>
              <w:t>global maximal de:</w:t>
            </w:r>
          </w:p>
        </w:tc>
        <w:tc>
          <w:tcPr>
            <w:tcW w:w="0" w:type="dxa"/>
            <w:vAlign w:val="bottom"/>
          </w:tcPr>
          <w:p>
            <w:pPr>
              <w:spacing w:after="0"/>
              <w:rPr>
                <w:sz w:val="1"/>
                <w:szCs w:val="1"/>
                <w:color w:val="auto"/>
              </w:rPr>
            </w:pPr>
          </w:p>
        </w:tc>
      </w:tr>
      <w:tr>
        <w:trPr>
          <w:trHeight w:val="391"/>
        </w:trPr>
        <w:tc>
          <w:tcPr>
            <w:tcW w:w="360" w:type="dxa"/>
            <w:vAlign w:val="bottom"/>
          </w:tcPr>
          <w:p>
            <w:pPr>
              <w:ind w:left="100"/>
              <w:spacing w:after="0"/>
              <w:rPr>
                <w:sz w:val="20"/>
                <w:szCs w:val="20"/>
                <w:color w:val="auto"/>
              </w:rPr>
            </w:pPr>
            <w:r>
              <w:rPr>
                <w:rFonts w:ascii="Arial" w:cs="Arial" w:eastAsia="Arial" w:hAnsi="Arial"/>
                <w:sz w:val="18"/>
                <w:szCs w:val="18"/>
                <w:color w:val="auto"/>
              </w:rPr>
              <w:t>a)</w:t>
            </w:r>
          </w:p>
        </w:tc>
        <w:tc>
          <w:tcPr>
            <w:tcW w:w="5380" w:type="dxa"/>
            <w:vAlign w:val="bottom"/>
          </w:tcPr>
          <w:p>
            <w:pPr>
              <w:jc w:val="right"/>
              <w:ind w:right="110"/>
              <w:spacing w:after="0"/>
              <w:rPr>
                <w:sz w:val="20"/>
                <w:szCs w:val="20"/>
                <w:color w:val="auto"/>
              </w:rPr>
            </w:pPr>
            <w:r>
              <w:rPr>
                <w:rFonts w:ascii="Arial" w:cs="Arial" w:eastAsia="Arial" w:hAnsi="Arial"/>
                <w:sz w:val="18"/>
                <w:szCs w:val="18"/>
                <w:color w:val="auto"/>
              </w:rPr>
              <w:t>compensation of the Board of Directors for the period until the</w:t>
            </w:r>
          </w:p>
        </w:tc>
        <w:tc>
          <w:tcPr>
            <w:tcW w:w="5500" w:type="dxa"/>
            <w:vAlign w:val="bottom"/>
            <w:gridSpan w:val="3"/>
          </w:tcPr>
          <w:p>
            <w:pPr>
              <w:ind w:left="200"/>
              <w:spacing w:after="0"/>
              <w:rPr>
                <w:sz w:val="20"/>
                <w:szCs w:val="20"/>
                <w:color w:val="auto"/>
              </w:rPr>
            </w:pPr>
            <w:r>
              <w:rPr>
                <w:rFonts w:ascii="Arial" w:cs="Arial" w:eastAsia="Arial" w:hAnsi="Arial"/>
                <w:sz w:val="18"/>
                <w:szCs w:val="18"/>
                <w:color w:val="auto"/>
              </w:rPr>
              <w:t>a)  la rémunération du conseil d'administration pour la période</w:t>
            </w:r>
          </w:p>
        </w:tc>
        <w:tc>
          <w:tcPr>
            <w:tcW w:w="0" w:type="dxa"/>
            <w:vAlign w:val="bottom"/>
          </w:tcPr>
          <w:p>
            <w:pPr>
              <w:spacing w:after="0"/>
              <w:rPr>
                <w:sz w:val="1"/>
                <w:szCs w:val="1"/>
                <w:color w:val="auto"/>
              </w:rPr>
            </w:pPr>
          </w:p>
        </w:tc>
      </w:tr>
      <w:tr>
        <w:trPr>
          <w:trHeight w:val="217"/>
        </w:trPr>
        <w:tc>
          <w:tcPr>
            <w:tcW w:w="360" w:type="dxa"/>
            <w:vAlign w:val="bottom"/>
          </w:tcPr>
          <w:p>
            <w:pPr>
              <w:spacing w:after="0"/>
              <w:rPr>
                <w:sz w:val="18"/>
                <w:szCs w:val="18"/>
                <w:color w:val="auto"/>
              </w:rPr>
            </w:pPr>
          </w:p>
        </w:tc>
        <w:tc>
          <w:tcPr>
            <w:tcW w:w="5380" w:type="dxa"/>
            <w:vAlign w:val="bottom"/>
          </w:tcPr>
          <w:p>
            <w:pPr>
              <w:ind w:left="120"/>
              <w:spacing w:after="0"/>
              <w:rPr>
                <w:sz w:val="20"/>
                <w:szCs w:val="20"/>
                <w:color w:val="auto"/>
              </w:rPr>
            </w:pPr>
            <w:r>
              <w:rPr>
                <w:rFonts w:ascii="Arial" w:cs="Arial" w:eastAsia="Arial" w:hAnsi="Arial"/>
                <w:sz w:val="18"/>
                <w:szCs w:val="18"/>
                <w:color w:val="auto"/>
              </w:rPr>
              <w:t>next Ordinary General Meeting;</w:t>
            </w:r>
          </w:p>
        </w:tc>
        <w:tc>
          <w:tcPr>
            <w:tcW w:w="440" w:type="dxa"/>
            <w:vAlign w:val="bottom"/>
          </w:tcPr>
          <w:p>
            <w:pPr>
              <w:spacing w:after="0"/>
              <w:rPr>
                <w:sz w:val="18"/>
                <w:szCs w:val="18"/>
                <w:color w:val="auto"/>
              </w:rPr>
            </w:pPr>
          </w:p>
        </w:tc>
        <w:tc>
          <w:tcPr>
            <w:tcW w:w="5060" w:type="dxa"/>
            <w:vAlign w:val="bottom"/>
            <w:gridSpan w:val="2"/>
          </w:tcPr>
          <w:p>
            <w:pPr>
              <w:ind w:left="80"/>
              <w:spacing w:after="0"/>
              <w:rPr>
                <w:sz w:val="20"/>
                <w:szCs w:val="20"/>
                <w:color w:val="auto"/>
              </w:rPr>
            </w:pPr>
            <w:r>
              <w:rPr>
                <w:rFonts w:ascii="Arial" w:cs="Arial" w:eastAsia="Arial" w:hAnsi="Arial"/>
                <w:sz w:val="18"/>
                <w:szCs w:val="18"/>
                <w:color w:val="auto"/>
              </w:rPr>
              <w:t>allant jusqu'à l'assemblée générale ordinaire suivante;</w:t>
            </w:r>
          </w:p>
        </w:tc>
        <w:tc>
          <w:tcPr>
            <w:tcW w:w="0" w:type="dxa"/>
            <w:vAlign w:val="bottom"/>
          </w:tcPr>
          <w:p>
            <w:pPr>
              <w:spacing w:after="0"/>
              <w:rPr>
                <w:sz w:val="1"/>
                <w:szCs w:val="1"/>
                <w:color w:val="auto"/>
              </w:rPr>
            </w:pPr>
          </w:p>
        </w:tc>
      </w:tr>
      <w:tr>
        <w:trPr>
          <w:trHeight w:val="391"/>
        </w:trPr>
        <w:tc>
          <w:tcPr>
            <w:tcW w:w="360" w:type="dxa"/>
            <w:vAlign w:val="bottom"/>
          </w:tcPr>
          <w:p>
            <w:pPr>
              <w:ind w:left="100"/>
              <w:spacing w:after="0"/>
              <w:rPr>
                <w:sz w:val="20"/>
                <w:szCs w:val="20"/>
                <w:color w:val="auto"/>
              </w:rPr>
            </w:pPr>
            <w:r>
              <w:rPr>
                <w:rFonts w:ascii="Arial" w:cs="Arial" w:eastAsia="Arial" w:hAnsi="Arial"/>
                <w:sz w:val="18"/>
                <w:szCs w:val="18"/>
                <w:color w:val="auto"/>
              </w:rPr>
              <w:t>b)</w:t>
            </w:r>
          </w:p>
        </w:tc>
        <w:tc>
          <w:tcPr>
            <w:tcW w:w="5380" w:type="dxa"/>
            <w:vAlign w:val="bottom"/>
          </w:tcPr>
          <w:p>
            <w:pPr>
              <w:jc w:val="right"/>
              <w:ind w:right="110"/>
              <w:spacing w:after="0"/>
              <w:rPr>
                <w:sz w:val="20"/>
                <w:szCs w:val="20"/>
                <w:color w:val="auto"/>
              </w:rPr>
            </w:pPr>
            <w:r>
              <w:rPr>
                <w:rFonts w:ascii="Arial" w:cs="Arial" w:eastAsia="Arial" w:hAnsi="Arial"/>
                <w:sz w:val="18"/>
                <w:szCs w:val="18"/>
                <w:color w:val="auto"/>
              </w:rPr>
              <w:t>compensation of the Executive Committee for the following</w:t>
            </w:r>
          </w:p>
        </w:tc>
        <w:tc>
          <w:tcPr>
            <w:tcW w:w="5500" w:type="dxa"/>
            <w:vAlign w:val="bottom"/>
            <w:gridSpan w:val="3"/>
          </w:tcPr>
          <w:p>
            <w:pPr>
              <w:ind w:left="200"/>
              <w:spacing w:after="0"/>
              <w:rPr>
                <w:sz w:val="20"/>
                <w:szCs w:val="20"/>
                <w:color w:val="auto"/>
              </w:rPr>
            </w:pPr>
            <w:r>
              <w:rPr>
                <w:rFonts w:ascii="Arial" w:cs="Arial" w:eastAsia="Arial" w:hAnsi="Arial"/>
                <w:sz w:val="18"/>
                <w:szCs w:val="18"/>
                <w:color w:val="auto"/>
              </w:rPr>
              <w:t>b)   la rémunération du comité exécutif pour l’exercice annuel</w:t>
            </w:r>
          </w:p>
        </w:tc>
        <w:tc>
          <w:tcPr>
            <w:tcW w:w="0" w:type="dxa"/>
            <w:vAlign w:val="bottom"/>
          </w:tcPr>
          <w:p>
            <w:pPr>
              <w:spacing w:after="0"/>
              <w:rPr>
                <w:sz w:val="1"/>
                <w:szCs w:val="1"/>
                <w:color w:val="auto"/>
              </w:rPr>
            </w:pPr>
          </w:p>
        </w:tc>
      </w:tr>
      <w:tr>
        <w:trPr>
          <w:trHeight w:val="217"/>
        </w:trPr>
        <w:tc>
          <w:tcPr>
            <w:tcW w:w="360" w:type="dxa"/>
            <w:vAlign w:val="bottom"/>
          </w:tcPr>
          <w:p>
            <w:pPr>
              <w:spacing w:after="0"/>
              <w:rPr>
                <w:sz w:val="18"/>
                <w:szCs w:val="18"/>
                <w:color w:val="auto"/>
              </w:rPr>
            </w:pPr>
          </w:p>
        </w:tc>
        <w:tc>
          <w:tcPr>
            <w:tcW w:w="5380" w:type="dxa"/>
            <w:vAlign w:val="bottom"/>
          </w:tcPr>
          <w:p>
            <w:pPr>
              <w:ind w:left="120"/>
              <w:spacing w:after="0"/>
              <w:rPr>
                <w:sz w:val="20"/>
                <w:szCs w:val="20"/>
                <w:color w:val="auto"/>
              </w:rPr>
            </w:pPr>
            <w:r>
              <w:rPr>
                <w:rFonts w:ascii="Arial" w:cs="Arial" w:eastAsia="Arial" w:hAnsi="Arial"/>
                <w:sz w:val="18"/>
                <w:szCs w:val="18"/>
                <w:color w:val="auto"/>
              </w:rPr>
              <w:t>financial year.</w:t>
            </w:r>
          </w:p>
        </w:tc>
        <w:tc>
          <w:tcPr>
            <w:tcW w:w="440" w:type="dxa"/>
            <w:vAlign w:val="bottom"/>
          </w:tcPr>
          <w:p>
            <w:pPr>
              <w:spacing w:after="0"/>
              <w:rPr>
                <w:sz w:val="18"/>
                <w:szCs w:val="18"/>
                <w:color w:val="auto"/>
              </w:rPr>
            </w:pPr>
          </w:p>
        </w:tc>
        <w:tc>
          <w:tcPr>
            <w:tcW w:w="5060" w:type="dxa"/>
            <w:vAlign w:val="bottom"/>
            <w:gridSpan w:val="2"/>
          </w:tcPr>
          <w:p>
            <w:pPr>
              <w:ind w:left="80"/>
              <w:spacing w:after="0"/>
              <w:rPr>
                <w:sz w:val="20"/>
                <w:szCs w:val="20"/>
                <w:color w:val="auto"/>
              </w:rPr>
            </w:pPr>
            <w:r>
              <w:rPr>
                <w:rFonts w:ascii="Arial" w:cs="Arial" w:eastAsia="Arial" w:hAnsi="Arial"/>
                <w:sz w:val="18"/>
                <w:szCs w:val="18"/>
                <w:color w:val="auto"/>
              </w:rPr>
              <w:t>suivant.</w:t>
            </w:r>
          </w:p>
        </w:tc>
        <w:tc>
          <w:tcPr>
            <w:tcW w:w="0" w:type="dxa"/>
            <w:vAlign w:val="bottom"/>
          </w:tcPr>
          <w:p>
            <w:pPr>
              <w:spacing w:after="0"/>
              <w:rPr>
                <w:sz w:val="1"/>
                <w:szCs w:val="1"/>
                <w:color w:val="auto"/>
              </w:rPr>
            </w:pPr>
          </w:p>
        </w:tc>
      </w:tr>
      <w:tr>
        <w:trPr>
          <w:trHeight w:val="54"/>
        </w:trPr>
        <w:tc>
          <w:tcPr>
            <w:tcW w:w="5740" w:type="dxa"/>
            <w:vAlign w:val="bottom"/>
            <w:tcBorders>
              <w:bottom w:val="single" w:sz="8" w:color="auto"/>
            </w:tcBorders>
            <w:gridSpan w:val="2"/>
          </w:tcPr>
          <w:p>
            <w:pPr>
              <w:spacing w:after="0"/>
              <w:rPr>
                <w:sz w:val="4"/>
                <w:szCs w:val="4"/>
                <w:color w:val="auto"/>
              </w:rPr>
            </w:pPr>
          </w:p>
        </w:tc>
        <w:tc>
          <w:tcPr>
            <w:tcW w:w="5500" w:type="dxa"/>
            <w:vAlign w:val="bottom"/>
            <w:tcBorders>
              <w:bottom w:val="single" w:sz="8" w:color="auto"/>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5740" w:type="dxa"/>
            <w:vAlign w:val="bottom"/>
            <w:gridSpan w:val="2"/>
          </w:tcPr>
          <w:p>
            <w:pPr>
              <w:ind w:left="100"/>
              <w:spacing w:after="0"/>
              <w:rPr>
                <w:sz w:val="20"/>
                <w:szCs w:val="20"/>
                <w:color w:val="auto"/>
              </w:rPr>
            </w:pPr>
            <w:r>
              <w:rPr>
                <w:rFonts w:ascii="Arial" w:cs="Arial" w:eastAsia="Arial" w:hAnsi="Arial"/>
                <w:sz w:val="18"/>
                <w:szCs w:val="18"/>
                <w:color w:val="auto"/>
              </w:rPr>
              <w:t>The respective total compensation amounts include social security</w:t>
            </w:r>
          </w:p>
        </w:tc>
        <w:tc>
          <w:tcPr>
            <w:tcW w:w="5500" w:type="dxa"/>
            <w:vAlign w:val="bottom"/>
            <w:gridSpan w:val="3"/>
          </w:tcPr>
          <w:p>
            <w:pPr>
              <w:ind w:left="200"/>
              <w:spacing w:after="0"/>
              <w:rPr>
                <w:sz w:val="20"/>
                <w:szCs w:val="20"/>
                <w:color w:val="auto"/>
              </w:rPr>
            </w:pPr>
            <w:r>
              <w:rPr>
                <w:rFonts w:ascii="Arial" w:cs="Arial" w:eastAsia="Arial" w:hAnsi="Arial"/>
                <w:sz w:val="18"/>
                <w:szCs w:val="18"/>
                <w:color w:val="auto"/>
              </w:rPr>
              <w:t>Les montants totaux de rémunération respectifs comprennent la</w:t>
            </w:r>
          </w:p>
        </w:tc>
        <w:tc>
          <w:tcPr>
            <w:tcW w:w="0" w:type="dxa"/>
            <w:vAlign w:val="bottom"/>
          </w:tcPr>
          <w:p>
            <w:pPr>
              <w:spacing w:after="0"/>
              <w:rPr>
                <w:sz w:val="1"/>
                <w:szCs w:val="1"/>
                <w:color w:val="auto"/>
              </w:rPr>
            </w:pPr>
          </w:p>
        </w:tc>
      </w:tr>
      <w:tr>
        <w:trPr>
          <w:trHeight w:val="203"/>
        </w:trPr>
        <w:tc>
          <w:tcPr>
            <w:tcW w:w="5740" w:type="dxa"/>
            <w:vAlign w:val="bottom"/>
            <w:gridSpan w:val="2"/>
          </w:tcPr>
          <w:p>
            <w:pPr>
              <w:ind w:left="100"/>
              <w:spacing w:after="0" w:line="202" w:lineRule="exact"/>
              <w:rPr>
                <w:sz w:val="20"/>
                <w:szCs w:val="20"/>
                <w:color w:val="auto"/>
              </w:rPr>
            </w:pPr>
            <w:r>
              <w:rPr>
                <w:rFonts w:ascii="Arial" w:cs="Arial" w:eastAsia="Arial" w:hAnsi="Arial"/>
                <w:sz w:val="18"/>
                <w:szCs w:val="18"/>
                <w:color w:val="auto"/>
              </w:rPr>
              <w:t>and  occupational  pension  contributions  for  the  benefit  of  the</w:t>
            </w:r>
          </w:p>
        </w:tc>
        <w:tc>
          <w:tcPr>
            <w:tcW w:w="5500" w:type="dxa"/>
            <w:vAlign w:val="bottom"/>
            <w:gridSpan w:val="3"/>
          </w:tcPr>
          <w:p>
            <w:pPr>
              <w:ind w:left="200"/>
              <w:spacing w:after="0" w:line="202" w:lineRule="exact"/>
              <w:rPr>
                <w:sz w:val="20"/>
                <w:szCs w:val="20"/>
                <w:color w:val="auto"/>
              </w:rPr>
            </w:pPr>
            <w:r>
              <w:rPr>
                <w:rFonts w:ascii="Arial" w:cs="Arial" w:eastAsia="Arial" w:hAnsi="Arial"/>
                <w:sz w:val="18"/>
                <w:szCs w:val="18"/>
                <w:color w:val="auto"/>
              </w:rPr>
              <w:t>sécurité sociale et les cotisations de retraite professionnelle au</w:t>
            </w:r>
          </w:p>
        </w:tc>
        <w:tc>
          <w:tcPr>
            <w:tcW w:w="0" w:type="dxa"/>
            <w:vAlign w:val="bottom"/>
          </w:tcPr>
          <w:p>
            <w:pPr>
              <w:spacing w:after="0"/>
              <w:rPr>
                <w:sz w:val="1"/>
                <w:szCs w:val="1"/>
                <w:color w:val="auto"/>
              </w:rPr>
            </w:pPr>
          </w:p>
        </w:tc>
      </w:tr>
      <w:tr>
        <w:trPr>
          <w:trHeight w:val="203"/>
        </w:trPr>
        <w:tc>
          <w:tcPr>
            <w:tcW w:w="5740" w:type="dxa"/>
            <w:vAlign w:val="bottom"/>
            <w:gridSpan w:val="2"/>
          </w:tcPr>
          <w:p>
            <w:pPr>
              <w:ind w:left="100"/>
              <w:spacing w:after="0" w:line="202" w:lineRule="exact"/>
              <w:rPr>
                <w:sz w:val="20"/>
                <w:szCs w:val="20"/>
                <w:color w:val="auto"/>
              </w:rPr>
            </w:pPr>
            <w:r>
              <w:rPr>
                <w:rFonts w:ascii="Arial" w:cs="Arial" w:eastAsia="Arial" w:hAnsi="Arial"/>
                <w:sz w:val="18"/>
                <w:szCs w:val="18"/>
                <w:color w:val="auto"/>
              </w:rPr>
              <w:t>members of the Board of Directors, the Executive Committee and</w:t>
            </w:r>
          </w:p>
        </w:tc>
        <w:tc>
          <w:tcPr>
            <w:tcW w:w="5500" w:type="dxa"/>
            <w:vAlign w:val="bottom"/>
            <w:gridSpan w:val="3"/>
          </w:tcPr>
          <w:p>
            <w:pPr>
              <w:ind w:left="200"/>
              <w:spacing w:after="0" w:line="202" w:lineRule="exact"/>
              <w:rPr>
                <w:sz w:val="20"/>
                <w:szCs w:val="20"/>
                <w:color w:val="auto"/>
              </w:rPr>
            </w:pPr>
            <w:r>
              <w:rPr>
                <w:rFonts w:ascii="Arial" w:cs="Arial" w:eastAsia="Arial" w:hAnsi="Arial"/>
                <w:sz w:val="18"/>
                <w:szCs w:val="18"/>
                <w:color w:val="auto"/>
              </w:rPr>
              <w:t>profit  des  membres  du  conseil  d'administration,  du  comité</w:t>
            </w:r>
          </w:p>
        </w:tc>
        <w:tc>
          <w:tcPr>
            <w:tcW w:w="0" w:type="dxa"/>
            <w:vAlign w:val="bottom"/>
          </w:tcPr>
          <w:p>
            <w:pPr>
              <w:spacing w:after="0"/>
              <w:rPr>
                <w:sz w:val="1"/>
                <w:szCs w:val="1"/>
                <w:color w:val="auto"/>
              </w:rPr>
            </w:pPr>
          </w:p>
        </w:tc>
      </w:tr>
      <w:tr>
        <w:trPr>
          <w:trHeight w:val="217"/>
        </w:trPr>
        <w:tc>
          <w:tcPr>
            <w:tcW w:w="5740" w:type="dxa"/>
            <w:vAlign w:val="bottom"/>
            <w:gridSpan w:val="2"/>
          </w:tcPr>
          <w:p>
            <w:pPr>
              <w:ind w:left="100"/>
              <w:spacing w:after="0"/>
              <w:rPr>
                <w:sz w:val="20"/>
                <w:szCs w:val="20"/>
                <w:color w:val="auto"/>
              </w:rPr>
            </w:pPr>
            <w:r>
              <w:rPr>
                <w:rFonts w:ascii="Arial" w:cs="Arial" w:eastAsia="Arial" w:hAnsi="Arial"/>
                <w:sz w:val="18"/>
                <w:szCs w:val="18"/>
                <w:color w:val="auto"/>
              </w:rPr>
              <w:t>the Company.</w:t>
            </w:r>
          </w:p>
        </w:tc>
        <w:tc>
          <w:tcPr>
            <w:tcW w:w="5500" w:type="dxa"/>
            <w:vAlign w:val="bottom"/>
            <w:gridSpan w:val="3"/>
          </w:tcPr>
          <w:p>
            <w:pPr>
              <w:ind w:left="200"/>
              <w:spacing w:after="0"/>
              <w:rPr>
                <w:sz w:val="20"/>
                <w:szCs w:val="20"/>
                <w:color w:val="auto"/>
              </w:rPr>
            </w:pPr>
            <w:r>
              <w:rPr>
                <w:rFonts w:ascii="Arial" w:cs="Arial" w:eastAsia="Arial" w:hAnsi="Arial"/>
                <w:sz w:val="18"/>
                <w:szCs w:val="18"/>
                <w:color w:val="auto"/>
              </w:rPr>
              <w:t>exécutif et de la société.</w:t>
            </w:r>
          </w:p>
        </w:tc>
        <w:tc>
          <w:tcPr>
            <w:tcW w:w="0" w:type="dxa"/>
            <w:vAlign w:val="bottom"/>
          </w:tcPr>
          <w:p>
            <w:pPr>
              <w:spacing w:after="0"/>
              <w:rPr>
                <w:sz w:val="1"/>
                <w:szCs w:val="1"/>
                <w:color w:val="auto"/>
              </w:rPr>
            </w:pPr>
          </w:p>
        </w:tc>
      </w:tr>
      <w:tr>
        <w:trPr>
          <w:trHeight w:val="526"/>
        </w:trPr>
        <w:tc>
          <w:tcPr>
            <w:tcW w:w="360" w:type="dxa"/>
            <w:vAlign w:val="bottom"/>
            <w:tcBorders>
              <w:bottom w:val="single" w:sz="8" w:color="auto"/>
            </w:tcBorders>
          </w:tcPr>
          <w:p>
            <w:pPr>
              <w:spacing w:after="0"/>
              <w:rPr>
                <w:sz w:val="24"/>
                <w:szCs w:val="24"/>
                <w:color w:val="auto"/>
              </w:rPr>
            </w:pPr>
          </w:p>
        </w:tc>
        <w:tc>
          <w:tcPr>
            <w:tcW w:w="538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44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249" w:right="339" w:bottom="1440" w:gutter="0" w:footer="0" w:header="0"/>
        </w:sectPr>
      </w:pPr>
    </w:p>
    <w:bookmarkStart w:id="54" w:name="page55"/>
    <w:bookmarkEnd w:id="54"/>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187"/>
        </w:trPr>
        <w:tc>
          <w:tcPr>
            <w:tcW w:w="554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5480" w:type="dxa"/>
            <w:vAlign w:val="bottom"/>
            <w:tcBorders>
              <w:bottom w:val="single" w:sz="8" w:color="auto"/>
            </w:tcBorders>
          </w:tcPr>
          <w:p>
            <w:pPr>
              <w:ind w:left="5260"/>
              <w:spacing w:after="0"/>
              <w:rPr>
                <w:sz w:val="20"/>
                <w:szCs w:val="20"/>
                <w:color w:val="auto"/>
              </w:rPr>
            </w:pPr>
            <w:r>
              <w:rPr>
                <w:rFonts w:ascii="Arial" w:cs="Arial" w:eastAsia="Arial" w:hAnsi="Arial"/>
                <w:sz w:val="16"/>
                <w:szCs w:val="16"/>
                <w:color w:val="auto"/>
              </w:rPr>
              <w:t>16</w:t>
            </w:r>
          </w:p>
        </w:tc>
      </w:tr>
      <w:tr>
        <w:trPr>
          <w:trHeight w:val="263"/>
        </w:trPr>
        <w:tc>
          <w:tcPr>
            <w:tcW w:w="554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If the General Meeting refuses to approve a respective motion by</w:t>
            </w:r>
          </w:p>
        </w:tc>
        <w:tc>
          <w:tcPr>
            <w:tcW w:w="220" w:type="dxa"/>
            <w:vAlign w:val="bottom"/>
            <w:tcBorders>
              <w:right w:val="single" w:sz="8" w:color="auto"/>
            </w:tcBorders>
          </w:tcPr>
          <w:p>
            <w:pPr>
              <w:spacing w:after="0"/>
              <w:rPr>
                <w:sz w:val="22"/>
                <w:szCs w:val="22"/>
                <w:color w:val="auto"/>
              </w:rPr>
            </w:pPr>
          </w:p>
        </w:tc>
        <w:tc>
          <w:tcPr>
            <w:tcW w:w="548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Si l'assemblée générale refuse d'approuver une motion soumise</w:t>
            </w:r>
          </w:p>
        </w:tc>
      </w:tr>
      <w:tr>
        <w:trPr>
          <w:trHeight w:val="203"/>
        </w:trPr>
        <w:tc>
          <w:tcPr>
            <w:tcW w:w="5540" w:type="dxa"/>
            <w:vAlign w:val="bottom"/>
            <w:tcBorders>
              <w:left w:val="single" w:sz="8" w:color="auto"/>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the Board of Directors, the Board of Directors may either submit a</w:t>
            </w:r>
          </w:p>
        </w:tc>
        <w:tc>
          <w:tcPr>
            <w:tcW w:w="22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par le conseil d'administration, le conseil d'administration peut, soit</w:t>
            </w:r>
          </w:p>
        </w:tc>
      </w:tr>
      <w:tr>
        <w:trPr>
          <w:trHeight w:val="203"/>
        </w:trPr>
        <w:tc>
          <w:tcPr>
            <w:tcW w:w="5540" w:type="dxa"/>
            <w:vAlign w:val="bottom"/>
            <w:tcBorders>
              <w:left w:val="single" w:sz="8" w:color="auto"/>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new motion at the same meeting or determine a maximum total</w:t>
            </w:r>
          </w:p>
        </w:tc>
        <w:tc>
          <w:tcPr>
            <w:tcW w:w="22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présenter une nouvelle motion à la même séance ou déterminer</w:t>
            </w:r>
          </w:p>
        </w:tc>
      </w:tr>
      <w:tr>
        <w:trPr>
          <w:trHeight w:val="203"/>
        </w:trPr>
        <w:tc>
          <w:tcPr>
            <w:tcW w:w="5540" w:type="dxa"/>
            <w:vAlign w:val="bottom"/>
            <w:tcBorders>
              <w:left w:val="single" w:sz="8" w:color="auto"/>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remuneration or several maximum partial remunerations, subject to</w:t>
            </w:r>
          </w:p>
        </w:tc>
        <w:tc>
          <w:tcPr>
            <w:tcW w:w="22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une rémunération maximale totale ou plusieurs rémunérations</w:t>
            </w:r>
          </w:p>
        </w:tc>
      </w:tr>
      <w:tr>
        <w:trPr>
          <w:trHeight w:val="203"/>
        </w:trPr>
        <w:tc>
          <w:tcPr>
            <w:tcW w:w="5540" w:type="dxa"/>
            <w:vAlign w:val="bottom"/>
            <w:tcBorders>
              <w:left w:val="single" w:sz="8" w:color="auto"/>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the relevant principles of the compensation, or submit a new</w:t>
            </w:r>
          </w:p>
        </w:tc>
        <w:tc>
          <w:tcPr>
            <w:tcW w:w="22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maximales partielles, sous réserve des principes concernant la</w:t>
            </w:r>
          </w:p>
        </w:tc>
      </w:tr>
      <w:tr>
        <w:trPr>
          <w:trHeight w:val="203"/>
        </w:trPr>
        <w:tc>
          <w:tcPr>
            <w:tcW w:w="5540" w:type="dxa"/>
            <w:vAlign w:val="bottom"/>
            <w:tcBorders>
              <w:left w:val="single" w:sz="8" w:color="auto"/>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motion to the next General Meeting for approval. The Company</w:t>
            </w:r>
          </w:p>
        </w:tc>
        <w:tc>
          <w:tcPr>
            <w:tcW w:w="22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rémunération, soit soumettre une nouvelle motion à la prochaine</w:t>
            </w:r>
          </w:p>
        </w:tc>
      </w:tr>
      <w:tr>
        <w:trPr>
          <w:trHeight w:val="203"/>
        </w:trPr>
        <w:tc>
          <w:tcPr>
            <w:tcW w:w="5540" w:type="dxa"/>
            <w:vAlign w:val="bottom"/>
            <w:tcBorders>
              <w:left w:val="single" w:sz="8" w:color="auto"/>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may pay remunerations within the framework of the maximum total</w:t>
            </w:r>
          </w:p>
        </w:tc>
        <w:tc>
          <w:tcPr>
            <w:tcW w:w="22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assemblée générale pour approbation. La société peut verser des</w:t>
            </w:r>
          </w:p>
        </w:tc>
      </w:tr>
      <w:tr>
        <w:trPr>
          <w:trHeight w:val="203"/>
        </w:trPr>
        <w:tc>
          <w:tcPr>
            <w:tcW w:w="5540" w:type="dxa"/>
            <w:vAlign w:val="bottom"/>
            <w:tcBorders>
              <w:left w:val="single" w:sz="8" w:color="auto"/>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or partial remuneration and subject to the approval by the General</w:t>
            </w:r>
          </w:p>
        </w:tc>
        <w:tc>
          <w:tcPr>
            <w:tcW w:w="22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rémunérations dans le cadre de la rémunération maximale totale</w:t>
            </w:r>
          </w:p>
        </w:tc>
      </w:tr>
      <w:tr>
        <w:trPr>
          <w:trHeight w:val="203"/>
        </w:trPr>
        <w:tc>
          <w:tcPr>
            <w:tcW w:w="5540" w:type="dxa"/>
            <w:vAlign w:val="bottom"/>
            <w:tcBorders>
              <w:left w:val="single" w:sz="8" w:color="auto"/>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Meeting.</w:t>
            </w:r>
          </w:p>
        </w:tc>
        <w:tc>
          <w:tcPr>
            <w:tcW w:w="22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ou partielle et sous réserve de l'approbation par l'assemblée</w:t>
            </w:r>
          </w:p>
        </w:tc>
      </w:tr>
      <w:tr>
        <w:trPr>
          <w:trHeight w:val="217"/>
        </w:trPr>
        <w:tc>
          <w:tcPr>
            <w:tcW w:w="5540" w:type="dxa"/>
            <w:vAlign w:val="bottom"/>
            <w:tcBorders>
              <w:left w:val="single" w:sz="8" w:color="auto"/>
              <w:right w:val="single" w:sz="8" w:color="auto"/>
            </w:tcBorders>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548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générale.</w:t>
            </w:r>
          </w:p>
        </w:tc>
      </w:tr>
      <w:tr>
        <w:trPr>
          <w:trHeight w:val="54"/>
        </w:trPr>
        <w:tc>
          <w:tcPr>
            <w:tcW w:w="5540" w:type="dxa"/>
            <w:vAlign w:val="bottom"/>
            <w:tcBorders>
              <w:left w:val="single" w:sz="8" w:color="auto"/>
              <w:bottom w:val="single" w:sz="8" w:color="auto"/>
              <w:right w:val="single" w:sz="8" w:color="auto"/>
            </w:tcBorders>
          </w:tcPr>
          <w:p>
            <w:pPr>
              <w:spacing w:after="0"/>
              <w:rPr>
                <w:sz w:val="4"/>
                <w:szCs w:val="4"/>
                <w:color w:val="auto"/>
              </w:rPr>
            </w:pPr>
          </w:p>
        </w:tc>
        <w:tc>
          <w:tcPr>
            <w:tcW w:w="220" w:type="dxa"/>
            <w:vAlign w:val="bottom"/>
            <w:tcBorders>
              <w:bottom w:val="single" w:sz="8" w:color="auto"/>
              <w:right w:val="single" w:sz="8" w:color="auto"/>
            </w:tcBorders>
          </w:tcPr>
          <w:p>
            <w:pPr>
              <w:spacing w:after="0"/>
              <w:rPr>
                <w:sz w:val="4"/>
                <w:szCs w:val="4"/>
                <w:color w:val="auto"/>
              </w:rPr>
            </w:pPr>
          </w:p>
        </w:tc>
        <w:tc>
          <w:tcPr>
            <w:tcW w:w="5480" w:type="dxa"/>
            <w:vAlign w:val="bottom"/>
            <w:tcBorders>
              <w:bottom w:val="single" w:sz="8" w:color="auto"/>
              <w:right w:val="single" w:sz="8" w:color="auto"/>
            </w:tcBorders>
          </w:tcPr>
          <w:p>
            <w:pPr>
              <w:spacing w:after="0"/>
              <w:rPr>
                <w:sz w:val="4"/>
                <w:szCs w:val="4"/>
                <w:color w:val="auto"/>
              </w:rPr>
            </w:pPr>
          </w:p>
        </w:tc>
      </w:tr>
      <w:tr>
        <w:trPr>
          <w:trHeight w:val="263"/>
        </w:trPr>
        <w:tc>
          <w:tcPr>
            <w:tcW w:w="554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The Board of Directors shall submit the compensation report to an</w:t>
            </w:r>
          </w:p>
        </w:tc>
        <w:tc>
          <w:tcPr>
            <w:tcW w:w="220" w:type="dxa"/>
            <w:vAlign w:val="bottom"/>
            <w:tcBorders>
              <w:right w:val="single" w:sz="8" w:color="auto"/>
            </w:tcBorders>
          </w:tcPr>
          <w:p>
            <w:pPr>
              <w:spacing w:after="0"/>
              <w:rPr>
                <w:sz w:val="22"/>
                <w:szCs w:val="22"/>
                <w:color w:val="auto"/>
              </w:rPr>
            </w:pPr>
          </w:p>
        </w:tc>
        <w:tc>
          <w:tcPr>
            <w:tcW w:w="548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Le conseil d'administration soumet le rapport de rémunération à un</w:t>
            </w:r>
          </w:p>
        </w:tc>
      </w:tr>
      <w:tr>
        <w:trPr>
          <w:trHeight w:val="217"/>
        </w:trPr>
        <w:tc>
          <w:tcPr>
            <w:tcW w:w="554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advisory vote of the General Meeting.</w:t>
            </w:r>
          </w:p>
        </w:tc>
        <w:tc>
          <w:tcPr>
            <w:tcW w:w="220" w:type="dxa"/>
            <w:vAlign w:val="bottom"/>
            <w:tcBorders>
              <w:right w:val="single" w:sz="8" w:color="auto"/>
            </w:tcBorders>
          </w:tcPr>
          <w:p>
            <w:pPr>
              <w:spacing w:after="0"/>
              <w:rPr>
                <w:sz w:val="18"/>
                <w:szCs w:val="18"/>
                <w:color w:val="auto"/>
              </w:rPr>
            </w:pPr>
          </w:p>
        </w:tc>
        <w:tc>
          <w:tcPr>
            <w:tcW w:w="548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vote consultatif de l'assemblée générale.</w:t>
            </w:r>
          </w:p>
        </w:tc>
      </w:tr>
      <w:tr>
        <w:trPr>
          <w:trHeight w:val="54"/>
        </w:trPr>
        <w:tc>
          <w:tcPr>
            <w:tcW w:w="5540" w:type="dxa"/>
            <w:vAlign w:val="bottom"/>
            <w:tcBorders>
              <w:left w:val="single" w:sz="8" w:color="auto"/>
              <w:bottom w:val="single" w:sz="8" w:color="auto"/>
              <w:right w:val="single" w:sz="8" w:color="auto"/>
            </w:tcBorders>
          </w:tcPr>
          <w:p>
            <w:pPr>
              <w:spacing w:after="0"/>
              <w:rPr>
                <w:sz w:val="4"/>
                <w:szCs w:val="4"/>
                <w:color w:val="auto"/>
              </w:rPr>
            </w:pPr>
          </w:p>
        </w:tc>
        <w:tc>
          <w:tcPr>
            <w:tcW w:w="220" w:type="dxa"/>
            <w:vAlign w:val="bottom"/>
            <w:tcBorders>
              <w:bottom w:val="single" w:sz="8" w:color="auto"/>
              <w:right w:val="single" w:sz="8" w:color="auto"/>
            </w:tcBorders>
          </w:tcPr>
          <w:p>
            <w:pPr>
              <w:spacing w:after="0"/>
              <w:rPr>
                <w:sz w:val="4"/>
                <w:szCs w:val="4"/>
                <w:color w:val="auto"/>
              </w:rPr>
            </w:pPr>
          </w:p>
        </w:tc>
        <w:tc>
          <w:tcPr>
            <w:tcW w:w="5480" w:type="dxa"/>
            <w:vAlign w:val="bottom"/>
            <w:tcBorders>
              <w:bottom w:val="single" w:sz="8" w:color="auto"/>
              <w:right w:val="single" w:sz="8" w:color="auto"/>
            </w:tcBorders>
          </w:tcPr>
          <w:p>
            <w:pPr>
              <w:spacing w:after="0"/>
              <w:rPr>
                <w:sz w:val="4"/>
                <w:szCs w:val="4"/>
                <w:color w:val="auto"/>
              </w:rPr>
            </w:pPr>
          </w:p>
        </w:tc>
      </w:tr>
      <w:tr>
        <w:trPr>
          <w:trHeight w:val="277"/>
        </w:trPr>
        <w:tc>
          <w:tcPr>
            <w:tcW w:w="554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b w:val="1"/>
                <w:bCs w:val="1"/>
                <w:color w:val="auto"/>
              </w:rPr>
              <w:t>Art. 19 Independent Proxy</w:t>
            </w:r>
          </w:p>
        </w:tc>
        <w:tc>
          <w:tcPr>
            <w:tcW w:w="220" w:type="dxa"/>
            <w:vAlign w:val="bottom"/>
            <w:tcBorders>
              <w:right w:val="single" w:sz="8" w:color="auto"/>
            </w:tcBorders>
          </w:tcPr>
          <w:p>
            <w:pPr>
              <w:spacing w:after="0"/>
              <w:rPr>
                <w:sz w:val="24"/>
                <w:szCs w:val="24"/>
                <w:color w:val="auto"/>
              </w:rPr>
            </w:pPr>
          </w:p>
        </w:tc>
        <w:tc>
          <w:tcPr>
            <w:tcW w:w="5480" w:type="dxa"/>
            <w:vAlign w:val="bottom"/>
            <w:tcBorders>
              <w:right w:val="single" w:sz="8" w:color="auto"/>
            </w:tcBorders>
          </w:tcPr>
          <w:p>
            <w:pPr>
              <w:ind w:left="60"/>
              <w:spacing w:after="0"/>
              <w:rPr>
                <w:sz w:val="20"/>
                <w:szCs w:val="20"/>
                <w:color w:val="auto"/>
              </w:rPr>
            </w:pPr>
            <w:r>
              <w:rPr>
                <w:rFonts w:ascii="Arial" w:cs="Arial" w:eastAsia="Arial" w:hAnsi="Arial"/>
                <w:sz w:val="18"/>
                <w:szCs w:val="18"/>
                <w:b w:val="1"/>
                <w:bCs w:val="1"/>
                <w:color w:val="auto"/>
              </w:rPr>
              <w:t>Art. 19 Représentant indépendant</w:t>
            </w:r>
          </w:p>
        </w:tc>
      </w:tr>
      <w:tr>
        <w:trPr>
          <w:trHeight w:val="391"/>
        </w:trPr>
        <w:tc>
          <w:tcPr>
            <w:tcW w:w="554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The Independent Proxy shall be elected by the Ordinary General</w:t>
            </w:r>
          </w:p>
        </w:tc>
        <w:tc>
          <w:tcPr>
            <w:tcW w:w="220" w:type="dxa"/>
            <w:vAlign w:val="bottom"/>
            <w:tcBorders>
              <w:right w:val="single" w:sz="8" w:color="auto"/>
            </w:tcBorders>
          </w:tcPr>
          <w:p>
            <w:pPr>
              <w:spacing w:after="0"/>
              <w:rPr>
                <w:sz w:val="24"/>
                <w:szCs w:val="24"/>
                <w:color w:val="auto"/>
              </w:rPr>
            </w:pPr>
          </w:p>
        </w:tc>
        <w:tc>
          <w:tcPr>
            <w:tcW w:w="548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Le représentant indépendant est élu par l'assemblée générale</w:t>
            </w:r>
          </w:p>
        </w:tc>
      </w:tr>
      <w:tr>
        <w:trPr>
          <w:trHeight w:val="203"/>
        </w:trPr>
        <w:tc>
          <w:tcPr>
            <w:tcW w:w="5540" w:type="dxa"/>
            <w:vAlign w:val="bottom"/>
            <w:tcBorders>
              <w:left w:val="single" w:sz="8" w:color="auto"/>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Meeting for a term of one year until the end of the next Ordinary</w:t>
            </w:r>
          </w:p>
        </w:tc>
        <w:tc>
          <w:tcPr>
            <w:tcW w:w="22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ordinaire pour une durée d'un an jusqu'à la fin de la prochaine</w:t>
            </w:r>
          </w:p>
        </w:tc>
      </w:tr>
      <w:tr>
        <w:trPr>
          <w:trHeight w:val="203"/>
        </w:trPr>
        <w:tc>
          <w:tcPr>
            <w:tcW w:w="5540" w:type="dxa"/>
            <w:vAlign w:val="bottom"/>
            <w:tcBorders>
              <w:left w:val="single" w:sz="8" w:color="auto"/>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General Meeting. Re-election is permitted. The Independent Proxy</w:t>
            </w:r>
          </w:p>
        </w:tc>
        <w:tc>
          <w:tcPr>
            <w:tcW w:w="22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assemblée générale ordinaire. Une réélection est possible. Le</w:t>
            </w:r>
          </w:p>
        </w:tc>
      </w:tr>
      <w:tr>
        <w:trPr>
          <w:trHeight w:val="203"/>
        </w:trPr>
        <w:tc>
          <w:tcPr>
            <w:tcW w:w="5540" w:type="dxa"/>
            <w:vAlign w:val="bottom"/>
            <w:tcBorders>
              <w:left w:val="single" w:sz="8" w:color="auto"/>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informs the Company about number, type, par value and category</w:t>
            </w:r>
          </w:p>
        </w:tc>
        <w:tc>
          <w:tcPr>
            <w:tcW w:w="22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représentant indépendant informe la société sur le nombre, le</w:t>
            </w:r>
          </w:p>
        </w:tc>
      </w:tr>
      <w:tr>
        <w:trPr>
          <w:trHeight w:val="203"/>
        </w:trPr>
        <w:tc>
          <w:tcPr>
            <w:tcW w:w="5540" w:type="dxa"/>
            <w:vAlign w:val="bottom"/>
            <w:tcBorders>
              <w:left w:val="single" w:sz="8" w:color="auto"/>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of the represented shares. The Chairman of the Board discloses</w:t>
            </w:r>
          </w:p>
        </w:tc>
        <w:tc>
          <w:tcPr>
            <w:tcW w:w="22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type, la valeur nominale et la catégorie des actions représentées.</w:t>
            </w:r>
          </w:p>
        </w:tc>
      </w:tr>
      <w:tr>
        <w:trPr>
          <w:trHeight w:val="203"/>
        </w:trPr>
        <w:tc>
          <w:tcPr>
            <w:tcW w:w="5540" w:type="dxa"/>
            <w:vAlign w:val="bottom"/>
            <w:tcBorders>
              <w:left w:val="single" w:sz="8" w:color="auto"/>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the information to the General Meeting. The other duties of the</w:t>
            </w:r>
          </w:p>
        </w:tc>
        <w:tc>
          <w:tcPr>
            <w:tcW w:w="22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Le  président  du  conseil  d'administration  communique  ces</w:t>
            </w:r>
          </w:p>
        </w:tc>
      </w:tr>
      <w:tr>
        <w:trPr>
          <w:trHeight w:val="203"/>
        </w:trPr>
        <w:tc>
          <w:tcPr>
            <w:tcW w:w="5540" w:type="dxa"/>
            <w:vAlign w:val="bottom"/>
            <w:tcBorders>
              <w:left w:val="single" w:sz="8" w:color="auto"/>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Independent Proxy are determined by the applicable statutory</w:t>
            </w:r>
          </w:p>
        </w:tc>
        <w:tc>
          <w:tcPr>
            <w:tcW w:w="22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informations à l'assemblée générale. Les autres fonctions du</w:t>
            </w:r>
          </w:p>
        </w:tc>
      </w:tr>
      <w:tr>
        <w:trPr>
          <w:trHeight w:val="203"/>
        </w:trPr>
        <w:tc>
          <w:tcPr>
            <w:tcW w:w="5540" w:type="dxa"/>
            <w:vAlign w:val="bottom"/>
            <w:tcBorders>
              <w:left w:val="single" w:sz="8" w:color="auto"/>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provisions.</w:t>
            </w:r>
          </w:p>
        </w:tc>
        <w:tc>
          <w:tcPr>
            <w:tcW w:w="22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représentant indépendant sont déterminées par les dispositions</w:t>
            </w:r>
          </w:p>
        </w:tc>
      </w:tr>
      <w:tr>
        <w:trPr>
          <w:trHeight w:val="217"/>
        </w:trPr>
        <w:tc>
          <w:tcPr>
            <w:tcW w:w="5540" w:type="dxa"/>
            <w:vAlign w:val="bottom"/>
            <w:tcBorders>
              <w:left w:val="single" w:sz="8" w:color="auto"/>
              <w:right w:val="single" w:sz="8" w:color="auto"/>
            </w:tcBorders>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548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statutaires applicables.</w:t>
            </w:r>
          </w:p>
        </w:tc>
      </w:tr>
      <w:tr>
        <w:trPr>
          <w:trHeight w:val="54"/>
        </w:trPr>
        <w:tc>
          <w:tcPr>
            <w:tcW w:w="5540" w:type="dxa"/>
            <w:vAlign w:val="bottom"/>
            <w:tcBorders>
              <w:left w:val="single" w:sz="8" w:color="auto"/>
              <w:bottom w:val="single" w:sz="8" w:color="auto"/>
              <w:right w:val="single" w:sz="8" w:color="auto"/>
            </w:tcBorders>
          </w:tcPr>
          <w:p>
            <w:pPr>
              <w:spacing w:after="0"/>
              <w:rPr>
                <w:sz w:val="4"/>
                <w:szCs w:val="4"/>
                <w:color w:val="auto"/>
              </w:rPr>
            </w:pPr>
          </w:p>
        </w:tc>
        <w:tc>
          <w:tcPr>
            <w:tcW w:w="220" w:type="dxa"/>
            <w:vAlign w:val="bottom"/>
            <w:tcBorders>
              <w:bottom w:val="single" w:sz="8" w:color="auto"/>
              <w:right w:val="single" w:sz="8" w:color="auto"/>
            </w:tcBorders>
          </w:tcPr>
          <w:p>
            <w:pPr>
              <w:spacing w:after="0"/>
              <w:rPr>
                <w:sz w:val="4"/>
                <w:szCs w:val="4"/>
                <w:color w:val="auto"/>
              </w:rPr>
            </w:pPr>
          </w:p>
        </w:tc>
        <w:tc>
          <w:tcPr>
            <w:tcW w:w="5480" w:type="dxa"/>
            <w:vAlign w:val="bottom"/>
            <w:tcBorders>
              <w:bottom w:val="single" w:sz="8" w:color="auto"/>
              <w:right w:val="single" w:sz="8" w:color="auto"/>
            </w:tcBorders>
          </w:tcPr>
          <w:p>
            <w:pPr>
              <w:spacing w:after="0"/>
              <w:rPr>
                <w:sz w:val="4"/>
                <w:szCs w:val="4"/>
                <w:color w:val="auto"/>
              </w:rPr>
            </w:pPr>
          </w:p>
        </w:tc>
      </w:tr>
      <w:tr>
        <w:trPr>
          <w:trHeight w:val="277"/>
        </w:trPr>
        <w:tc>
          <w:tcPr>
            <w:tcW w:w="554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b w:val="1"/>
                <w:bCs w:val="1"/>
                <w:color w:val="auto"/>
              </w:rPr>
              <w:t>V. BOARD OF DIRECTORS</w:t>
            </w:r>
          </w:p>
        </w:tc>
        <w:tc>
          <w:tcPr>
            <w:tcW w:w="220" w:type="dxa"/>
            <w:vAlign w:val="bottom"/>
            <w:tcBorders>
              <w:right w:val="single" w:sz="8" w:color="auto"/>
            </w:tcBorders>
          </w:tcPr>
          <w:p>
            <w:pPr>
              <w:spacing w:after="0"/>
              <w:rPr>
                <w:sz w:val="24"/>
                <w:szCs w:val="24"/>
                <w:color w:val="auto"/>
              </w:rPr>
            </w:pPr>
          </w:p>
        </w:tc>
        <w:tc>
          <w:tcPr>
            <w:tcW w:w="5480" w:type="dxa"/>
            <w:vAlign w:val="bottom"/>
            <w:tcBorders>
              <w:right w:val="single" w:sz="8" w:color="auto"/>
            </w:tcBorders>
          </w:tcPr>
          <w:p>
            <w:pPr>
              <w:ind w:left="60"/>
              <w:spacing w:after="0"/>
              <w:rPr>
                <w:sz w:val="20"/>
                <w:szCs w:val="20"/>
                <w:color w:val="auto"/>
              </w:rPr>
            </w:pPr>
            <w:r>
              <w:rPr>
                <w:rFonts w:ascii="Arial" w:cs="Arial" w:eastAsia="Arial" w:hAnsi="Arial"/>
                <w:sz w:val="18"/>
                <w:szCs w:val="18"/>
                <w:b w:val="1"/>
                <w:bCs w:val="1"/>
                <w:color w:val="auto"/>
              </w:rPr>
              <w:t>V. CONSEIL D'ADMINISTRATION</w:t>
            </w:r>
          </w:p>
        </w:tc>
      </w:tr>
      <w:tr>
        <w:trPr>
          <w:trHeight w:val="54"/>
        </w:trPr>
        <w:tc>
          <w:tcPr>
            <w:tcW w:w="5540" w:type="dxa"/>
            <w:vAlign w:val="bottom"/>
            <w:tcBorders>
              <w:left w:val="single" w:sz="8" w:color="auto"/>
              <w:bottom w:val="single" w:sz="8" w:color="auto"/>
              <w:right w:val="single" w:sz="8" w:color="auto"/>
            </w:tcBorders>
          </w:tcPr>
          <w:p>
            <w:pPr>
              <w:spacing w:after="0"/>
              <w:rPr>
                <w:sz w:val="4"/>
                <w:szCs w:val="4"/>
                <w:color w:val="auto"/>
              </w:rPr>
            </w:pPr>
          </w:p>
        </w:tc>
        <w:tc>
          <w:tcPr>
            <w:tcW w:w="220" w:type="dxa"/>
            <w:vAlign w:val="bottom"/>
            <w:tcBorders>
              <w:bottom w:val="single" w:sz="8" w:color="auto"/>
              <w:right w:val="single" w:sz="8" w:color="auto"/>
            </w:tcBorders>
          </w:tcPr>
          <w:p>
            <w:pPr>
              <w:spacing w:after="0"/>
              <w:rPr>
                <w:sz w:val="4"/>
                <w:szCs w:val="4"/>
                <w:color w:val="auto"/>
              </w:rPr>
            </w:pPr>
          </w:p>
        </w:tc>
        <w:tc>
          <w:tcPr>
            <w:tcW w:w="5480" w:type="dxa"/>
            <w:vAlign w:val="bottom"/>
            <w:tcBorders>
              <w:bottom w:val="single" w:sz="8" w:color="auto"/>
              <w:right w:val="single" w:sz="8" w:color="auto"/>
            </w:tcBorders>
          </w:tcPr>
          <w:p>
            <w:pPr>
              <w:spacing w:after="0"/>
              <w:rPr>
                <w:sz w:val="4"/>
                <w:szCs w:val="4"/>
                <w:color w:val="auto"/>
              </w:rPr>
            </w:pPr>
          </w:p>
        </w:tc>
      </w:tr>
      <w:tr>
        <w:trPr>
          <w:trHeight w:val="453"/>
        </w:trPr>
        <w:tc>
          <w:tcPr>
            <w:tcW w:w="55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54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249" w:right="339" w:bottom="1440" w:gutter="0" w:footer="0" w:header="0"/>
        </w:sectPr>
      </w:pPr>
    </w:p>
    <w:bookmarkStart w:id="55" w:name="page56"/>
    <w:bookmarkEnd w:id="55"/>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187"/>
        </w:trPr>
        <w:tc>
          <w:tcPr>
            <w:tcW w:w="554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5480" w:type="dxa"/>
            <w:vAlign w:val="bottom"/>
            <w:tcBorders>
              <w:bottom w:val="single" w:sz="8" w:color="auto"/>
            </w:tcBorders>
          </w:tcPr>
          <w:p>
            <w:pPr>
              <w:ind w:left="5260"/>
              <w:spacing w:after="0"/>
              <w:rPr>
                <w:sz w:val="20"/>
                <w:szCs w:val="20"/>
                <w:color w:val="auto"/>
              </w:rPr>
            </w:pPr>
            <w:r>
              <w:rPr>
                <w:rFonts w:ascii="Arial" w:cs="Arial" w:eastAsia="Arial" w:hAnsi="Arial"/>
                <w:sz w:val="16"/>
                <w:szCs w:val="16"/>
                <w:color w:val="auto"/>
              </w:rPr>
              <w:t>17</w:t>
            </w:r>
          </w:p>
        </w:tc>
      </w:tr>
      <w:tr>
        <w:trPr>
          <w:trHeight w:val="277"/>
        </w:trPr>
        <w:tc>
          <w:tcPr>
            <w:tcW w:w="554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b w:val="1"/>
                <w:bCs w:val="1"/>
                <w:color w:val="auto"/>
              </w:rPr>
              <w:t>Art. 20 Number of Members, Term of Office</w:t>
            </w:r>
          </w:p>
        </w:tc>
        <w:tc>
          <w:tcPr>
            <w:tcW w:w="220" w:type="dxa"/>
            <w:vAlign w:val="bottom"/>
            <w:tcBorders>
              <w:right w:val="single" w:sz="8" w:color="auto"/>
            </w:tcBorders>
          </w:tcPr>
          <w:p>
            <w:pPr>
              <w:spacing w:after="0"/>
              <w:rPr>
                <w:sz w:val="24"/>
                <w:szCs w:val="24"/>
                <w:color w:val="auto"/>
              </w:rPr>
            </w:pPr>
          </w:p>
        </w:tc>
        <w:tc>
          <w:tcPr>
            <w:tcW w:w="5480" w:type="dxa"/>
            <w:vAlign w:val="bottom"/>
            <w:tcBorders>
              <w:right w:val="single" w:sz="8" w:color="auto"/>
            </w:tcBorders>
          </w:tcPr>
          <w:p>
            <w:pPr>
              <w:ind w:left="60"/>
              <w:spacing w:after="0"/>
              <w:rPr>
                <w:sz w:val="20"/>
                <w:szCs w:val="20"/>
                <w:color w:val="auto"/>
              </w:rPr>
            </w:pPr>
            <w:r>
              <w:rPr>
                <w:rFonts w:ascii="Arial" w:cs="Arial" w:eastAsia="Arial" w:hAnsi="Arial"/>
                <w:sz w:val="18"/>
                <w:szCs w:val="18"/>
                <w:b w:val="1"/>
                <w:bCs w:val="1"/>
                <w:color w:val="auto"/>
              </w:rPr>
              <w:t>Art. 20 Nombre de membres, durée de la fonction</w:t>
            </w:r>
          </w:p>
        </w:tc>
      </w:tr>
      <w:tr>
        <w:trPr>
          <w:trHeight w:val="391"/>
        </w:trPr>
        <w:tc>
          <w:tcPr>
            <w:tcW w:w="554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The Board of Directors shall consist of at least 3 and not more than</w:t>
            </w:r>
          </w:p>
        </w:tc>
        <w:tc>
          <w:tcPr>
            <w:tcW w:w="220" w:type="dxa"/>
            <w:vAlign w:val="bottom"/>
            <w:tcBorders>
              <w:right w:val="single" w:sz="8" w:color="auto"/>
            </w:tcBorders>
          </w:tcPr>
          <w:p>
            <w:pPr>
              <w:spacing w:after="0"/>
              <w:rPr>
                <w:sz w:val="24"/>
                <w:szCs w:val="24"/>
                <w:color w:val="auto"/>
              </w:rPr>
            </w:pPr>
          </w:p>
        </w:tc>
        <w:tc>
          <w:tcPr>
            <w:tcW w:w="548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Le conseil d'administration se compose d'au minimum 3 et au</w:t>
            </w:r>
          </w:p>
        </w:tc>
      </w:tr>
      <w:tr>
        <w:trPr>
          <w:trHeight w:val="203"/>
        </w:trPr>
        <w:tc>
          <w:tcPr>
            <w:tcW w:w="5540" w:type="dxa"/>
            <w:vAlign w:val="bottom"/>
            <w:tcBorders>
              <w:left w:val="single" w:sz="8" w:color="auto"/>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9 members. This maximum number may be exceeded if it is</w:t>
            </w:r>
          </w:p>
        </w:tc>
        <w:tc>
          <w:tcPr>
            <w:tcW w:w="22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maximum 9 membres. Ce nombre maximum pourra être dépassé</w:t>
            </w:r>
          </w:p>
        </w:tc>
      </w:tr>
      <w:tr>
        <w:trPr>
          <w:trHeight w:val="203"/>
        </w:trPr>
        <w:tc>
          <w:tcPr>
            <w:tcW w:w="5540" w:type="dxa"/>
            <w:vAlign w:val="bottom"/>
            <w:tcBorders>
              <w:left w:val="single" w:sz="8" w:color="auto"/>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necessary  to  satisfy  nationality,  residency  and/or  gender</w:t>
            </w:r>
          </w:p>
        </w:tc>
        <w:tc>
          <w:tcPr>
            <w:tcW w:w="22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s’il est nécessaire de satisfaire à des conditions de nationalités, de</w:t>
            </w:r>
          </w:p>
        </w:tc>
      </w:tr>
      <w:tr>
        <w:trPr>
          <w:trHeight w:val="203"/>
        </w:trPr>
        <w:tc>
          <w:tcPr>
            <w:tcW w:w="5540" w:type="dxa"/>
            <w:vAlign w:val="bottom"/>
            <w:tcBorders>
              <w:left w:val="single" w:sz="8" w:color="auto"/>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requirements under Swiss or foreign laws. The chairman and the</w:t>
            </w:r>
          </w:p>
        </w:tc>
        <w:tc>
          <w:tcPr>
            <w:tcW w:w="22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résidences ou de genres selon le droit suisse ou étranger. Le</w:t>
            </w:r>
          </w:p>
        </w:tc>
      </w:tr>
      <w:tr>
        <w:trPr>
          <w:trHeight w:val="203"/>
        </w:trPr>
        <w:tc>
          <w:tcPr>
            <w:tcW w:w="5540" w:type="dxa"/>
            <w:vAlign w:val="bottom"/>
            <w:tcBorders>
              <w:left w:val="single" w:sz="8" w:color="auto"/>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members of the Board of Directors are individually elected by the</w:t>
            </w:r>
          </w:p>
        </w:tc>
        <w:tc>
          <w:tcPr>
            <w:tcW w:w="22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président et les membres du conseil d'administration sont élus</w:t>
            </w:r>
          </w:p>
        </w:tc>
      </w:tr>
      <w:tr>
        <w:trPr>
          <w:trHeight w:val="203"/>
        </w:trPr>
        <w:tc>
          <w:tcPr>
            <w:tcW w:w="5540" w:type="dxa"/>
            <w:vAlign w:val="bottom"/>
            <w:tcBorders>
              <w:left w:val="single" w:sz="8" w:color="auto"/>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General Meeting for a term of one year until the end of the next</w:t>
            </w:r>
          </w:p>
        </w:tc>
        <w:tc>
          <w:tcPr>
            <w:tcW w:w="22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individuellement par l'assemblée générale pour un mandat d'un an</w:t>
            </w:r>
          </w:p>
        </w:tc>
      </w:tr>
      <w:tr>
        <w:trPr>
          <w:trHeight w:val="203"/>
        </w:trPr>
        <w:tc>
          <w:tcPr>
            <w:tcW w:w="5540" w:type="dxa"/>
            <w:vAlign w:val="bottom"/>
            <w:tcBorders>
              <w:left w:val="single" w:sz="8" w:color="auto"/>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Ordinary General Meeting, provided that he/she does not resign or</w:t>
            </w:r>
          </w:p>
        </w:tc>
        <w:tc>
          <w:tcPr>
            <w:tcW w:w="22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jusqu'à la fin de la prochaine assemblée générale ordinaire, à</w:t>
            </w:r>
          </w:p>
        </w:tc>
      </w:tr>
      <w:tr>
        <w:trPr>
          <w:trHeight w:val="203"/>
        </w:trPr>
        <w:tc>
          <w:tcPr>
            <w:tcW w:w="5540" w:type="dxa"/>
            <w:vAlign w:val="bottom"/>
            <w:tcBorders>
              <w:left w:val="single" w:sz="8" w:color="auto"/>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is not replaced during his/her term.</w:t>
            </w:r>
          </w:p>
        </w:tc>
        <w:tc>
          <w:tcPr>
            <w:tcW w:w="22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condition qu'il/elle ne démissionne pas ou ne soit pas remplacé(e)</w:t>
            </w:r>
          </w:p>
        </w:tc>
      </w:tr>
      <w:tr>
        <w:trPr>
          <w:trHeight w:val="217"/>
        </w:trPr>
        <w:tc>
          <w:tcPr>
            <w:tcW w:w="5540" w:type="dxa"/>
            <w:vAlign w:val="bottom"/>
            <w:tcBorders>
              <w:left w:val="single" w:sz="8" w:color="auto"/>
              <w:right w:val="single" w:sz="8" w:color="auto"/>
            </w:tcBorders>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548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durant son mandat.</w:t>
            </w:r>
          </w:p>
        </w:tc>
      </w:tr>
      <w:tr>
        <w:trPr>
          <w:trHeight w:val="54"/>
        </w:trPr>
        <w:tc>
          <w:tcPr>
            <w:tcW w:w="5540" w:type="dxa"/>
            <w:vAlign w:val="bottom"/>
            <w:tcBorders>
              <w:left w:val="single" w:sz="8" w:color="auto"/>
              <w:bottom w:val="single" w:sz="8" w:color="auto"/>
              <w:right w:val="single" w:sz="8" w:color="auto"/>
            </w:tcBorders>
          </w:tcPr>
          <w:p>
            <w:pPr>
              <w:spacing w:after="0"/>
              <w:rPr>
                <w:sz w:val="4"/>
                <w:szCs w:val="4"/>
                <w:color w:val="auto"/>
              </w:rPr>
            </w:pPr>
          </w:p>
        </w:tc>
        <w:tc>
          <w:tcPr>
            <w:tcW w:w="220" w:type="dxa"/>
            <w:vAlign w:val="bottom"/>
            <w:tcBorders>
              <w:bottom w:val="single" w:sz="8" w:color="auto"/>
              <w:right w:val="single" w:sz="8" w:color="auto"/>
            </w:tcBorders>
          </w:tcPr>
          <w:p>
            <w:pPr>
              <w:spacing w:after="0"/>
              <w:rPr>
                <w:sz w:val="4"/>
                <w:szCs w:val="4"/>
                <w:color w:val="auto"/>
              </w:rPr>
            </w:pPr>
          </w:p>
        </w:tc>
        <w:tc>
          <w:tcPr>
            <w:tcW w:w="5480" w:type="dxa"/>
            <w:vAlign w:val="bottom"/>
            <w:tcBorders>
              <w:bottom w:val="single" w:sz="8" w:color="auto"/>
              <w:right w:val="single" w:sz="8" w:color="auto"/>
            </w:tcBorders>
          </w:tcPr>
          <w:p>
            <w:pPr>
              <w:spacing w:after="0"/>
              <w:rPr>
                <w:sz w:val="4"/>
                <w:szCs w:val="4"/>
                <w:color w:val="auto"/>
              </w:rPr>
            </w:pPr>
          </w:p>
        </w:tc>
      </w:tr>
      <w:tr>
        <w:trPr>
          <w:trHeight w:val="263"/>
        </w:trPr>
        <w:tc>
          <w:tcPr>
            <w:tcW w:w="554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The members of the Board of Directors may be re-elected without</w:t>
            </w:r>
          </w:p>
        </w:tc>
        <w:tc>
          <w:tcPr>
            <w:tcW w:w="220" w:type="dxa"/>
            <w:vAlign w:val="bottom"/>
            <w:tcBorders>
              <w:right w:val="single" w:sz="8" w:color="auto"/>
            </w:tcBorders>
          </w:tcPr>
          <w:p>
            <w:pPr>
              <w:spacing w:after="0"/>
              <w:rPr>
                <w:sz w:val="22"/>
                <w:szCs w:val="22"/>
                <w:color w:val="auto"/>
              </w:rPr>
            </w:pPr>
          </w:p>
        </w:tc>
        <w:tc>
          <w:tcPr>
            <w:tcW w:w="548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Les membres du conseil d'administration peuvent être réélus sans</w:t>
            </w:r>
          </w:p>
        </w:tc>
      </w:tr>
      <w:tr>
        <w:trPr>
          <w:trHeight w:val="203"/>
        </w:trPr>
        <w:tc>
          <w:tcPr>
            <w:tcW w:w="5540" w:type="dxa"/>
            <w:vAlign w:val="bottom"/>
            <w:tcBorders>
              <w:left w:val="single" w:sz="8" w:color="auto"/>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limitation. The maximum age limit of members of the Board shall</w:t>
            </w:r>
          </w:p>
        </w:tc>
        <w:tc>
          <w:tcPr>
            <w:tcW w:w="22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limitation. La limite d’âge des membres du conseil d'administration</w:t>
            </w:r>
          </w:p>
        </w:tc>
      </w:tr>
      <w:tr>
        <w:trPr>
          <w:trHeight w:val="203"/>
        </w:trPr>
        <w:tc>
          <w:tcPr>
            <w:tcW w:w="5540" w:type="dxa"/>
            <w:vAlign w:val="bottom"/>
            <w:tcBorders>
              <w:left w:val="single" w:sz="8" w:color="auto"/>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be 75 years. When a member of the Board of Directors reaches</w:t>
            </w:r>
          </w:p>
        </w:tc>
        <w:tc>
          <w:tcPr>
            <w:tcW w:w="22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est fixée à 75 ans. Lorsqu'un membre du conseil d'administration</w:t>
            </w:r>
          </w:p>
        </w:tc>
      </w:tr>
      <w:tr>
        <w:trPr>
          <w:trHeight w:val="203"/>
        </w:trPr>
        <w:tc>
          <w:tcPr>
            <w:tcW w:w="5540" w:type="dxa"/>
            <w:vAlign w:val="bottom"/>
            <w:tcBorders>
              <w:left w:val="single" w:sz="8" w:color="auto"/>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this age limit during his term of office, such term shall automatically</w:t>
            </w:r>
          </w:p>
        </w:tc>
        <w:tc>
          <w:tcPr>
            <w:tcW w:w="22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atteint cette limite d'âge durant son mandat, ledit mandat sera</w:t>
            </w:r>
          </w:p>
        </w:tc>
      </w:tr>
      <w:tr>
        <w:trPr>
          <w:trHeight w:val="203"/>
        </w:trPr>
        <w:tc>
          <w:tcPr>
            <w:tcW w:w="5540" w:type="dxa"/>
            <w:vAlign w:val="bottom"/>
            <w:tcBorders>
              <w:left w:val="single" w:sz="8" w:color="auto"/>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extend  to  the  next  ordinary  shareholders'  meeting.  The</w:t>
            </w:r>
          </w:p>
        </w:tc>
        <w:tc>
          <w:tcPr>
            <w:tcW w:w="22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automatiquement  prolongé  jusqu'à  la  prochaine  assemblée</w:t>
            </w:r>
          </w:p>
        </w:tc>
      </w:tr>
      <w:tr>
        <w:trPr>
          <w:trHeight w:val="203"/>
        </w:trPr>
        <w:tc>
          <w:tcPr>
            <w:tcW w:w="5540" w:type="dxa"/>
            <w:vAlign w:val="bottom"/>
            <w:tcBorders>
              <w:left w:val="single" w:sz="8" w:color="auto"/>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shareholders' meeting may resolve to grant an exception to the</w:t>
            </w:r>
          </w:p>
        </w:tc>
        <w:tc>
          <w:tcPr>
            <w:tcW w:w="22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générale ordinaire. L'assemblée générale des actionnaires peut</w:t>
            </w:r>
          </w:p>
        </w:tc>
      </w:tr>
      <w:tr>
        <w:trPr>
          <w:trHeight w:val="217"/>
        </w:trPr>
        <w:tc>
          <w:tcPr>
            <w:tcW w:w="554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age limit.</w:t>
            </w:r>
          </w:p>
        </w:tc>
        <w:tc>
          <w:tcPr>
            <w:tcW w:w="220" w:type="dxa"/>
            <w:vAlign w:val="bottom"/>
            <w:tcBorders>
              <w:right w:val="single" w:sz="8" w:color="auto"/>
            </w:tcBorders>
          </w:tcPr>
          <w:p>
            <w:pPr>
              <w:spacing w:after="0"/>
              <w:rPr>
                <w:sz w:val="18"/>
                <w:szCs w:val="18"/>
                <w:color w:val="auto"/>
              </w:rPr>
            </w:pPr>
          </w:p>
        </w:tc>
        <w:tc>
          <w:tcPr>
            <w:tcW w:w="548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décider d'accorder une dérogation à la limite d'âge.</w:t>
            </w:r>
          </w:p>
        </w:tc>
      </w:tr>
      <w:tr>
        <w:trPr>
          <w:trHeight w:val="54"/>
        </w:trPr>
        <w:tc>
          <w:tcPr>
            <w:tcW w:w="5540" w:type="dxa"/>
            <w:vAlign w:val="bottom"/>
            <w:tcBorders>
              <w:left w:val="single" w:sz="8" w:color="auto"/>
              <w:bottom w:val="single" w:sz="8" w:color="auto"/>
              <w:right w:val="single" w:sz="8" w:color="auto"/>
            </w:tcBorders>
          </w:tcPr>
          <w:p>
            <w:pPr>
              <w:spacing w:after="0"/>
              <w:rPr>
                <w:sz w:val="4"/>
                <w:szCs w:val="4"/>
                <w:color w:val="auto"/>
              </w:rPr>
            </w:pPr>
          </w:p>
        </w:tc>
        <w:tc>
          <w:tcPr>
            <w:tcW w:w="220" w:type="dxa"/>
            <w:vAlign w:val="bottom"/>
            <w:tcBorders>
              <w:bottom w:val="single" w:sz="8" w:color="auto"/>
              <w:right w:val="single" w:sz="8" w:color="auto"/>
            </w:tcBorders>
          </w:tcPr>
          <w:p>
            <w:pPr>
              <w:spacing w:after="0"/>
              <w:rPr>
                <w:sz w:val="4"/>
                <w:szCs w:val="4"/>
                <w:color w:val="auto"/>
              </w:rPr>
            </w:pPr>
          </w:p>
        </w:tc>
        <w:tc>
          <w:tcPr>
            <w:tcW w:w="5480" w:type="dxa"/>
            <w:vAlign w:val="bottom"/>
            <w:tcBorders>
              <w:bottom w:val="single" w:sz="8" w:color="auto"/>
              <w:right w:val="single" w:sz="8" w:color="auto"/>
            </w:tcBorders>
          </w:tcPr>
          <w:p>
            <w:pPr>
              <w:spacing w:after="0"/>
              <w:rPr>
                <w:sz w:val="4"/>
                <w:szCs w:val="4"/>
                <w:color w:val="auto"/>
              </w:rPr>
            </w:pPr>
          </w:p>
        </w:tc>
      </w:tr>
      <w:tr>
        <w:trPr>
          <w:trHeight w:val="277"/>
        </w:trPr>
        <w:tc>
          <w:tcPr>
            <w:tcW w:w="554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b w:val="1"/>
                <w:bCs w:val="1"/>
                <w:color w:val="auto"/>
              </w:rPr>
              <w:t>Art. 21 Constitution</w:t>
            </w:r>
          </w:p>
        </w:tc>
        <w:tc>
          <w:tcPr>
            <w:tcW w:w="220" w:type="dxa"/>
            <w:vAlign w:val="bottom"/>
            <w:tcBorders>
              <w:right w:val="single" w:sz="8" w:color="auto"/>
            </w:tcBorders>
          </w:tcPr>
          <w:p>
            <w:pPr>
              <w:spacing w:after="0"/>
              <w:rPr>
                <w:sz w:val="24"/>
                <w:szCs w:val="24"/>
                <w:color w:val="auto"/>
              </w:rPr>
            </w:pPr>
          </w:p>
        </w:tc>
        <w:tc>
          <w:tcPr>
            <w:tcW w:w="5480" w:type="dxa"/>
            <w:vAlign w:val="bottom"/>
            <w:tcBorders>
              <w:right w:val="single" w:sz="8" w:color="auto"/>
            </w:tcBorders>
          </w:tcPr>
          <w:p>
            <w:pPr>
              <w:ind w:left="60"/>
              <w:spacing w:after="0"/>
              <w:rPr>
                <w:sz w:val="20"/>
                <w:szCs w:val="20"/>
                <w:color w:val="auto"/>
              </w:rPr>
            </w:pPr>
            <w:r>
              <w:rPr>
                <w:rFonts w:ascii="Arial" w:cs="Arial" w:eastAsia="Arial" w:hAnsi="Arial"/>
                <w:sz w:val="18"/>
                <w:szCs w:val="18"/>
                <w:b w:val="1"/>
                <w:bCs w:val="1"/>
                <w:color w:val="auto"/>
              </w:rPr>
              <w:t>Art. 21 Constitution</w:t>
            </w:r>
          </w:p>
        </w:tc>
      </w:tr>
      <w:tr>
        <w:trPr>
          <w:trHeight w:val="391"/>
        </w:trPr>
        <w:tc>
          <w:tcPr>
            <w:tcW w:w="554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Subject to the powers of the General Meeting, the Board of</w:t>
            </w:r>
          </w:p>
        </w:tc>
        <w:tc>
          <w:tcPr>
            <w:tcW w:w="220" w:type="dxa"/>
            <w:vAlign w:val="bottom"/>
            <w:tcBorders>
              <w:right w:val="single" w:sz="8" w:color="auto"/>
            </w:tcBorders>
          </w:tcPr>
          <w:p>
            <w:pPr>
              <w:spacing w:after="0"/>
              <w:rPr>
                <w:sz w:val="24"/>
                <w:szCs w:val="24"/>
                <w:color w:val="auto"/>
              </w:rPr>
            </w:pPr>
          </w:p>
        </w:tc>
        <w:tc>
          <w:tcPr>
            <w:tcW w:w="548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Sous réserve des pouvoirs de l'assemblée générale, le conseil</w:t>
            </w:r>
          </w:p>
        </w:tc>
      </w:tr>
      <w:tr>
        <w:trPr>
          <w:trHeight w:val="203"/>
        </w:trPr>
        <w:tc>
          <w:tcPr>
            <w:tcW w:w="5540" w:type="dxa"/>
            <w:vAlign w:val="bottom"/>
            <w:tcBorders>
              <w:left w:val="single" w:sz="8" w:color="auto"/>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Directors determines its own organization. It appoints a Secretary</w:t>
            </w:r>
          </w:p>
        </w:tc>
        <w:tc>
          <w:tcPr>
            <w:tcW w:w="22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d'administration détermine sa propre organisation. Il nomme un</w:t>
            </w:r>
          </w:p>
        </w:tc>
      </w:tr>
      <w:tr>
        <w:trPr>
          <w:trHeight w:val="203"/>
        </w:trPr>
        <w:tc>
          <w:tcPr>
            <w:tcW w:w="5540" w:type="dxa"/>
            <w:vAlign w:val="bottom"/>
            <w:tcBorders>
              <w:left w:val="single" w:sz="8" w:color="auto"/>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who needs not be a member of the Board of Directors.</w:t>
            </w:r>
          </w:p>
        </w:tc>
        <w:tc>
          <w:tcPr>
            <w:tcW w:w="22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secrétaire qui ne doit pas nécessairement être un membre du</w:t>
            </w:r>
          </w:p>
        </w:tc>
      </w:tr>
      <w:tr>
        <w:trPr>
          <w:trHeight w:val="217"/>
        </w:trPr>
        <w:tc>
          <w:tcPr>
            <w:tcW w:w="5540" w:type="dxa"/>
            <w:vAlign w:val="bottom"/>
            <w:tcBorders>
              <w:left w:val="single" w:sz="8" w:color="auto"/>
              <w:right w:val="single" w:sz="8" w:color="auto"/>
            </w:tcBorders>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548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conseil d'administration.</w:t>
            </w:r>
          </w:p>
        </w:tc>
      </w:tr>
      <w:tr>
        <w:trPr>
          <w:trHeight w:val="54"/>
        </w:trPr>
        <w:tc>
          <w:tcPr>
            <w:tcW w:w="5540" w:type="dxa"/>
            <w:vAlign w:val="bottom"/>
            <w:tcBorders>
              <w:left w:val="single" w:sz="8" w:color="auto"/>
              <w:bottom w:val="single" w:sz="8" w:color="auto"/>
              <w:right w:val="single" w:sz="8" w:color="auto"/>
            </w:tcBorders>
          </w:tcPr>
          <w:p>
            <w:pPr>
              <w:spacing w:after="0"/>
              <w:rPr>
                <w:sz w:val="4"/>
                <w:szCs w:val="4"/>
                <w:color w:val="auto"/>
              </w:rPr>
            </w:pPr>
          </w:p>
        </w:tc>
        <w:tc>
          <w:tcPr>
            <w:tcW w:w="220" w:type="dxa"/>
            <w:vAlign w:val="bottom"/>
            <w:tcBorders>
              <w:bottom w:val="single" w:sz="8" w:color="auto"/>
              <w:right w:val="single" w:sz="8" w:color="auto"/>
            </w:tcBorders>
          </w:tcPr>
          <w:p>
            <w:pPr>
              <w:spacing w:after="0"/>
              <w:rPr>
                <w:sz w:val="4"/>
                <w:szCs w:val="4"/>
                <w:color w:val="auto"/>
              </w:rPr>
            </w:pPr>
          </w:p>
        </w:tc>
        <w:tc>
          <w:tcPr>
            <w:tcW w:w="5480" w:type="dxa"/>
            <w:vAlign w:val="bottom"/>
            <w:tcBorders>
              <w:bottom w:val="single" w:sz="8" w:color="auto"/>
              <w:right w:val="single" w:sz="8" w:color="auto"/>
            </w:tcBorders>
          </w:tcPr>
          <w:p>
            <w:pPr>
              <w:spacing w:after="0"/>
              <w:rPr>
                <w:sz w:val="4"/>
                <w:szCs w:val="4"/>
                <w:color w:val="auto"/>
              </w:rPr>
            </w:pPr>
          </w:p>
        </w:tc>
      </w:tr>
      <w:tr>
        <w:trPr>
          <w:trHeight w:val="277"/>
        </w:trPr>
        <w:tc>
          <w:tcPr>
            <w:tcW w:w="554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b w:val="1"/>
                <w:bCs w:val="1"/>
                <w:color w:val="auto"/>
              </w:rPr>
              <w:t>Art. 22 Function, Organization</w:t>
            </w:r>
          </w:p>
        </w:tc>
        <w:tc>
          <w:tcPr>
            <w:tcW w:w="220" w:type="dxa"/>
            <w:vAlign w:val="bottom"/>
            <w:tcBorders>
              <w:right w:val="single" w:sz="8" w:color="auto"/>
            </w:tcBorders>
          </w:tcPr>
          <w:p>
            <w:pPr>
              <w:spacing w:after="0"/>
              <w:rPr>
                <w:sz w:val="24"/>
                <w:szCs w:val="24"/>
                <w:color w:val="auto"/>
              </w:rPr>
            </w:pPr>
          </w:p>
        </w:tc>
        <w:tc>
          <w:tcPr>
            <w:tcW w:w="5480" w:type="dxa"/>
            <w:vAlign w:val="bottom"/>
            <w:tcBorders>
              <w:right w:val="single" w:sz="8" w:color="auto"/>
            </w:tcBorders>
          </w:tcPr>
          <w:p>
            <w:pPr>
              <w:ind w:left="60"/>
              <w:spacing w:after="0"/>
              <w:rPr>
                <w:sz w:val="20"/>
                <w:szCs w:val="20"/>
                <w:color w:val="auto"/>
              </w:rPr>
            </w:pPr>
            <w:r>
              <w:rPr>
                <w:rFonts w:ascii="Arial" w:cs="Arial" w:eastAsia="Arial" w:hAnsi="Arial"/>
                <w:sz w:val="18"/>
                <w:szCs w:val="18"/>
                <w:b w:val="1"/>
                <w:bCs w:val="1"/>
                <w:color w:val="auto"/>
              </w:rPr>
              <w:t>Art. 22 Fonction, organisation</w:t>
            </w:r>
          </w:p>
        </w:tc>
      </w:tr>
      <w:tr>
        <w:trPr>
          <w:trHeight w:val="391"/>
        </w:trPr>
        <w:tc>
          <w:tcPr>
            <w:tcW w:w="554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It is the Board of Director's duty to lead the Company and to</w:t>
            </w:r>
          </w:p>
        </w:tc>
        <w:tc>
          <w:tcPr>
            <w:tcW w:w="220" w:type="dxa"/>
            <w:vAlign w:val="bottom"/>
            <w:tcBorders>
              <w:right w:val="single" w:sz="8" w:color="auto"/>
            </w:tcBorders>
          </w:tcPr>
          <w:p>
            <w:pPr>
              <w:spacing w:after="0"/>
              <w:rPr>
                <w:sz w:val="24"/>
                <w:szCs w:val="24"/>
                <w:color w:val="auto"/>
              </w:rPr>
            </w:pPr>
          </w:p>
        </w:tc>
        <w:tc>
          <w:tcPr>
            <w:tcW w:w="548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Le conseil d'administration exerce la direction de la société et en</w:t>
            </w:r>
          </w:p>
        </w:tc>
      </w:tr>
      <w:tr>
        <w:trPr>
          <w:trHeight w:val="203"/>
        </w:trPr>
        <w:tc>
          <w:tcPr>
            <w:tcW w:w="5540" w:type="dxa"/>
            <w:vAlign w:val="bottom"/>
            <w:tcBorders>
              <w:left w:val="single" w:sz="8" w:color="auto"/>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supervise the management. The Board of Director represents the</w:t>
            </w:r>
          </w:p>
        </w:tc>
        <w:tc>
          <w:tcPr>
            <w:tcW w:w="22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supervise la gestion. Le conseil d'administration représente la</w:t>
            </w:r>
          </w:p>
        </w:tc>
      </w:tr>
      <w:tr>
        <w:trPr>
          <w:trHeight w:val="203"/>
        </w:trPr>
        <w:tc>
          <w:tcPr>
            <w:tcW w:w="5540" w:type="dxa"/>
            <w:vAlign w:val="bottom"/>
            <w:tcBorders>
              <w:left w:val="single" w:sz="8" w:color="auto"/>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Company and may take decisions on all affairs which are not</w:t>
            </w:r>
          </w:p>
        </w:tc>
        <w:tc>
          <w:tcPr>
            <w:tcW w:w="22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société et peut prendre les décisions sur toutes les affaires qui ne</w:t>
            </w:r>
          </w:p>
        </w:tc>
      </w:tr>
      <w:tr>
        <w:trPr>
          <w:trHeight w:val="203"/>
        </w:trPr>
        <w:tc>
          <w:tcPr>
            <w:tcW w:w="5540" w:type="dxa"/>
            <w:vAlign w:val="bottom"/>
            <w:tcBorders>
              <w:left w:val="single" w:sz="8" w:color="auto"/>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assigned to any other body of the Company by law, the Articles of</w:t>
            </w:r>
          </w:p>
        </w:tc>
        <w:tc>
          <w:tcPr>
            <w:tcW w:w="22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sont pas attribuées à un autre organe de la société par la loi, les</w:t>
            </w:r>
          </w:p>
        </w:tc>
      </w:tr>
      <w:tr>
        <w:trPr>
          <w:trHeight w:val="217"/>
        </w:trPr>
        <w:tc>
          <w:tcPr>
            <w:tcW w:w="554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Association or the organizational regulations.</w:t>
            </w:r>
          </w:p>
        </w:tc>
        <w:tc>
          <w:tcPr>
            <w:tcW w:w="220" w:type="dxa"/>
            <w:vAlign w:val="bottom"/>
            <w:tcBorders>
              <w:right w:val="single" w:sz="8" w:color="auto"/>
            </w:tcBorders>
          </w:tcPr>
          <w:p>
            <w:pPr>
              <w:spacing w:after="0"/>
              <w:rPr>
                <w:sz w:val="18"/>
                <w:szCs w:val="18"/>
                <w:color w:val="auto"/>
              </w:rPr>
            </w:pPr>
          </w:p>
        </w:tc>
        <w:tc>
          <w:tcPr>
            <w:tcW w:w="548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statuts ou le règlement d'organisation.</w:t>
            </w:r>
          </w:p>
        </w:tc>
      </w:tr>
      <w:tr>
        <w:trPr>
          <w:trHeight w:val="54"/>
        </w:trPr>
        <w:tc>
          <w:tcPr>
            <w:tcW w:w="5540" w:type="dxa"/>
            <w:vAlign w:val="bottom"/>
            <w:tcBorders>
              <w:left w:val="single" w:sz="8" w:color="auto"/>
              <w:bottom w:val="single" w:sz="8" w:color="auto"/>
              <w:right w:val="single" w:sz="8" w:color="auto"/>
            </w:tcBorders>
          </w:tcPr>
          <w:p>
            <w:pPr>
              <w:spacing w:after="0"/>
              <w:rPr>
                <w:sz w:val="4"/>
                <w:szCs w:val="4"/>
                <w:color w:val="auto"/>
              </w:rPr>
            </w:pPr>
          </w:p>
        </w:tc>
        <w:tc>
          <w:tcPr>
            <w:tcW w:w="220" w:type="dxa"/>
            <w:vAlign w:val="bottom"/>
            <w:tcBorders>
              <w:bottom w:val="single" w:sz="8" w:color="auto"/>
              <w:right w:val="single" w:sz="8" w:color="auto"/>
            </w:tcBorders>
          </w:tcPr>
          <w:p>
            <w:pPr>
              <w:spacing w:after="0"/>
              <w:rPr>
                <w:sz w:val="4"/>
                <w:szCs w:val="4"/>
                <w:color w:val="auto"/>
              </w:rPr>
            </w:pPr>
          </w:p>
        </w:tc>
        <w:tc>
          <w:tcPr>
            <w:tcW w:w="5480" w:type="dxa"/>
            <w:vAlign w:val="bottom"/>
            <w:tcBorders>
              <w:bottom w:val="single" w:sz="8" w:color="auto"/>
              <w:right w:val="single" w:sz="8" w:color="auto"/>
            </w:tcBorders>
          </w:tcPr>
          <w:p>
            <w:pPr>
              <w:spacing w:after="0"/>
              <w:rPr>
                <w:sz w:val="4"/>
                <w:szCs w:val="4"/>
                <w:color w:val="auto"/>
              </w:rPr>
            </w:pPr>
          </w:p>
        </w:tc>
      </w:tr>
      <w:tr>
        <w:trPr>
          <w:trHeight w:val="263"/>
        </w:trPr>
        <w:tc>
          <w:tcPr>
            <w:tcW w:w="554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The Board of Directors shall enact the organizational regulations</w:t>
            </w:r>
          </w:p>
        </w:tc>
        <w:tc>
          <w:tcPr>
            <w:tcW w:w="220" w:type="dxa"/>
            <w:vAlign w:val="bottom"/>
            <w:tcBorders>
              <w:right w:val="single" w:sz="8" w:color="auto"/>
            </w:tcBorders>
          </w:tcPr>
          <w:p>
            <w:pPr>
              <w:spacing w:after="0"/>
              <w:rPr>
                <w:sz w:val="22"/>
                <w:szCs w:val="22"/>
                <w:color w:val="auto"/>
              </w:rPr>
            </w:pPr>
          </w:p>
        </w:tc>
        <w:tc>
          <w:tcPr>
            <w:tcW w:w="548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Le conseil d'administration édicte le règlement d'organisation et</w:t>
            </w:r>
          </w:p>
        </w:tc>
      </w:tr>
      <w:tr>
        <w:trPr>
          <w:trHeight w:val="217"/>
        </w:trPr>
        <w:tc>
          <w:tcPr>
            <w:tcW w:w="554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and arrange for the appropriate contractual relationships.</w:t>
            </w:r>
          </w:p>
        </w:tc>
        <w:tc>
          <w:tcPr>
            <w:tcW w:w="220" w:type="dxa"/>
            <w:vAlign w:val="bottom"/>
            <w:tcBorders>
              <w:right w:val="single" w:sz="8" w:color="auto"/>
            </w:tcBorders>
          </w:tcPr>
          <w:p>
            <w:pPr>
              <w:spacing w:after="0"/>
              <w:rPr>
                <w:sz w:val="18"/>
                <w:szCs w:val="18"/>
                <w:color w:val="auto"/>
              </w:rPr>
            </w:pPr>
          </w:p>
        </w:tc>
        <w:tc>
          <w:tcPr>
            <w:tcW w:w="548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s'occupe des relations contractuelles appropriées.</w:t>
            </w:r>
          </w:p>
        </w:tc>
      </w:tr>
      <w:tr>
        <w:trPr>
          <w:trHeight w:val="54"/>
        </w:trPr>
        <w:tc>
          <w:tcPr>
            <w:tcW w:w="5540" w:type="dxa"/>
            <w:vAlign w:val="bottom"/>
            <w:tcBorders>
              <w:left w:val="single" w:sz="8" w:color="auto"/>
              <w:bottom w:val="single" w:sz="8" w:color="auto"/>
              <w:right w:val="single" w:sz="8" w:color="auto"/>
            </w:tcBorders>
          </w:tcPr>
          <w:p>
            <w:pPr>
              <w:spacing w:after="0"/>
              <w:rPr>
                <w:sz w:val="4"/>
                <w:szCs w:val="4"/>
                <w:color w:val="auto"/>
              </w:rPr>
            </w:pPr>
          </w:p>
        </w:tc>
        <w:tc>
          <w:tcPr>
            <w:tcW w:w="220" w:type="dxa"/>
            <w:vAlign w:val="bottom"/>
            <w:tcBorders>
              <w:bottom w:val="single" w:sz="8" w:color="auto"/>
              <w:right w:val="single" w:sz="8" w:color="auto"/>
            </w:tcBorders>
          </w:tcPr>
          <w:p>
            <w:pPr>
              <w:spacing w:after="0"/>
              <w:rPr>
                <w:sz w:val="4"/>
                <w:szCs w:val="4"/>
                <w:color w:val="auto"/>
              </w:rPr>
            </w:pPr>
          </w:p>
        </w:tc>
        <w:tc>
          <w:tcPr>
            <w:tcW w:w="5480" w:type="dxa"/>
            <w:vAlign w:val="bottom"/>
            <w:tcBorders>
              <w:bottom w:val="single" w:sz="8" w:color="auto"/>
              <w:right w:val="single" w:sz="8" w:color="auto"/>
            </w:tcBorders>
          </w:tcPr>
          <w:p>
            <w:pPr>
              <w:spacing w:after="0"/>
              <w:rPr>
                <w:sz w:val="4"/>
                <w:szCs w:val="4"/>
                <w:color w:val="auto"/>
              </w:rPr>
            </w:pPr>
          </w:p>
        </w:tc>
      </w:tr>
      <w:tr>
        <w:trPr>
          <w:trHeight w:val="453"/>
        </w:trPr>
        <w:tc>
          <w:tcPr>
            <w:tcW w:w="55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54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249" w:right="339" w:bottom="1440" w:gutter="0" w:footer="0" w:header="0"/>
        </w:sectPr>
      </w:pPr>
    </w:p>
    <w:bookmarkStart w:id="56" w:name="page57"/>
    <w:bookmarkEnd w:id="56"/>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187"/>
        </w:trPr>
        <w:tc>
          <w:tcPr>
            <w:tcW w:w="360" w:type="dxa"/>
            <w:vAlign w:val="bottom"/>
            <w:tcBorders>
              <w:bottom w:val="single" w:sz="8" w:color="auto"/>
            </w:tcBorders>
          </w:tcPr>
          <w:p>
            <w:pPr>
              <w:spacing w:after="0"/>
              <w:rPr>
                <w:sz w:val="16"/>
                <w:szCs w:val="16"/>
                <w:color w:val="auto"/>
              </w:rPr>
            </w:pPr>
          </w:p>
        </w:tc>
        <w:tc>
          <w:tcPr>
            <w:tcW w:w="518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5180" w:type="dxa"/>
            <w:vAlign w:val="bottom"/>
            <w:tcBorders>
              <w:bottom w:val="single" w:sz="8" w:color="auto"/>
            </w:tcBorders>
          </w:tcPr>
          <w:p>
            <w:pPr>
              <w:ind w:left="4960"/>
              <w:spacing w:after="0"/>
              <w:rPr>
                <w:sz w:val="20"/>
                <w:szCs w:val="20"/>
                <w:color w:val="auto"/>
              </w:rPr>
            </w:pPr>
            <w:r>
              <w:rPr>
                <w:rFonts w:ascii="Arial" w:cs="Arial" w:eastAsia="Arial" w:hAnsi="Arial"/>
                <w:sz w:val="16"/>
                <w:szCs w:val="16"/>
                <w:color w:val="auto"/>
              </w:rPr>
              <w:t>18</w:t>
            </w:r>
          </w:p>
        </w:tc>
        <w:tc>
          <w:tcPr>
            <w:tcW w:w="0" w:type="dxa"/>
            <w:vAlign w:val="bottom"/>
          </w:tcPr>
          <w:p>
            <w:pPr>
              <w:spacing w:after="0"/>
              <w:rPr>
                <w:sz w:val="1"/>
                <w:szCs w:val="1"/>
                <w:color w:val="auto"/>
              </w:rPr>
            </w:pPr>
          </w:p>
        </w:tc>
      </w:tr>
      <w:tr>
        <w:trPr>
          <w:trHeight w:val="277"/>
        </w:trPr>
        <w:tc>
          <w:tcPr>
            <w:tcW w:w="5540" w:type="dxa"/>
            <w:vAlign w:val="bottom"/>
            <w:tcBorders>
              <w:left w:val="single" w:sz="8" w:color="auto"/>
              <w:right w:val="single" w:sz="8" w:color="auto"/>
            </w:tcBorders>
            <w:gridSpan w:val="2"/>
          </w:tcPr>
          <w:p>
            <w:pPr>
              <w:ind w:left="100"/>
              <w:spacing w:after="0"/>
              <w:rPr>
                <w:sz w:val="20"/>
                <w:szCs w:val="20"/>
                <w:color w:val="auto"/>
              </w:rPr>
            </w:pPr>
            <w:r>
              <w:rPr>
                <w:rFonts w:ascii="Arial" w:cs="Arial" w:eastAsia="Arial" w:hAnsi="Arial"/>
                <w:sz w:val="18"/>
                <w:szCs w:val="18"/>
                <w:b w:val="1"/>
                <w:bCs w:val="1"/>
                <w:color w:val="auto"/>
              </w:rPr>
              <w:t>Art. 23 Powers</w:t>
            </w:r>
          </w:p>
        </w:tc>
        <w:tc>
          <w:tcPr>
            <w:tcW w:w="220" w:type="dxa"/>
            <w:vAlign w:val="bottom"/>
            <w:tcBorders>
              <w:right w:val="single" w:sz="8" w:color="auto"/>
            </w:tcBorders>
          </w:tcPr>
          <w:p>
            <w:pPr>
              <w:spacing w:after="0"/>
              <w:rPr>
                <w:sz w:val="24"/>
                <w:szCs w:val="24"/>
                <w:color w:val="auto"/>
              </w:rPr>
            </w:pPr>
          </w:p>
        </w:tc>
        <w:tc>
          <w:tcPr>
            <w:tcW w:w="5480" w:type="dxa"/>
            <w:vAlign w:val="bottom"/>
            <w:tcBorders>
              <w:right w:val="single" w:sz="8" w:color="auto"/>
            </w:tcBorders>
            <w:gridSpan w:val="2"/>
          </w:tcPr>
          <w:p>
            <w:pPr>
              <w:ind w:left="60"/>
              <w:spacing w:after="0"/>
              <w:rPr>
                <w:sz w:val="20"/>
                <w:szCs w:val="20"/>
                <w:color w:val="auto"/>
              </w:rPr>
            </w:pPr>
            <w:r>
              <w:rPr>
                <w:rFonts w:ascii="Arial" w:cs="Arial" w:eastAsia="Arial" w:hAnsi="Arial"/>
                <w:sz w:val="18"/>
                <w:szCs w:val="18"/>
                <w:b w:val="1"/>
                <w:bCs w:val="1"/>
                <w:color w:val="auto"/>
              </w:rPr>
              <w:t>Art. 23 Pouvoirs</w:t>
            </w:r>
          </w:p>
        </w:tc>
        <w:tc>
          <w:tcPr>
            <w:tcW w:w="0" w:type="dxa"/>
            <w:vAlign w:val="bottom"/>
          </w:tcPr>
          <w:p>
            <w:pPr>
              <w:spacing w:after="0"/>
              <w:rPr>
                <w:sz w:val="1"/>
                <w:szCs w:val="1"/>
                <w:color w:val="auto"/>
              </w:rPr>
            </w:pPr>
          </w:p>
        </w:tc>
      </w:tr>
      <w:tr>
        <w:trPr>
          <w:trHeight w:val="391"/>
        </w:trPr>
        <w:tc>
          <w:tcPr>
            <w:tcW w:w="5540" w:type="dxa"/>
            <w:vAlign w:val="bottom"/>
            <w:tcBorders>
              <w:left w:val="single" w:sz="8" w:color="auto"/>
              <w:right w:val="single" w:sz="8" w:color="auto"/>
            </w:tcBorders>
            <w:gridSpan w:val="2"/>
          </w:tcPr>
          <w:p>
            <w:pPr>
              <w:ind w:left="100"/>
              <w:spacing w:after="0"/>
              <w:rPr>
                <w:sz w:val="20"/>
                <w:szCs w:val="20"/>
                <w:color w:val="auto"/>
              </w:rPr>
            </w:pPr>
            <w:r>
              <w:rPr>
                <w:rFonts w:ascii="Arial" w:cs="Arial" w:eastAsia="Arial" w:hAnsi="Arial"/>
                <w:sz w:val="18"/>
                <w:szCs w:val="18"/>
                <w:color w:val="auto"/>
              </w:rPr>
              <w:t>The  Board  of  Directors  has  the  following  non-delegable  and</w:t>
            </w:r>
          </w:p>
        </w:tc>
        <w:tc>
          <w:tcPr>
            <w:tcW w:w="220" w:type="dxa"/>
            <w:vAlign w:val="bottom"/>
            <w:tcBorders>
              <w:right w:val="single" w:sz="8" w:color="auto"/>
            </w:tcBorders>
          </w:tcPr>
          <w:p>
            <w:pPr>
              <w:spacing w:after="0"/>
              <w:rPr>
                <w:sz w:val="24"/>
                <w:szCs w:val="24"/>
                <w:color w:val="auto"/>
              </w:rPr>
            </w:pPr>
          </w:p>
        </w:tc>
        <w:tc>
          <w:tcPr>
            <w:tcW w:w="5480" w:type="dxa"/>
            <w:vAlign w:val="bottom"/>
            <w:tcBorders>
              <w:right w:val="single" w:sz="8" w:color="auto"/>
            </w:tcBorders>
            <w:gridSpan w:val="2"/>
          </w:tcPr>
          <w:p>
            <w:pPr>
              <w:ind w:left="60"/>
              <w:spacing w:after="0"/>
              <w:rPr>
                <w:sz w:val="20"/>
                <w:szCs w:val="20"/>
                <w:color w:val="auto"/>
              </w:rPr>
            </w:pPr>
            <w:r>
              <w:rPr>
                <w:rFonts w:ascii="Arial" w:cs="Arial" w:eastAsia="Arial" w:hAnsi="Arial"/>
                <w:sz w:val="18"/>
                <w:szCs w:val="18"/>
                <w:color w:val="auto"/>
              </w:rPr>
              <w:t>Le conseil d'administration a les attributions intransmissibles et</w:t>
            </w:r>
          </w:p>
        </w:tc>
        <w:tc>
          <w:tcPr>
            <w:tcW w:w="0" w:type="dxa"/>
            <w:vAlign w:val="bottom"/>
          </w:tcPr>
          <w:p>
            <w:pPr>
              <w:spacing w:after="0"/>
              <w:rPr>
                <w:sz w:val="1"/>
                <w:szCs w:val="1"/>
                <w:color w:val="auto"/>
              </w:rPr>
            </w:pPr>
          </w:p>
        </w:tc>
      </w:tr>
      <w:tr>
        <w:trPr>
          <w:trHeight w:val="217"/>
        </w:trPr>
        <w:tc>
          <w:tcPr>
            <w:tcW w:w="5540" w:type="dxa"/>
            <w:vAlign w:val="bottom"/>
            <w:tcBorders>
              <w:left w:val="single" w:sz="8" w:color="auto"/>
              <w:right w:val="single" w:sz="8" w:color="auto"/>
            </w:tcBorders>
            <w:gridSpan w:val="2"/>
          </w:tcPr>
          <w:p>
            <w:pPr>
              <w:ind w:left="100"/>
              <w:spacing w:after="0"/>
              <w:rPr>
                <w:sz w:val="20"/>
                <w:szCs w:val="20"/>
                <w:color w:val="auto"/>
              </w:rPr>
            </w:pPr>
            <w:r>
              <w:rPr>
                <w:rFonts w:ascii="Arial" w:cs="Arial" w:eastAsia="Arial" w:hAnsi="Arial"/>
                <w:sz w:val="18"/>
                <w:szCs w:val="18"/>
                <w:color w:val="auto"/>
              </w:rPr>
              <w:t>inalienable duties:</w:t>
            </w:r>
          </w:p>
        </w:tc>
        <w:tc>
          <w:tcPr>
            <w:tcW w:w="220" w:type="dxa"/>
            <w:vAlign w:val="bottom"/>
            <w:tcBorders>
              <w:right w:val="single" w:sz="8" w:color="auto"/>
            </w:tcBorders>
          </w:tcPr>
          <w:p>
            <w:pPr>
              <w:spacing w:after="0"/>
              <w:rPr>
                <w:sz w:val="18"/>
                <w:szCs w:val="18"/>
                <w:color w:val="auto"/>
              </w:rPr>
            </w:pPr>
          </w:p>
        </w:tc>
        <w:tc>
          <w:tcPr>
            <w:tcW w:w="5480" w:type="dxa"/>
            <w:vAlign w:val="bottom"/>
            <w:tcBorders>
              <w:right w:val="single" w:sz="8" w:color="auto"/>
            </w:tcBorders>
            <w:gridSpan w:val="2"/>
          </w:tcPr>
          <w:p>
            <w:pPr>
              <w:ind w:left="60"/>
              <w:spacing w:after="0"/>
              <w:rPr>
                <w:sz w:val="20"/>
                <w:szCs w:val="20"/>
                <w:color w:val="auto"/>
              </w:rPr>
            </w:pPr>
            <w:r>
              <w:rPr>
                <w:rFonts w:ascii="Arial" w:cs="Arial" w:eastAsia="Arial" w:hAnsi="Arial"/>
                <w:sz w:val="18"/>
                <w:szCs w:val="18"/>
                <w:color w:val="auto"/>
              </w:rPr>
              <w:t>inaliénables suivantes:</w:t>
            </w:r>
          </w:p>
        </w:tc>
        <w:tc>
          <w:tcPr>
            <w:tcW w:w="0" w:type="dxa"/>
            <w:vAlign w:val="bottom"/>
          </w:tcPr>
          <w:p>
            <w:pPr>
              <w:spacing w:after="0"/>
              <w:rPr>
                <w:sz w:val="1"/>
                <w:szCs w:val="1"/>
                <w:color w:val="auto"/>
              </w:rPr>
            </w:pPr>
          </w:p>
        </w:tc>
      </w:tr>
      <w:tr>
        <w:trPr>
          <w:trHeight w:val="391"/>
        </w:trPr>
        <w:tc>
          <w:tcPr>
            <w:tcW w:w="5540" w:type="dxa"/>
            <w:vAlign w:val="bottom"/>
            <w:tcBorders>
              <w:left w:val="single" w:sz="8" w:color="auto"/>
              <w:right w:val="single" w:sz="8" w:color="auto"/>
            </w:tcBorders>
            <w:gridSpan w:val="2"/>
          </w:tcPr>
          <w:p>
            <w:pPr>
              <w:ind w:left="100"/>
              <w:spacing w:after="0"/>
              <w:rPr>
                <w:sz w:val="20"/>
                <w:szCs w:val="20"/>
                <w:color w:val="auto"/>
              </w:rPr>
            </w:pPr>
            <w:r>
              <w:rPr>
                <w:rFonts w:ascii="Arial" w:cs="Arial" w:eastAsia="Arial" w:hAnsi="Arial"/>
                <w:sz w:val="18"/>
                <w:szCs w:val="18"/>
                <w:color w:val="auto"/>
              </w:rPr>
              <w:t>a)   the overall management of the company and the issuing of all</w:t>
            </w:r>
          </w:p>
        </w:tc>
        <w:tc>
          <w:tcPr>
            <w:tcW w:w="220" w:type="dxa"/>
            <w:vAlign w:val="bottom"/>
            <w:tcBorders>
              <w:right w:val="single" w:sz="8" w:color="auto"/>
            </w:tcBorders>
          </w:tcPr>
          <w:p>
            <w:pPr>
              <w:spacing w:after="0"/>
              <w:rPr>
                <w:sz w:val="24"/>
                <w:szCs w:val="24"/>
                <w:color w:val="auto"/>
              </w:rPr>
            </w:pPr>
          </w:p>
        </w:tc>
        <w:tc>
          <w:tcPr>
            <w:tcW w:w="300" w:type="dxa"/>
            <w:vAlign w:val="bottom"/>
          </w:tcPr>
          <w:p>
            <w:pPr>
              <w:ind w:left="60"/>
              <w:spacing w:after="0"/>
              <w:rPr>
                <w:sz w:val="20"/>
                <w:szCs w:val="20"/>
                <w:color w:val="auto"/>
              </w:rPr>
            </w:pPr>
            <w:r>
              <w:rPr>
                <w:rFonts w:ascii="Arial" w:cs="Arial" w:eastAsia="Arial" w:hAnsi="Arial"/>
                <w:sz w:val="18"/>
                <w:szCs w:val="18"/>
                <w:color w:val="auto"/>
              </w:rPr>
              <w:t>a)</w:t>
            </w:r>
          </w:p>
        </w:tc>
        <w:tc>
          <w:tcPr>
            <w:tcW w:w="5180" w:type="dxa"/>
            <w:vAlign w:val="bottom"/>
            <w:tcBorders>
              <w:right w:val="single" w:sz="8" w:color="auto"/>
            </w:tcBorders>
          </w:tcPr>
          <w:p>
            <w:pPr>
              <w:ind w:left="300"/>
              <w:spacing w:after="0"/>
              <w:rPr>
                <w:sz w:val="20"/>
                <w:szCs w:val="20"/>
                <w:color w:val="auto"/>
              </w:rPr>
            </w:pPr>
            <w:r>
              <w:rPr>
                <w:rFonts w:ascii="Arial" w:cs="Arial" w:eastAsia="Arial" w:hAnsi="Arial"/>
                <w:sz w:val="18"/>
                <w:szCs w:val="18"/>
                <w:color w:val="auto"/>
              </w:rPr>
              <w:t>exercer  la  haute  direction  de  la  société  et  établir  les</w:t>
            </w:r>
          </w:p>
        </w:tc>
        <w:tc>
          <w:tcPr>
            <w:tcW w:w="0" w:type="dxa"/>
            <w:vAlign w:val="bottom"/>
          </w:tcPr>
          <w:p>
            <w:pPr>
              <w:spacing w:after="0"/>
              <w:rPr>
                <w:sz w:val="1"/>
                <w:szCs w:val="1"/>
                <w:color w:val="auto"/>
              </w:rPr>
            </w:pPr>
          </w:p>
        </w:tc>
      </w:tr>
      <w:tr>
        <w:trPr>
          <w:trHeight w:val="217"/>
        </w:trPr>
        <w:tc>
          <w:tcPr>
            <w:tcW w:w="360" w:type="dxa"/>
            <w:vAlign w:val="bottom"/>
            <w:tcBorders>
              <w:left w:val="single" w:sz="8" w:color="auto"/>
            </w:tcBorders>
          </w:tcPr>
          <w:p>
            <w:pPr>
              <w:spacing w:after="0"/>
              <w:rPr>
                <w:sz w:val="18"/>
                <w:szCs w:val="18"/>
                <w:color w:val="auto"/>
              </w:rPr>
            </w:pPr>
          </w:p>
        </w:tc>
        <w:tc>
          <w:tcPr>
            <w:tcW w:w="518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necessary directives;</w:t>
            </w:r>
          </w:p>
        </w:tc>
        <w:tc>
          <w:tcPr>
            <w:tcW w:w="220" w:type="dxa"/>
            <w:vAlign w:val="bottom"/>
            <w:tcBorders>
              <w:right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51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instructions nécessaires;</w:t>
            </w:r>
          </w:p>
        </w:tc>
        <w:tc>
          <w:tcPr>
            <w:tcW w:w="0" w:type="dxa"/>
            <w:vAlign w:val="bottom"/>
          </w:tcPr>
          <w:p>
            <w:pPr>
              <w:spacing w:after="0"/>
              <w:rPr>
                <w:sz w:val="1"/>
                <w:szCs w:val="1"/>
                <w:color w:val="auto"/>
              </w:rPr>
            </w:pPr>
          </w:p>
        </w:tc>
      </w:tr>
      <w:tr>
        <w:trPr>
          <w:trHeight w:val="405"/>
        </w:trPr>
        <w:tc>
          <w:tcPr>
            <w:tcW w:w="5540" w:type="dxa"/>
            <w:vAlign w:val="bottom"/>
            <w:tcBorders>
              <w:left w:val="single" w:sz="8" w:color="auto"/>
              <w:right w:val="single" w:sz="8" w:color="auto"/>
            </w:tcBorders>
            <w:gridSpan w:val="2"/>
          </w:tcPr>
          <w:p>
            <w:pPr>
              <w:ind w:left="100"/>
              <w:spacing w:after="0"/>
              <w:rPr>
                <w:sz w:val="20"/>
                <w:szCs w:val="20"/>
                <w:color w:val="auto"/>
              </w:rPr>
            </w:pPr>
            <w:r>
              <w:rPr>
                <w:rFonts w:ascii="Arial" w:cs="Arial" w:eastAsia="Arial" w:hAnsi="Arial"/>
                <w:sz w:val="18"/>
                <w:szCs w:val="18"/>
                <w:color w:val="auto"/>
              </w:rPr>
              <w:t>b)   determination of the company's organisation;</w:t>
            </w:r>
          </w:p>
        </w:tc>
        <w:tc>
          <w:tcPr>
            <w:tcW w:w="220" w:type="dxa"/>
            <w:vAlign w:val="bottom"/>
            <w:tcBorders>
              <w:right w:val="single" w:sz="8" w:color="auto"/>
            </w:tcBorders>
          </w:tcPr>
          <w:p>
            <w:pPr>
              <w:spacing w:after="0"/>
              <w:rPr>
                <w:sz w:val="24"/>
                <w:szCs w:val="24"/>
                <w:color w:val="auto"/>
              </w:rPr>
            </w:pPr>
          </w:p>
        </w:tc>
        <w:tc>
          <w:tcPr>
            <w:tcW w:w="300" w:type="dxa"/>
            <w:vAlign w:val="bottom"/>
          </w:tcPr>
          <w:p>
            <w:pPr>
              <w:ind w:left="60"/>
              <w:spacing w:after="0"/>
              <w:rPr>
                <w:sz w:val="20"/>
                <w:szCs w:val="20"/>
                <w:color w:val="auto"/>
              </w:rPr>
            </w:pPr>
            <w:r>
              <w:rPr>
                <w:rFonts w:ascii="Arial" w:cs="Arial" w:eastAsia="Arial" w:hAnsi="Arial"/>
                <w:sz w:val="18"/>
                <w:szCs w:val="18"/>
                <w:color w:val="auto"/>
              </w:rPr>
              <w:t>b)</w:t>
            </w:r>
          </w:p>
        </w:tc>
        <w:tc>
          <w:tcPr>
            <w:tcW w:w="518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fixer l'organisation;</w:t>
            </w:r>
          </w:p>
        </w:tc>
        <w:tc>
          <w:tcPr>
            <w:tcW w:w="0" w:type="dxa"/>
            <w:vAlign w:val="bottom"/>
          </w:tcPr>
          <w:p>
            <w:pPr>
              <w:spacing w:after="0"/>
              <w:rPr>
                <w:sz w:val="1"/>
                <w:szCs w:val="1"/>
                <w:color w:val="auto"/>
              </w:rPr>
            </w:pPr>
          </w:p>
        </w:tc>
      </w:tr>
      <w:tr>
        <w:trPr>
          <w:trHeight w:val="391"/>
        </w:trPr>
        <w:tc>
          <w:tcPr>
            <w:tcW w:w="360" w:type="dxa"/>
            <w:vAlign w:val="bottom"/>
            <w:tcBorders>
              <w:left w:val="single" w:sz="8" w:color="auto"/>
            </w:tcBorders>
          </w:tcPr>
          <w:p>
            <w:pPr>
              <w:ind w:left="100"/>
              <w:spacing w:after="0"/>
              <w:rPr>
                <w:sz w:val="20"/>
                <w:szCs w:val="20"/>
                <w:color w:val="auto"/>
              </w:rPr>
            </w:pPr>
            <w:r>
              <w:rPr>
                <w:rFonts w:ascii="Arial" w:cs="Arial" w:eastAsia="Arial" w:hAnsi="Arial"/>
                <w:sz w:val="18"/>
                <w:szCs w:val="18"/>
                <w:color w:val="auto"/>
              </w:rPr>
              <w:t>c)</w:t>
            </w:r>
          </w:p>
        </w:tc>
        <w:tc>
          <w:tcPr>
            <w:tcW w:w="5180" w:type="dxa"/>
            <w:vAlign w:val="bottom"/>
            <w:tcBorders>
              <w:right w:val="single" w:sz="8" w:color="auto"/>
            </w:tcBorders>
          </w:tcPr>
          <w:p>
            <w:pPr>
              <w:ind w:left="360"/>
              <w:spacing w:after="0"/>
              <w:rPr>
                <w:sz w:val="20"/>
                <w:szCs w:val="20"/>
                <w:color w:val="auto"/>
              </w:rPr>
            </w:pPr>
            <w:r>
              <w:rPr>
                <w:rFonts w:ascii="Arial" w:cs="Arial" w:eastAsia="Arial" w:hAnsi="Arial"/>
                <w:sz w:val="18"/>
                <w:szCs w:val="18"/>
                <w:color w:val="auto"/>
              </w:rPr>
              <w:t>the organisation of the accounting, financial control and</w:t>
            </w:r>
          </w:p>
        </w:tc>
        <w:tc>
          <w:tcPr>
            <w:tcW w:w="220" w:type="dxa"/>
            <w:vAlign w:val="bottom"/>
            <w:tcBorders>
              <w:right w:val="single" w:sz="8" w:color="auto"/>
            </w:tcBorders>
          </w:tcPr>
          <w:p>
            <w:pPr>
              <w:spacing w:after="0"/>
              <w:rPr>
                <w:sz w:val="24"/>
                <w:szCs w:val="24"/>
                <w:color w:val="auto"/>
              </w:rPr>
            </w:pPr>
          </w:p>
        </w:tc>
        <w:tc>
          <w:tcPr>
            <w:tcW w:w="5480" w:type="dxa"/>
            <w:vAlign w:val="bottom"/>
            <w:tcBorders>
              <w:right w:val="single" w:sz="8" w:color="auto"/>
            </w:tcBorders>
            <w:gridSpan w:val="2"/>
          </w:tcPr>
          <w:p>
            <w:pPr>
              <w:ind w:left="60"/>
              <w:spacing w:after="0"/>
              <w:rPr>
                <w:sz w:val="20"/>
                <w:szCs w:val="20"/>
                <w:color w:val="auto"/>
              </w:rPr>
            </w:pPr>
            <w:r>
              <w:rPr>
                <w:rFonts w:ascii="Arial" w:cs="Arial" w:eastAsia="Arial" w:hAnsi="Arial"/>
                <w:sz w:val="18"/>
                <w:szCs w:val="18"/>
                <w:color w:val="auto"/>
              </w:rPr>
              <w:t>c)   fixer les principes de la comptabilité et du contrôle financier</w:t>
            </w:r>
          </w:p>
        </w:tc>
        <w:tc>
          <w:tcPr>
            <w:tcW w:w="0" w:type="dxa"/>
            <w:vAlign w:val="bottom"/>
          </w:tcPr>
          <w:p>
            <w:pPr>
              <w:spacing w:after="0"/>
              <w:rPr>
                <w:sz w:val="1"/>
                <w:szCs w:val="1"/>
                <w:color w:val="auto"/>
              </w:rPr>
            </w:pPr>
          </w:p>
        </w:tc>
      </w:tr>
      <w:tr>
        <w:trPr>
          <w:trHeight w:val="203"/>
        </w:trPr>
        <w:tc>
          <w:tcPr>
            <w:tcW w:w="360" w:type="dxa"/>
            <w:vAlign w:val="bottom"/>
            <w:tcBorders>
              <w:left w:val="single" w:sz="8" w:color="auto"/>
            </w:tcBorders>
          </w:tcPr>
          <w:p>
            <w:pPr>
              <w:spacing w:after="0"/>
              <w:rPr>
                <w:sz w:val="17"/>
                <w:szCs w:val="17"/>
                <w:color w:val="auto"/>
              </w:rPr>
            </w:pPr>
          </w:p>
        </w:tc>
        <w:tc>
          <w:tcPr>
            <w:tcW w:w="5180" w:type="dxa"/>
            <w:vAlign w:val="bottom"/>
            <w:tcBorders>
              <w:right w:val="single" w:sz="8" w:color="auto"/>
            </w:tcBorders>
          </w:tcPr>
          <w:p>
            <w:pPr>
              <w:ind w:left="120"/>
              <w:spacing w:after="0" w:line="202" w:lineRule="exact"/>
              <w:rPr>
                <w:sz w:val="20"/>
                <w:szCs w:val="20"/>
                <w:color w:val="auto"/>
              </w:rPr>
            </w:pPr>
            <w:r>
              <w:rPr>
                <w:rFonts w:ascii="Arial" w:cs="Arial" w:eastAsia="Arial" w:hAnsi="Arial"/>
                <w:sz w:val="18"/>
                <w:szCs w:val="18"/>
                <w:color w:val="auto"/>
              </w:rPr>
              <w:t>financial planning systems as required for management of the</w:t>
            </w:r>
          </w:p>
        </w:tc>
        <w:tc>
          <w:tcPr>
            <w:tcW w:w="220" w:type="dxa"/>
            <w:vAlign w:val="bottom"/>
            <w:tcBorders>
              <w:right w:val="single" w:sz="8" w:color="auto"/>
            </w:tcBorders>
          </w:tcPr>
          <w:p>
            <w:pPr>
              <w:spacing w:after="0"/>
              <w:rPr>
                <w:sz w:val="17"/>
                <w:szCs w:val="17"/>
                <w:color w:val="auto"/>
              </w:rPr>
            </w:pPr>
          </w:p>
        </w:tc>
        <w:tc>
          <w:tcPr>
            <w:tcW w:w="300" w:type="dxa"/>
            <w:vAlign w:val="bottom"/>
          </w:tcPr>
          <w:p>
            <w:pPr>
              <w:spacing w:after="0"/>
              <w:rPr>
                <w:sz w:val="17"/>
                <w:szCs w:val="17"/>
                <w:color w:val="auto"/>
              </w:rPr>
            </w:pPr>
          </w:p>
        </w:tc>
        <w:tc>
          <w:tcPr>
            <w:tcW w:w="5180" w:type="dxa"/>
            <w:vAlign w:val="bottom"/>
            <w:tcBorders>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ainsi  que  le  plan  financier  pour  autant  que  celui-ci  soit</w:t>
            </w:r>
          </w:p>
        </w:tc>
        <w:tc>
          <w:tcPr>
            <w:tcW w:w="0" w:type="dxa"/>
            <w:vAlign w:val="bottom"/>
          </w:tcPr>
          <w:p>
            <w:pPr>
              <w:spacing w:after="0"/>
              <w:rPr>
                <w:sz w:val="1"/>
                <w:szCs w:val="1"/>
                <w:color w:val="auto"/>
              </w:rPr>
            </w:pPr>
          </w:p>
        </w:tc>
      </w:tr>
      <w:tr>
        <w:trPr>
          <w:trHeight w:val="217"/>
        </w:trPr>
        <w:tc>
          <w:tcPr>
            <w:tcW w:w="360" w:type="dxa"/>
            <w:vAlign w:val="bottom"/>
            <w:tcBorders>
              <w:left w:val="single" w:sz="8" w:color="auto"/>
            </w:tcBorders>
          </w:tcPr>
          <w:p>
            <w:pPr>
              <w:spacing w:after="0"/>
              <w:rPr>
                <w:sz w:val="18"/>
                <w:szCs w:val="18"/>
                <w:color w:val="auto"/>
              </w:rPr>
            </w:pPr>
          </w:p>
        </w:tc>
        <w:tc>
          <w:tcPr>
            <w:tcW w:w="518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company;</w:t>
            </w:r>
          </w:p>
        </w:tc>
        <w:tc>
          <w:tcPr>
            <w:tcW w:w="220" w:type="dxa"/>
            <w:vAlign w:val="bottom"/>
            <w:tcBorders>
              <w:right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51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nécessaire à la gestion de la société;</w:t>
            </w:r>
          </w:p>
        </w:tc>
        <w:tc>
          <w:tcPr>
            <w:tcW w:w="0" w:type="dxa"/>
            <w:vAlign w:val="bottom"/>
          </w:tcPr>
          <w:p>
            <w:pPr>
              <w:spacing w:after="0"/>
              <w:rPr>
                <w:sz w:val="1"/>
                <w:szCs w:val="1"/>
                <w:color w:val="auto"/>
              </w:rPr>
            </w:pPr>
          </w:p>
        </w:tc>
      </w:tr>
      <w:tr>
        <w:trPr>
          <w:trHeight w:val="391"/>
        </w:trPr>
        <w:tc>
          <w:tcPr>
            <w:tcW w:w="360" w:type="dxa"/>
            <w:vAlign w:val="bottom"/>
            <w:tcBorders>
              <w:left w:val="single" w:sz="8" w:color="auto"/>
            </w:tcBorders>
          </w:tcPr>
          <w:p>
            <w:pPr>
              <w:ind w:left="100"/>
              <w:spacing w:after="0"/>
              <w:rPr>
                <w:sz w:val="20"/>
                <w:szCs w:val="20"/>
                <w:color w:val="auto"/>
              </w:rPr>
            </w:pPr>
            <w:r>
              <w:rPr>
                <w:rFonts w:ascii="Arial" w:cs="Arial" w:eastAsia="Arial" w:hAnsi="Arial"/>
                <w:sz w:val="18"/>
                <w:szCs w:val="18"/>
                <w:color w:val="auto"/>
              </w:rPr>
              <w:t>d</w:t>
            </w:r>
          </w:p>
        </w:tc>
        <w:tc>
          <w:tcPr>
            <w:tcW w:w="5180" w:type="dxa"/>
            <w:vAlign w:val="bottom"/>
            <w:tcBorders>
              <w:right w:val="single" w:sz="8" w:color="auto"/>
            </w:tcBorders>
          </w:tcPr>
          <w:p>
            <w:pPr>
              <w:jc w:val="right"/>
              <w:ind w:right="10"/>
              <w:spacing w:after="0"/>
              <w:rPr>
                <w:sz w:val="20"/>
                <w:szCs w:val="20"/>
                <w:color w:val="auto"/>
              </w:rPr>
            </w:pPr>
            <w:r>
              <w:rPr>
                <w:rFonts w:ascii="Arial" w:cs="Arial" w:eastAsia="Arial" w:hAnsi="Arial"/>
                <w:sz w:val="18"/>
                <w:szCs w:val="18"/>
                <w:color w:val="auto"/>
              </w:rPr>
              <w:t>the appointment and dismissal of persons entrusted with</w:t>
            </w:r>
          </w:p>
        </w:tc>
        <w:tc>
          <w:tcPr>
            <w:tcW w:w="220" w:type="dxa"/>
            <w:vAlign w:val="bottom"/>
            <w:tcBorders>
              <w:right w:val="single" w:sz="8" w:color="auto"/>
            </w:tcBorders>
          </w:tcPr>
          <w:p>
            <w:pPr>
              <w:spacing w:after="0"/>
              <w:rPr>
                <w:sz w:val="24"/>
                <w:szCs w:val="24"/>
                <w:color w:val="auto"/>
              </w:rPr>
            </w:pPr>
          </w:p>
        </w:tc>
        <w:tc>
          <w:tcPr>
            <w:tcW w:w="5480" w:type="dxa"/>
            <w:vAlign w:val="bottom"/>
            <w:tcBorders>
              <w:right w:val="single" w:sz="8" w:color="auto"/>
            </w:tcBorders>
            <w:gridSpan w:val="2"/>
          </w:tcPr>
          <w:p>
            <w:pPr>
              <w:ind w:left="60"/>
              <w:spacing w:after="0"/>
              <w:rPr>
                <w:sz w:val="20"/>
                <w:szCs w:val="20"/>
                <w:color w:val="auto"/>
              </w:rPr>
            </w:pPr>
            <w:r>
              <w:rPr>
                <w:rFonts w:ascii="Arial" w:cs="Arial" w:eastAsia="Arial" w:hAnsi="Arial"/>
                <w:sz w:val="18"/>
                <w:szCs w:val="18"/>
                <w:color w:val="auto"/>
              </w:rPr>
              <w:t>d)  nommer et révoquer les personnes chargées de la gestion et</w:t>
            </w:r>
          </w:p>
        </w:tc>
        <w:tc>
          <w:tcPr>
            <w:tcW w:w="0" w:type="dxa"/>
            <w:vAlign w:val="bottom"/>
          </w:tcPr>
          <w:p>
            <w:pPr>
              <w:spacing w:after="0"/>
              <w:rPr>
                <w:sz w:val="1"/>
                <w:szCs w:val="1"/>
                <w:color w:val="auto"/>
              </w:rPr>
            </w:pPr>
          </w:p>
        </w:tc>
      </w:tr>
      <w:tr>
        <w:trPr>
          <w:trHeight w:val="217"/>
        </w:trPr>
        <w:tc>
          <w:tcPr>
            <w:tcW w:w="360" w:type="dxa"/>
            <w:vAlign w:val="bottom"/>
            <w:tcBorders>
              <w:left w:val="single" w:sz="8" w:color="auto"/>
            </w:tcBorders>
          </w:tcPr>
          <w:p>
            <w:pPr>
              <w:spacing w:after="0"/>
              <w:rPr>
                <w:sz w:val="18"/>
                <w:szCs w:val="18"/>
                <w:color w:val="auto"/>
              </w:rPr>
            </w:pPr>
          </w:p>
        </w:tc>
        <w:tc>
          <w:tcPr>
            <w:tcW w:w="518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managing and representing the company;</w:t>
            </w:r>
          </w:p>
        </w:tc>
        <w:tc>
          <w:tcPr>
            <w:tcW w:w="220" w:type="dxa"/>
            <w:vAlign w:val="bottom"/>
            <w:tcBorders>
              <w:right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51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de la représentation;</w:t>
            </w:r>
          </w:p>
        </w:tc>
        <w:tc>
          <w:tcPr>
            <w:tcW w:w="0" w:type="dxa"/>
            <w:vAlign w:val="bottom"/>
          </w:tcPr>
          <w:p>
            <w:pPr>
              <w:spacing w:after="0"/>
              <w:rPr>
                <w:sz w:val="1"/>
                <w:szCs w:val="1"/>
                <w:color w:val="auto"/>
              </w:rPr>
            </w:pPr>
          </w:p>
        </w:tc>
      </w:tr>
      <w:tr>
        <w:trPr>
          <w:trHeight w:val="391"/>
        </w:trPr>
        <w:tc>
          <w:tcPr>
            <w:tcW w:w="360" w:type="dxa"/>
            <w:vAlign w:val="bottom"/>
            <w:tcBorders>
              <w:left w:val="single" w:sz="8" w:color="auto"/>
            </w:tcBorders>
          </w:tcPr>
          <w:p>
            <w:pPr>
              <w:ind w:left="100"/>
              <w:spacing w:after="0"/>
              <w:rPr>
                <w:sz w:val="20"/>
                <w:szCs w:val="20"/>
                <w:color w:val="auto"/>
              </w:rPr>
            </w:pPr>
            <w:r>
              <w:rPr>
                <w:rFonts w:ascii="Arial" w:cs="Arial" w:eastAsia="Arial" w:hAnsi="Arial"/>
                <w:sz w:val="18"/>
                <w:szCs w:val="18"/>
                <w:color w:val="auto"/>
              </w:rPr>
              <w:t>e)</w:t>
            </w:r>
          </w:p>
        </w:tc>
        <w:tc>
          <w:tcPr>
            <w:tcW w:w="5180" w:type="dxa"/>
            <w:vAlign w:val="bottom"/>
            <w:tcBorders>
              <w:right w:val="single" w:sz="8" w:color="auto"/>
            </w:tcBorders>
          </w:tcPr>
          <w:p>
            <w:pPr>
              <w:jc w:val="right"/>
              <w:ind w:right="10"/>
              <w:spacing w:after="0"/>
              <w:rPr>
                <w:sz w:val="20"/>
                <w:szCs w:val="20"/>
                <w:color w:val="auto"/>
              </w:rPr>
            </w:pPr>
            <w:r>
              <w:rPr>
                <w:rFonts w:ascii="Arial" w:cs="Arial" w:eastAsia="Arial" w:hAnsi="Arial"/>
                <w:sz w:val="18"/>
                <w:szCs w:val="18"/>
                <w:color w:val="auto"/>
              </w:rPr>
              <w:t>overall supervision of the persons entrusted with managing</w:t>
            </w:r>
          </w:p>
        </w:tc>
        <w:tc>
          <w:tcPr>
            <w:tcW w:w="220" w:type="dxa"/>
            <w:vAlign w:val="bottom"/>
            <w:tcBorders>
              <w:right w:val="single" w:sz="8" w:color="auto"/>
            </w:tcBorders>
          </w:tcPr>
          <w:p>
            <w:pPr>
              <w:spacing w:after="0"/>
              <w:rPr>
                <w:sz w:val="24"/>
                <w:szCs w:val="24"/>
                <w:color w:val="auto"/>
              </w:rPr>
            </w:pPr>
          </w:p>
        </w:tc>
        <w:tc>
          <w:tcPr>
            <w:tcW w:w="5480" w:type="dxa"/>
            <w:vAlign w:val="bottom"/>
            <w:tcBorders>
              <w:right w:val="single" w:sz="8" w:color="auto"/>
            </w:tcBorders>
            <w:gridSpan w:val="2"/>
          </w:tcPr>
          <w:p>
            <w:pPr>
              <w:ind w:left="60"/>
              <w:spacing w:after="0"/>
              <w:rPr>
                <w:sz w:val="20"/>
                <w:szCs w:val="20"/>
                <w:color w:val="auto"/>
              </w:rPr>
            </w:pPr>
            <w:r>
              <w:rPr>
                <w:rFonts w:ascii="Arial" w:cs="Arial" w:eastAsia="Arial" w:hAnsi="Arial"/>
                <w:sz w:val="18"/>
                <w:szCs w:val="18"/>
                <w:color w:val="auto"/>
              </w:rPr>
              <w:t>e)  exercer la haute surveillance sur les personnes chargées de la</w:t>
            </w:r>
          </w:p>
        </w:tc>
        <w:tc>
          <w:tcPr>
            <w:tcW w:w="0" w:type="dxa"/>
            <w:vAlign w:val="bottom"/>
          </w:tcPr>
          <w:p>
            <w:pPr>
              <w:spacing w:after="0"/>
              <w:rPr>
                <w:sz w:val="1"/>
                <w:szCs w:val="1"/>
                <w:color w:val="auto"/>
              </w:rPr>
            </w:pPr>
          </w:p>
        </w:tc>
      </w:tr>
      <w:tr>
        <w:trPr>
          <w:trHeight w:val="203"/>
        </w:trPr>
        <w:tc>
          <w:tcPr>
            <w:tcW w:w="360" w:type="dxa"/>
            <w:vAlign w:val="bottom"/>
            <w:tcBorders>
              <w:left w:val="single" w:sz="8" w:color="auto"/>
            </w:tcBorders>
          </w:tcPr>
          <w:p>
            <w:pPr>
              <w:spacing w:after="0"/>
              <w:rPr>
                <w:sz w:val="17"/>
                <w:szCs w:val="17"/>
                <w:color w:val="auto"/>
              </w:rPr>
            </w:pPr>
          </w:p>
        </w:tc>
        <w:tc>
          <w:tcPr>
            <w:tcW w:w="5180" w:type="dxa"/>
            <w:vAlign w:val="bottom"/>
            <w:tcBorders>
              <w:right w:val="single" w:sz="8" w:color="auto"/>
            </w:tcBorders>
          </w:tcPr>
          <w:p>
            <w:pPr>
              <w:ind w:left="120"/>
              <w:spacing w:after="0" w:line="202" w:lineRule="exact"/>
              <w:rPr>
                <w:sz w:val="20"/>
                <w:szCs w:val="20"/>
                <w:color w:val="auto"/>
              </w:rPr>
            </w:pPr>
            <w:r>
              <w:rPr>
                <w:rFonts w:ascii="Arial" w:cs="Arial" w:eastAsia="Arial" w:hAnsi="Arial"/>
                <w:sz w:val="18"/>
                <w:szCs w:val="18"/>
                <w:color w:val="auto"/>
              </w:rPr>
              <w:t>the company, in particular with regard to compliance with the</w:t>
            </w:r>
          </w:p>
        </w:tc>
        <w:tc>
          <w:tcPr>
            <w:tcW w:w="220" w:type="dxa"/>
            <w:vAlign w:val="bottom"/>
            <w:tcBorders>
              <w:right w:val="single" w:sz="8" w:color="auto"/>
            </w:tcBorders>
          </w:tcPr>
          <w:p>
            <w:pPr>
              <w:spacing w:after="0"/>
              <w:rPr>
                <w:sz w:val="17"/>
                <w:szCs w:val="17"/>
                <w:color w:val="auto"/>
              </w:rPr>
            </w:pPr>
          </w:p>
        </w:tc>
        <w:tc>
          <w:tcPr>
            <w:tcW w:w="300" w:type="dxa"/>
            <w:vAlign w:val="bottom"/>
          </w:tcPr>
          <w:p>
            <w:pPr>
              <w:spacing w:after="0"/>
              <w:rPr>
                <w:sz w:val="17"/>
                <w:szCs w:val="17"/>
                <w:color w:val="auto"/>
              </w:rPr>
            </w:pPr>
          </w:p>
        </w:tc>
        <w:tc>
          <w:tcPr>
            <w:tcW w:w="5180" w:type="dxa"/>
            <w:vAlign w:val="bottom"/>
            <w:tcBorders>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gestion pour s'assurer notamment qu'elles observent la loi, les</w:t>
            </w:r>
          </w:p>
        </w:tc>
        <w:tc>
          <w:tcPr>
            <w:tcW w:w="0" w:type="dxa"/>
            <w:vAlign w:val="bottom"/>
          </w:tcPr>
          <w:p>
            <w:pPr>
              <w:spacing w:after="0"/>
              <w:rPr>
                <w:sz w:val="1"/>
                <w:szCs w:val="1"/>
                <w:color w:val="auto"/>
              </w:rPr>
            </w:pPr>
          </w:p>
        </w:tc>
      </w:tr>
      <w:tr>
        <w:trPr>
          <w:trHeight w:val="203"/>
        </w:trPr>
        <w:tc>
          <w:tcPr>
            <w:tcW w:w="360" w:type="dxa"/>
            <w:vAlign w:val="bottom"/>
            <w:tcBorders>
              <w:left w:val="single" w:sz="8" w:color="auto"/>
            </w:tcBorders>
          </w:tcPr>
          <w:p>
            <w:pPr>
              <w:spacing w:after="0"/>
              <w:rPr>
                <w:sz w:val="17"/>
                <w:szCs w:val="17"/>
                <w:color w:val="auto"/>
              </w:rPr>
            </w:pPr>
          </w:p>
        </w:tc>
        <w:tc>
          <w:tcPr>
            <w:tcW w:w="5180" w:type="dxa"/>
            <w:vAlign w:val="bottom"/>
            <w:tcBorders>
              <w:right w:val="single" w:sz="8" w:color="auto"/>
            </w:tcBorders>
          </w:tcPr>
          <w:p>
            <w:pPr>
              <w:ind w:left="120"/>
              <w:spacing w:after="0" w:line="202" w:lineRule="exact"/>
              <w:rPr>
                <w:sz w:val="20"/>
                <w:szCs w:val="20"/>
                <w:color w:val="auto"/>
              </w:rPr>
            </w:pPr>
            <w:r>
              <w:rPr>
                <w:rFonts w:ascii="Arial" w:cs="Arial" w:eastAsia="Arial" w:hAnsi="Arial"/>
                <w:sz w:val="18"/>
                <w:szCs w:val="18"/>
                <w:color w:val="auto"/>
              </w:rPr>
              <w:t>law,  articles  of  association,  operational  regulations  and</w:t>
            </w:r>
          </w:p>
        </w:tc>
        <w:tc>
          <w:tcPr>
            <w:tcW w:w="220" w:type="dxa"/>
            <w:vAlign w:val="bottom"/>
            <w:tcBorders>
              <w:right w:val="single" w:sz="8" w:color="auto"/>
            </w:tcBorders>
          </w:tcPr>
          <w:p>
            <w:pPr>
              <w:spacing w:after="0"/>
              <w:rPr>
                <w:sz w:val="17"/>
                <w:szCs w:val="17"/>
                <w:color w:val="auto"/>
              </w:rPr>
            </w:pPr>
          </w:p>
        </w:tc>
        <w:tc>
          <w:tcPr>
            <w:tcW w:w="300" w:type="dxa"/>
            <w:vAlign w:val="bottom"/>
          </w:tcPr>
          <w:p>
            <w:pPr>
              <w:spacing w:after="0"/>
              <w:rPr>
                <w:sz w:val="17"/>
                <w:szCs w:val="17"/>
                <w:color w:val="auto"/>
              </w:rPr>
            </w:pPr>
          </w:p>
        </w:tc>
        <w:tc>
          <w:tcPr>
            <w:tcW w:w="5180" w:type="dxa"/>
            <w:vAlign w:val="bottom"/>
            <w:tcBorders>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statuts, les règlements et les instructions données;</w:t>
            </w:r>
          </w:p>
        </w:tc>
        <w:tc>
          <w:tcPr>
            <w:tcW w:w="0" w:type="dxa"/>
            <w:vAlign w:val="bottom"/>
          </w:tcPr>
          <w:p>
            <w:pPr>
              <w:spacing w:after="0"/>
              <w:rPr>
                <w:sz w:val="1"/>
                <w:szCs w:val="1"/>
                <w:color w:val="auto"/>
              </w:rPr>
            </w:pPr>
          </w:p>
        </w:tc>
      </w:tr>
      <w:tr>
        <w:trPr>
          <w:trHeight w:val="217"/>
        </w:trPr>
        <w:tc>
          <w:tcPr>
            <w:tcW w:w="360" w:type="dxa"/>
            <w:vAlign w:val="bottom"/>
            <w:tcBorders>
              <w:left w:val="single" w:sz="8" w:color="auto"/>
            </w:tcBorders>
          </w:tcPr>
          <w:p>
            <w:pPr>
              <w:spacing w:after="0"/>
              <w:rPr>
                <w:sz w:val="18"/>
                <w:szCs w:val="18"/>
                <w:color w:val="auto"/>
              </w:rPr>
            </w:pPr>
          </w:p>
        </w:tc>
        <w:tc>
          <w:tcPr>
            <w:tcW w:w="518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directives;</w:t>
            </w:r>
          </w:p>
        </w:tc>
        <w:tc>
          <w:tcPr>
            <w:tcW w:w="220" w:type="dxa"/>
            <w:vAlign w:val="bottom"/>
            <w:tcBorders>
              <w:right w:val="single" w:sz="8" w:color="auto"/>
            </w:tcBorders>
          </w:tcPr>
          <w:p>
            <w:pPr>
              <w:spacing w:after="0"/>
              <w:rPr>
                <w:sz w:val="18"/>
                <w:szCs w:val="18"/>
                <w:color w:val="auto"/>
              </w:rPr>
            </w:pPr>
          </w:p>
        </w:tc>
        <w:tc>
          <w:tcPr>
            <w:tcW w:w="5480" w:type="dxa"/>
            <w:vAlign w:val="bottom"/>
            <w:tcBorders>
              <w:right w:val="single" w:sz="8" w:color="auto"/>
            </w:tcBorders>
            <w:gridSpan w:val="2"/>
            <w:vMerge w:val="restart"/>
          </w:tcPr>
          <w:p>
            <w:pPr>
              <w:ind w:left="60"/>
              <w:spacing w:after="0"/>
              <w:rPr>
                <w:sz w:val="20"/>
                <w:szCs w:val="20"/>
                <w:color w:val="auto"/>
              </w:rPr>
            </w:pPr>
            <w:r>
              <w:rPr>
                <w:rFonts w:ascii="Arial" w:cs="Arial" w:eastAsia="Arial" w:hAnsi="Arial"/>
                <w:sz w:val="18"/>
                <w:szCs w:val="18"/>
                <w:color w:val="auto"/>
              </w:rPr>
              <w:t>f)   établir le rapport de gestion, préparer l'assemblée générale et</w:t>
            </w:r>
          </w:p>
        </w:tc>
        <w:tc>
          <w:tcPr>
            <w:tcW w:w="0" w:type="dxa"/>
            <w:vAlign w:val="bottom"/>
          </w:tcPr>
          <w:p>
            <w:pPr>
              <w:spacing w:after="0"/>
              <w:rPr>
                <w:sz w:val="1"/>
                <w:szCs w:val="1"/>
                <w:color w:val="auto"/>
              </w:rPr>
            </w:pPr>
          </w:p>
        </w:tc>
      </w:tr>
      <w:tr>
        <w:trPr>
          <w:trHeight w:val="188"/>
        </w:trPr>
        <w:tc>
          <w:tcPr>
            <w:tcW w:w="360" w:type="dxa"/>
            <w:vAlign w:val="bottom"/>
            <w:tcBorders>
              <w:left w:val="single" w:sz="8" w:color="auto"/>
            </w:tcBorders>
          </w:tcPr>
          <w:p>
            <w:pPr>
              <w:spacing w:after="0"/>
              <w:rPr>
                <w:sz w:val="16"/>
                <w:szCs w:val="16"/>
                <w:color w:val="auto"/>
              </w:rPr>
            </w:pPr>
          </w:p>
        </w:tc>
        <w:tc>
          <w:tcPr>
            <w:tcW w:w="5180" w:type="dxa"/>
            <w:vAlign w:val="bottom"/>
            <w:tcBorders>
              <w:right w:val="single" w:sz="8" w:color="auto"/>
            </w:tcBorders>
          </w:tcPr>
          <w:p>
            <w:pPr>
              <w:spacing w:after="0"/>
              <w:rPr>
                <w:sz w:val="16"/>
                <w:szCs w:val="16"/>
                <w:color w:val="auto"/>
              </w:rPr>
            </w:pPr>
          </w:p>
        </w:tc>
        <w:tc>
          <w:tcPr>
            <w:tcW w:w="220" w:type="dxa"/>
            <w:vAlign w:val="bottom"/>
            <w:tcBorders>
              <w:right w:val="single" w:sz="8" w:color="auto"/>
            </w:tcBorders>
          </w:tcPr>
          <w:p>
            <w:pPr>
              <w:spacing w:after="0"/>
              <w:rPr>
                <w:sz w:val="16"/>
                <w:szCs w:val="16"/>
                <w:color w:val="auto"/>
              </w:rPr>
            </w:pPr>
          </w:p>
        </w:tc>
        <w:tc>
          <w:tcPr>
            <w:tcW w:w="5480" w:type="dxa"/>
            <w:vAlign w:val="bottom"/>
            <w:tcBorders>
              <w:right w:val="single" w:sz="8" w:color="auto"/>
            </w:tcBorders>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360" w:type="dxa"/>
            <w:vAlign w:val="bottom"/>
            <w:tcBorders>
              <w:left w:val="single" w:sz="8" w:color="auto"/>
            </w:tcBorders>
          </w:tcPr>
          <w:p>
            <w:pPr>
              <w:ind w:left="100"/>
              <w:spacing w:after="0" w:line="202" w:lineRule="exact"/>
              <w:rPr>
                <w:sz w:val="20"/>
                <w:szCs w:val="20"/>
                <w:color w:val="auto"/>
              </w:rPr>
            </w:pPr>
            <w:r>
              <w:rPr>
                <w:rFonts w:ascii="Arial" w:cs="Arial" w:eastAsia="Arial" w:hAnsi="Arial"/>
                <w:sz w:val="18"/>
                <w:szCs w:val="18"/>
                <w:color w:val="auto"/>
              </w:rPr>
              <w:t>f)</w:t>
            </w:r>
          </w:p>
        </w:tc>
        <w:tc>
          <w:tcPr>
            <w:tcW w:w="5180" w:type="dxa"/>
            <w:vAlign w:val="bottom"/>
            <w:tcBorders>
              <w:right w:val="single" w:sz="8" w:color="auto"/>
            </w:tcBorders>
          </w:tcPr>
          <w:p>
            <w:pPr>
              <w:jc w:val="right"/>
              <w:ind w:right="10"/>
              <w:spacing w:after="0" w:line="202" w:lineRule="exact"/>
              <w:rPr>
                <w:sz w:val="20"/>
                <w:szCs w:val="20"/>
                <w:color w:val="auto"/>
              </w:rPr>
            </w:pPr>
            <w:r>
              <w:rPr>
                <w:rFonts w:ascii="Arial" w:cs="Arial" w:eastAsia="Arial" w:hAnsi="Arial"/>
                <w:sz w:val="18"/>
                <w:szCs w:val="18"/>
                <w:color w:val="auto"/>
              </w:rPr>
              <w:t>compilation of the annual report, preparation for the general</w:t>
            </w:r>
          </w:p>
        </w:tc>
        <w:tc>
          <w:tcPr>
            <w:tcW w:w="220" w:type="dxa"/>
            <w:vAlign w:val="bottom"/>
            <w:tcBorders>
              <w:right w:val="single" w:sz="8" w:color="auto"/>
            </w:tcBorders>
          </w:tcPr>
          <w:p>
            <w:pPr>
              <w:spacing w:after="0"/>
              <w:rPr>
                <w:sz w:val="17"/>
                <w:szCs w:val="17"/>
                <w:color w:val="auto"/>
              </w:rPr>
            </w:pPr>
          </w:p>
        </w:tc>
        <w:tc>
          <w:tcPr>
            <w:tcW w:w="300" w:type="dxa"/>
            <w:vAlign w:val="bottom"/>
          </w:tcPr>
          <w:p>
            <w:pPr>
              <w:spacing w:after="0"/>
              <w:rPr>
                <w:sz w:val="17"/>
                <w:szCs w:val="17"/>
                <w:color w:val="auto"/>
              </w:rPr>
            </w:pPr>
          </w:p>
        </w:tc>
        <w:tc>
          <w:tcPr>
            <w:tcW w:w="5180" w:type="dxa"/>
            <w:vAlign w:val="bottom"/>
            <w:tcBorders>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exécuter ses décisions;</w:t>
            </w:r>
          </w:p>
        </w:tc>
        <w:tc>
          <w:tcPr>
            <w:tcW w:w="0" w:type="dxa"/>
            <w:vAlign w:val="bottom"/>
          </w:tcPr>
          <w:p>
            <w:pPr>
              <w:spacing w:after="0"/>
              <w:rPr>
                <w:sz w:val="1"/>
                <w:szCs w:val="1"/>
                <w:color w:val="auto"/>
              </w:rPr>
            </w:pPr>
          </w:p>
        </w:tc>
      </w:tr>
      <w:tr>
        <w:trPr>
          <w:trHeight w:val="217"/>
        </w:trPr>
        <w:tc>
          <w:tcPr>
            <w:tcW w:w="360" w:type="dxa"/>
            <w:vAlign w:val="bottom"/>
            <w:tcBorders>
              <w:left w:val="single" w:sz="8" w:color="auto"/>
            </w:tcBorders>
          </w:tcPr>
          <w:p>
            <w:pPr>
              <w:spacing w:after="0"/>
              <w:rPr>
                <w:sz w:val="18"/>
                <w:szCs w:val="18"/>
                <w:color w:val="auto"/>
              </w:rPr>
            </w:pPr>
          </w:p>
        </w:tc>
        <w:tc>
          <w:tcPr>
            <w:tcW w:w="518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meeting and implementation of its resolutions;</w:t>
            </w:r>
          </w:p>
        </w:tc>
        <w:tc>
          <w:tcPr>
            <w:tcW w:w="220" w:type="dxa"/>
            <w:vAlign w:val="bottom"/>
            <w:tcBorders>
              <w:right w:val="single" w:sz="8" w:color="auto"/>
            </w:tcBorders>
          </w:tcPr>
          <w:p>
            <w:pPr>
              <w:spacing w:after="0"/>
              <w:rPr>
                <w:sz w:val="18"/>
                <w:szCs w:val="18"/>
                <w:color w:val="auto"/>
              </w:rPr>
            </w:pPr>
          </w:p>
        </w:tc>
        <w:tc>
          <w:tcPr>
            <w:tcW w:w="5480" w:type="dxa"/>
            <w:vAlign w:val="bottom"/>
            <w:tcBorders>
              <w:right w:val="single" w:sz="8" w:color="auto"/>
            </w:tcBorders>
            <w:gridSpan w:val="2"/>
            <w:vMerge w:val="restart"/>
          </w:tcPr>
          <w:p>
            <w:pPr>
              <w:ind w:left="60"/>
              <w:spacing w:after="0"/>
              <w:rPr>
                <w:sz w:val="20"/>
                <w:szCs w:val="20"/>
                <w:color w:val="auto"/>
              </w:rPr>
            </w:pPr>
            <w:r>
              <w:rPr>
                <w:rFonts w:ascii="Arial" w:cs="Arial" w:eastAsia="Arial" w:hAnsi="Arial"/>
                <w:sz w:val="18"/>
                <w:szCs w:val="18"/>
                <w:color w:val="auto"/>
              </w:rPr>
              <w:t>g)   la préparation du rapport de rémunération et de demander</w:t>
            </w:r>
          </w:p>
        </w:tc>
        <w:tc>
          <w:tcPr>
            <w:tcW w:w="0" w:type="dxa"/>
            <w:vAlign w:val="bottom"/>
          </w:tcPr>
          <w:p>
            <w:pPr>
              <w:spacing w:after="0"/>
              <w:rPr>
                <w:sz w:val="1"/>
                <w:szCs w:val="1"/>
                <w:color w:val="auto"/>
              </w:rPr>
            </w:pPr>
          </w:p>
        </w:tc>
      </w:tr>
      <w:tr>
        <w:trPr>
          <w:trHeight w:val="188"/>
        </w:trPr>
        <w:tc>
          <w:tcPr>
            <w:tcW w:w="360" w:type="dxa"/>
            <w:vAlign w:val="bottom"/>
            <w:tcBorders>
              <w:left w:val="single" w:sz="8" w:color="auto"/>
            </w:tcBorders>
          </w:tcPr>
          <w:p>
            <w:pPr>
              <w:spacing w:after="0"/>
              <w:rPr>
                <w:sz w:val="16"/>
                <w:szCs w:val="16"/>
                <w:color w:val="auto"/>
              </w:rPr>
            </w:pPr>
          </w:p>
        </w:tc>
        <w:tc>
          <w:tcPr>
            <w:tcW w:w="5180" w:type="dxa"/>
            <w:vAlign w:val="bottom"/>
            <w:tcBorders>
              <w:right w:val="single" w:sz="8" w:color="auto"/>
            </w:tcBorders>
          </w:tcPr>
          <w:p>
            <w:pPr>
              <w:spacing w:after="0"/>
              <w:rPr>
                <w:sz w:val="16"/>
                <w:szCs w:val="16"/>
                <w:color w:val="auto"/>
              </w:rPr>
            </w:pPr>
          </w:p>
        </w:tc>
        <w:tc>
          <w:tcPr>
            <w:tcW w:w="220" w:type="dxa"/>
            <w:vAlign w:val="bottom"/>
            <w:tcBorders>
              <w:right w:val="single" w:sz="8" w:color="auto"/>
            </w:tcBorders>
          </w:tcPr>
          <w:p>
            <w:pPr>
              <w:spacing w:after="0"/>
              <w:rPr>
                <w:sz w:val="16"/>
                <w:szCs w:val="16"/>
                <w:color w:val="auto"/>
              </w:rPr>
            </w:pPr>
          </w:p>
        </w:tc>
        <w:tc>
          <w:tcPr>
            <w:tcW w:w="5480" w:type="dxa"/>
            <w:vAlign w:val="bottom"/>
            <w:tcBorders>
              <w:right w:val="single" w:sz="8" w:color="auto"/>
            </w:tcBorders>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360" w:type="dxa"/>
            <w:vAlign w:val="bottom"/>
            <w:tcBorders>
              <w:left w:val="single" w:sz="8" w:color="auto"/>
            </w:tcBorders>
          </w:tcPr>
          <w:p>
            <w:pPr>
              <w:ind w:left="100"/>
              <w:spacing w:after="0" w:line="202" w:lineRule="exact"/>
              <w:rPr>
                <w:sz w:val="20"/>
                <w:szCs w:val="20"/>
                <w:color w:val="auto"/>
              </w:rPr>
            </w:pPr>
            <w:r>
              <w:rPr>
                <w:rFonts w:ascii="Arial" w:cs="Arial" w:eastAsia="Arial" w:hAnsi="Arial"/>
                <w:sz w:val="18"/>
                <w:szCs w:val="18"/>
                <w:color w:val="auto"/>
              </w:rPr>
              <w:t>g)</w:t>
            </w:r>
          </w:p>
        </w:tc>
        <w:tc>
          <w:tcPr>
            <w:tcW w:w="5180" w:type="dxa"/>
            <w:vAlign w:val="bottom"/>
            <w:tcBorders>
              <w:right w:val="single" w:sz="8" w:color="auto"/>
            </w:tcBorders>
          </w:tcPr>
          <w:p>
            <w:pPr>
              <w:jc w:val="right"/>
              <w:ind w:right="10"/>
              <w:spacing w:after="0" w:line="202" w:lineRule="exact"/>
              <w:rPr>
                <w:sz w:val="20"/>
                <w:szCs w:val="20"/>
                <w:color w:val="auto"/>
              </w:rPr>
            </w:pPr>
            <w:r>
              <w:rPr>
                <w:rFonts w:ascii="Arial" w:cs="Arial" w:eastAsia="Arial" w:hAnsi="Arial"/>
                <w:sz w:val="18"/>
                <w:szCs w:val="18"/>
                <w:color w:val="auto"/>
              </w:rPr>
              <w:t>the preparation of the compensation report and to request</w:t>
            </w:r>
          </w:p>
        </w:tc>
        <w:tc>
          <w:tcPr>
            <w:tcW w:w="220" w:type="dxa"/>
            <w:vAlign w:val="bottom"/>
            <w:tcBorders>
              <w:right w:val="single" w:sz="8" w:color="auto"/>
            </w:tcBorders>
          </w:tcPr>
          <w:p>
            <w:pPr>
              <w:spacing w:after="0"/>
              <w:rPr>
                <w:sz w:val="17"/>
                <w:szCs w:val="17"/>
                <w:color w:val="auto"/>
              </w:rPr>
            </w:pPr>
          </w:p>
        </w:tc>
        <w:tc>
          <w:tcPr>
            <w:tcW w:w="300" w:type="dxa"/>
            <w:vAlign w:val="bottom"/>
          </w:tcPr>
          <w:p>
            <w:pPr>
              <w:spacing w:after="0"/>
              <w:rPr>
                <w:sz w:val="17"/>
                <w:szCs w:val="17"/>
                <w:color w:val="auto"/>
              </w:rPr>
            </w:pPr>
          </w:p>
        </w:tc>
        <w:tc>
          <w:tcPr>
            <w:tcW w:w="5180" w:type="dxa"/>
            <w:vAlign w:val="bottom"/>
            <w:tcBorders>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l'approbation par l'assemblée générale en ce qui concerne la</w:t>
            </w:r>
          </w:p>
        </w:tc>
        <w:tc>
          <w:tcPr>
            <w:tcW w:w="0" w:type="dxa"/>
            <w:vAlign w:val="bottom"/>
          </w:tcPr>
          <w:p>
            <w:pPr>
              <w:spacing w:after="0"/>
              <w:rPr>
                <w:sz w:val="1"/>
                <w:szCs w:val="1"/>
                <w:color w:val="auto"/>
              </w:rPr>
            </w:pPr>
          </w:p>
        </w:tc>
      </w:tr>
      <w:tr>
        <w:trPr>
          <w:trHeight w:val="203"/>
        </w:trPr>
        <w:tc>
          <w:tcPr>
            <w:tcW w:w="360" w:type="dxa"/>
            <w:vAlign w:val="bottom"/>
            <w:tcBorders>
              <w:left w:val="single" w:sz="8" w:color="auto"/>
            </w:tcBorders>
          </w:tcPr>
          <w:p>
            <w:pPr>
              <w:spacing w:after="0"/>
              <w:rPr>
                <w:sz w:val="17"/>
                <w:szCs w:val="17"/>
                <w:color w:val="auto"/>
              </w:rPr>
            </w:pPr>
          </w:p>
        </w:tc>
        <w:tc>
          <w:tcPr>
            <w:tcW w:w="5180" w:type="dxa"/>
            <w:vAlign w:val="bottom"/>
            <w:tcBorders>
              <w:right w:val="single" w:sz="8" w:color="auto"/>
            </w:tcBorders>
          </w:tcPr>
          <w:p>
            <w:pPr>
              <w:ind w:left="120"/>
              <w:spacing w:after="0" w:line="202" w:lineRule="exact"/>
              <w:rPr>
                <w:sz w:val="20"/>
                <w:szCs w:val="20"/>
                <w:color w:val="auto"/>
              </w:rPr>
            </w:pPr>
            <w:r>
              <w:rPr>
                <w:rFonts w:ascii="Arial" w:cs="Arial" w:eastAsia="Arial" w:hAnsi="Arial"/>
                <w:sz w:val="18"/>
                <w:szCs w:val="18"/>
                <w:color w:val="auto"/>
              </w:rPr>
              <w:t>approval by the General Meeting regarding compensation of</w:t>
            </w:r>
          </w:p>
        </w:tc>
        <w:tc>
          <w:tcPr>
            <w:tcW w:w="220" w:type="dxa"/>
            <w:vAlign w:val="bottom"/>
            <w:tcBorders>
              <w:right w:val="single" w:sz="8" w:color="auto"/>
            </w:tcBorders>
          </w:tcPr>
          <w:p>
            <w:pPr>
              <w:spacing w:after="0"/>
              <w:rPr>
                <w:sz w:val="17"/>
                <w:szCs w:val="17"/>
                <w:color w:val="auto"/>
              </w:rPr>
            </w:pPr>
          </w:p>
        </w:tc>
        <w:tc>
          <w:tcPr>
            <w:tcW w:w="300" w:type="dxa"/>
            <w:vAlign w:val="bottom"/>
          </w:tcPr>
          <w:p>
            <w:pPr>
              <w:spacing w:after="0"/>
              <w:rPr>
                <w:sz w:val="17"/>
                <w:szCs w:val="17"/>
                <w:color w:val="auto"/>
              </w:rPr>
            </w:pPr>
          </w:p>
        </w:tc>
        <w:tc>
          <w:tcPr>
            <w:tcW w:w="5180" w:type="dxa"/>
            <w:vAlign w:val="bottom"/>
            <w:tcBorders>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rémunération du conseil d'administration et du comité exécutif;</w:t>
            </w:r>
          </w:p>
        </w:tc>
        <w:tc>
          <w:tcPr>
            <w:tcW w:w="0" w:type="dxa"/>
            <w:vAlign w:val="bottom"/>
          </w:tcPr>
          <w:p>
            <w:pPr>
              <w:spacing w:after="0"/>
              <w:rPr>
                <w:sz w:val="1"/>
                <w:szCs w:val="1"/>
                <w:color w:val="auto"/>
              </w:rPr>
            </w:pPr>
          </w:p>
        </w:tc>
      </w:tr>
      <w:tr>
        <w:trPr>
          <w:trHeight w:val="217"/>
        </w:trPr>
        <w:tc>
          <w:tcPr>
            <w:tcW w:w="360" w:type="dxa"/>
            <w:vAlign w:val="bottom"/>
            <w:tcBorders>
              <w:left w:val="single" w:sz="8" w:color="auto"/>
            </w:tcBorders>
          </w:tcPr>
          <w:p>
            <w:pPr>
              <w:spacing w:after="0"/>
              <w:rPr>
                <w:sz w:val="18"/>
                <w:szCs w:val="18"/>
                <w:color w:val="auto"/>
              </w:rPr>
            </w:pPr>
          </w:p>
        </w:tc>
        <w:tc>
          <w:tcPr>
            <w:tcW w:w="518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the Board of Directors and the Executive Committee; and</w:t>
            </w:r>
          </w:p>
        </w:tc>
        <w:tc>
          <w:tcPr>
            <w:tcW w:w="220" w:type="dxa"/>
            <w:vAlign w:val="bottom"/>
            <w:tcBorders>
              <w:right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51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et</w:t>
            </w:r>
          </w:p>
        </w:tc>
        <w:tc>
          <w:tcPr>
            <w:tcW w:w="0" w:type="dxa"/>
            <w:vAlign w:val="bottom"/>
          </w:tcPr>
          <w:p>
            <w:pPr>
              <w:spacing w:after="0"/>
              <w:rPr>
                <w:sz w:val="1"/>
                <w:szCs w:val="1"/>
                <w:color w:val="auto"/>
              </w:rPr>
            </w:pPr>
          </w:p>
        </w:tc>
      </w:tr>
      <w:tr>
        <w:trPr>
          <w:trHeight w:val="391"/>
        </w:trPr>
        <w:tc>
          <w:tcPr>
            <w:tcW w:w="360" w:type="dxa"/>
            <w:vAlign w:val="bottom"/>
            <w:tcBorders>
              <w:left w:val="single" w:sz="8" w:color="auto"/>
            </w:tcBorders>
          </w:tcPr>
          <w:p>
            <w:pPr>
              <w:ind w:left="100"/>
              <w:spacing w:after="0"/>
              <w:rPr>
                <w:sz w:val="20"/>
                <w:szCs w:val="20"/>
                <w:color w:val="auto"/>
              </w:rPr>
            </w:pPr>
            <w:r>
              <w:rPr>
                <w:rFonts w:ascii="Arial" w:cs="Arial" w:eastAsia="Arial" w:hAnsi="Arial"/>
                <w:sz w:val="18"/>
                <w:szCs w:val="18"/>
                <w:color w:val="auto"/>
              </w:rPr>
              <w:t>h)</w:t>
            </w:r>
          </w:p>
        </w:tc>
        <w:tc>
          <w:tcPr>
            <w:tcW w:w="5180" w:type="dxa"/>
            <w:vAlign w:val="bottom"/>
            <w:tcBorders>
              <w:right w:val="single" w:sz="8" w:color="auto"/>
            </w:tcBorders>
          </w:tcPr>
          <w:p>
            <w:pPr>
              <w:jc w:val="right"/>
              <w:ind w:right="10"/>
              <w:spacing w:after="0"/>
              <w:rPr>
                <w:sz w:val="20"/>
                <w:szCs w:val="20"/>
                <w:color w:val="auto"/>
              </w:rPr>
            </w:pPr>
            <w:r>
              <w:rPr>
                <w:rFonts w:ascii="Arial" w:cs="Arial" w:eastAsia="Arial" w:hAnsi="Arial"/>
                <w:sz w:val="18"/>
                <w:szCs w:val="18"/>
                <w:color w:val="auto"/>
              </w:rPr>
              <w:t>notification of the court in the event that the company is</w:t>
            </w:r>
          </w:p>
        </w:tc>
        <w:tc>
          <w:tcPr>
            <w:tcW w:w="220" w:type="dxa"/>
            <w:vAlign w:val="bottom"/>
            <w:tcBorders>
              <w:right w:val="single" w:sz="8" w:color="auto"/>
            </w:tcBorders>
          </w:tcPr>
          <w:p>
            <w:pPr>
              <w:spacing w:after="0"/>
              <w:rPr>
                <w:sz w:val="24"/>
                <w:szCs w:val="24"/>
                <w:color w:val="auto"/>
              </w:rPr>
            </w:pPr>
          </w:p>
        </w:tc>
        <w:tc>
          <w:tcPr>
            <w:tcW w:w="5480" w:type="dxa"/>
            <w:vAlign w:val="bottom"/>
            <w:tcBorders>
              <w:right w:val="single" w:sz="8" w:color="auto"/>
            </w:tcBorders>
            <w:gridSpan w:val="2"/>
          </w:tcPr>
          <w:p>
            <w:pPr>
              <w:ind w:left="60"/>
              <w:spacing w:after="0"/>
              <w:rPr>
                <w:sz w:val="20"/>
                <w:szCs w:val="20"/>
                <w:color w:val="auto"/>
              </w:rPr>
            </w:pPr>
            <w:r>
              <w:rPr>
                <w:rFonts w:ascii="Arial" w:cs="Arial" w:eastAsia="Arial" w:hAnsi="Arial"/>
                <w:sz w:val="18"/>
                <w:szCs w:val="18"/>
                <w:color w:val="auto"/>
              </w:rPr>
              <w:t>h)  informer le juge en cas de surendettement.</w:t>
            </w:r>
          </w:p>
        </w:tc>
        <w:tc>
          <w:tcPr>
            <w:tcW w:w="0" w:type="dxa"/>
            <w:vAlign w:val="bottom"/>
          </w:tcPr>
          <w:p>
            <w:pPr>
              <w:spacing w:after="0"/>
              <w:rPr>
                <w:sz w:val="1"/>
                <w:szCs w:val="1"/>
                <w:color w:val="auto"/>
              </w:rPr>
            </w:pPr>
          </w:p>
        </w:tc>
      </w:tr>
      <w:tr>
        <w:trPr>
          <w:trHeight w:val="217"/>
        </w:trPr>
        <w:tc>
          <w:tcPr>
            <w:tcW w:w="360" w:type="dxa"/>
            <w:vAlign w:val="bottom"/>
            <w:tcBorders>
              <w:left w:val="single" w:sz="8" w:color="auto"/>
            </w:tcBorders>
          </w:tcPr>
          <w:p>
            <w:pPr>
              <w:spacing w:after="0"/>
              <w:rPr>
                <w:sz w:val="18"/>
                <w:szCs w:val="18"/>
                <w:color w:val="auto"/>
              </w:rPr>
            </w:pPr>
          </w:p>
        </w:tc>
        <w:tc>
          <w:tcPr>
            <w:tcW w:w="518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overindebted.</w:t>
            </w:r>
          </w:p>
        </w:tc>
        <w:tc>
          <w:tcPr>
            <w:tcW w:w="220" w:type="dxa"/>
            <w:vAlign w:val="bottom"/>
            <w:tcBorders>
              <w:right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51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5540" w:type="dxa"/>
            <w:vAlign w:val="bottom"/>
            <w:tcBorders>
              <w:left w:val="single" w:sz="8" w:color="auto"/>
              <w:bottom w:val="single" w:sz="8" w:color="auto"/>
              <w:right w:val="single" w:sz="8" w:color="auto"/>
            </w:tcBorders>
            <w:gridSpan w:val="2"/>
          </w:tcPr>
          <w:p>
            <w:pPr>
              <w:spacing w:after="0"/>
              <w:rPr>
                <w:sz w:val="22"/>
                <w:szCs w:val="22"/>
                <w:color w:val="auto"/>
              </w:rPr>
            </w:pPr>
          </w:p>
        </w:tc>
        <w:tc>
          <w:tcPr>
            <w:tcW w:w="220" w:type="dxa"/>
            <w:vAlign w:val="bottom"/>
            <w:tcBorders>
              <w:bottom w:val="single" w:sz="8" w:color="auto"/>
              <w:right w:val="single" w:sz="8" w:color="auto"/>
            </w:tcBorders>
          </w:tcPr>
          <w:p>
            <w:pPr>
              <w:spacing w:after="0"/>
              <w:rPr>
                <w:sz w:val="22"/>
                <w:szCs w:val="22"/>
                <w:color w:val="auto"/>
              </w:rPr>
            </w:pPr>
          </w:p>
        </w:tc>
        <w:tc>
          <w:tcPr>
            <w:tcW w:w="5480" w:type="dxa"/>
            <w:vAlign w:val="bottom"/>
            <w:tcBorders>
              <w:bottom w:val="single" w:sz="8" w:color="auto"/>
              <w:right w:val="single" w:sz="8" w:color="auto"/>
            </w:tcBorders>
            <w:gridSpan w:val="2"/>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5540" w:type="dxa"/>
            <w:vAlign w:val="bottom"/>
            <w:tcBorders>
              <w:left w:val="single" w:sz="8" w:color="auto"/>
              <w:right w:val="single" w:sz="8" w:color="auto"/>
            </w:tcBorders>
            <w:gridSpan w:val="2"/>
          </w:tcPr>
          <w:p>
            <w:pPr>
              <w:ind w:left="100"/>
              <w:spacing w:after="0"/>
              <w:rPr>
                <w:sz w:val="20"/>
                <w:szCs w:val="20"/>
                <w:color w:val="auto"/>
              </w:rPr>
            </w:pPr>
            <w:r>
              <w:rPr>
                <w:rFonts w:ascii="Arial" w:cs="Arial" w:eastAsia="Arial" w:hAnsi="Arial"/>
                <w:sz w:val="18"/>
                <w:szCs w:val="18"/>
                <w:color w:val="auto"/>
              </w:rPr>
              <w:t>The board of directors may assign responsibility for preparing and</w:t>
            </w:r>
          </w:p>
        </w:tc>
        <w:tc>
          <w:tcPr>
            <w:tcW w:w="220" w:type="dxa"/>
            <w:vAlign w:val="bottom"/>
            <w:tcBorders>
              <w:right w:val="single" w:sz="8" w:color="auto"/>
            </w:tcBorders>
          </w:tcPr>
          <w:p>
            <w:pPr>
              <w:spacing w:after="0"/>
              <w:rPr>
                <w:sz w:val="22"/>
                <w:szCs w:val="22"/>
                <w:color w:val="auto"/>
              </w:rPr>
            </w:pPr>
          </w:p>
        </w:tc>
        <w:tc>
          <w:tcPr>
            <w:tcW w:w="5480" w:type="dxa"/>
            <w:vAlign w:val="bottom"/>
            <w:tcBorders>
              <w:right w:val="single" w:sz="8" w:color="auto"/>
            </w:tcBorders>
            <w:gridSpan w:val="2"/>
          </w:tcPr>
          <w:p>
            <w:pPr>
              <w:ind w:left="60"/>
              <w:spacing w:after="0"/>
              <w:rPr>
                <w:sz w:val="20"/>
                <w:szCs w:val="20"/>
                <w:color w:val="auto"/>
              </w:rPr>
            </w:pPr>
            <w:r>
              <w:rPr>
                <w:rFonts w:ascii="Arial" w:cs="Arial" w:eastAsia="Arial" w:hAnsi="Arial"/>
                <w:sz w:val="18"/>
                <w:szCs w:val="18"/>
                <w:color w:val="auto"/>
              </w:rPr>
              <w:t>Le  conseil  d'administration  peut  déléguer  à  un  ou  plusieurs</w:t>
            </w:r>
          </w:p>
        </w:tc>
        <w:tc>
          <w:tcPr>
            <w:tcW w:w="0" w:type="dxa"/>
            <w:vAlign w:val="bottom"/>
          </w:tcPr>
          <w:p>
            <w:pPr>
              <w:spacing w:after="0"/>
              <w:rPr>
                <w:sz w:val="1"/>
                <w:szCs w:val="1"/>
                <w:color w:val="auto"/>
              </w:rPr>
            </w:pPr>
          </w:p>
        </w:tc>
      </w:tr>
      <w:tr>
        <w:trPr>
          <w:trHeight w:val="203"/>
        </w:trPr>
        <w:tc>
          <w:tcPr>
            <w:tcW w:w="5540" w:type="dxa"/>
            <w:vAlign w:val="bottom"/>
            <w:tcBorders>
              <w:left w:val="single" w:sz="8" w:color="auto"/>
              <w:right w:val="single" w:sz="8" w:color="auto"/>
            </w:tcBorders>
            <w:gridSpan w:val="2"/>
          </w:tcPr>
          <w:p>
            <w:pPr>
              <w:ind w:left="100"/>
              <w:spacing w:after="0" w:line="202" w:lineRule="exact"/>
              <w:rPr>
                <w:sz w:val="20"/>
                <w:szCs w:val="20"/>
                <w:color w:val="auto"/>
              </w:rPr>
            </w:pPr>
            <w:r>
              <w:rPr>
                <w:rFonts w:ascii="Arial" w:cs="Arial" w:eastAsia="Arial" w:hAnsi="Arial"/>
                <w:sz w:val="18"/>
                <w:szCs w:val="18"/>
                <w:color w:val="auto"/>
              </w:rPr>
              <w:t>implementing  its  resolutions  or  monitoring  transactions  to</w:t>
            </w:r>
          </w:p>
        </w:tc>
        <w:tc>
          <w:tcPr>
            <w:tcW w:w="22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gridSpan w:val="2"/>
          </w:tcPr>
          <w:p>
            <w:pPr>
              <w:ind w:left="60"/>
              <w:spacing w:after="0" w:line="202" w:lineRule="exact"/>
              <w:rPr>
                <w:sz w:val="20"/>
                <w:szCs w:val="20"/>
                <w:color w:val="auto"/>
              </w:rPr>
            </w:pPr>
            <w:r>
              <w:rPr>
                <w:rFonts w:ascii="Arial" w:cs="Arial" w:eastAsia="Arial" w:hAnsi="Arial"/>
                <w:sz w:val="18"/>
                <w:szCs w:val="18"/>
                <w:color w:val="auto"/>
              </w:rPr>
              <w:t>membres,  regroupés  en  comités,  la  charge  de  préparer  et</w:t>
            </w:r>
          </w:p>
        </w:tc>
        <w:tc>
          <w:tcPr>
            <w:tcW w:w="0" w:type="dxa"/>
            <w:vAlign w:val="bottom"/>
          </w:tcPr>
          <w:p>
            <w:pPr>
              <w:spacing w:after="0"/>
              <w:rPr>
                <w:sz w:val="1"/>
                <w:szCs w:val="1"/>
                <w:color w:val="auto"/>
              </w:rPr>
            </w:pPr>
          </w:p>
        </w:tc>
      </w:tr>
      <w:tr>
        <w:trPr>
          <w:trHeight w:val="203"/>
        </w:trPr>
        <w:tc>
          <w:tcPr>
            <w:tcW w:w="5540" w:type="dxa"/>
            <w:vAlign w:val="bottom"/>
            <w:tcBorders>
              <w:left w:val="single" w:sz="8" w:color="auto"/>
              <w:right w:val="single" w:sz="8" w:color="auto"/>
            </w:tcBorders>
            <w:gridSpan w:val="2"/>
          </w:tcPr>
          <w:p>
            <w:pPr>
              <w:ind w:left="100"/>
              <w:spacing w:after="0" w:line="202" w:lineRule="exact"/>
              <w:rPr>
                <w:sz w:val="20"/>
                <w:szCs w:val="20"/>
                <w:color w:val="auto"/>
              </w:rPr>
            </w:pPr>
            <w:r>
              <w:rPr>
                <w:rFonts w:ascii="Arial" w:cs="Arial" w:eastAsia="Arial" w:hAnsi="Arial"/>
                <w:sz w:val="18"/>
                <w:szCs w:val="18"/>
                <w:color w:val="auto"/>
              </w:rPr>
              <w:t>committees or individual members. It must ensure appropriate</w:t>
            </w:r>
          </w:p>
        </w:tc>
        <w:tc>
          <w:tcPr>
            <w:tcW w:w="22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gridSpan w:val="2"/>
          </w:tcPr>
          <w:p>
            <w:pPr>
              <w:ind w:left="60"/>
              <w:spacing w:after="0" w:line="202" w:lineRule="exact"/>
              <w:rPr>
                <w:sz w:val="20"/>
                <w:szCs w:val="20"/>
                <w:color w:val="auto"/>
              </w:rPr>
            </w:pPr>
            <w:r>
              <w:rPr>
                <w:rFonts w:ascii="Arial" w:cs="Arial" w:eastAsia="Arial" w:hAnsi="Arial"/>
                <w:sz w:val="18"/>
                <w:szCs w:val="18"/>
                <w:color w:val="auto"/>
              </w:rPr>
              <w:t>d'exécuter ses décisions ou de surveiller certaines affaires. Il veille</w:t>
            </w:r>
          </w:p>
        </w:tc>
        <w:tc>
          <w:tcPr>
            <w:tcW w:w="0" w:type="dxa"/>
            <w:vAlign w:val="bottom"/>
          </w:tcPr>
          <w:p>
            <w:pPr>
              <w:spacing w:after="0"/>
              <w:rPr>
                <w:sz w:val="1"/>
                <w:szCs w:val="1"/>
                <w:color w:val="auto"/>
              </w:rPr>
            </w:pPr>
          </w:p>
        </w:tc>
      </w:tr>
      <w:tr>
        <w:trPr>
          <w:trHeight w:val="217"/>
        </w:trPr>
        <w:tc>
          <w:tcPr>
            <w:tcW w:w="5540" w:type="dxa"/>
            <w:vAlign w:val="bottom"/>
            <w:tcBorders>
              <w:left w:val="single" w:sz="8" w:color="auto"/>
              <w:right w:val="single" w:sz="8" w:color="auto"/>
            </w:tcBorders>
            <w:gridSpan w:val="2"/>
          </w:tcPr>
          <w:p>
            <w:pPr>
              <w:ind w:left="100"/>
              <w:spacing w:after="0"/>
              <w:rPr>
                <w:sz w:val="20"/>
                <w:szCs w:val="20"/>
                <w:color w:val="auto"/>
              </w:rPr>
            </w:pPr>
            <w:r>
              <w:rPr>
                <w:rFonts w:ascii="Arial" w:cs="Arial" w:eastAsia="Arial" w:hAnsi="Arial"/>
                <w:sz w:val="18"/>
                <w:szCs w:val="18"/>
                <w:color w:val="auto"/>
              </w:rPr>
              <w:t>reporting to its members.</w:t>
            </w:r>
          </w:p>
        </w:tc>
        <w:tc>
          <w:tcPr>
            <w:tcW w:w="220" w:type="dxa"/>
            <w:vAlign w:val="bottom"/>
            <w:tcBorders>
              <w:right w:val="single" w:sz="8" w:color="auto"/>
            </w:tcBorders>
          </w:tcPr>
          <w:p>
            <w:pPr>
              <w:spacing w:after="0"/>
              <w:rPr>
                <w:sz w:val="18"/>
                <w:szCs w:val="18"/>
                <w:color w:val="auto"/>
              </w:rPr>
            </w:pPr>
          </w:p>
        </w:tc>
        <w:tc>
          <w:tcPr>
            <w:tcW w:w="5480" w:type="dxa"/>
            <w:vAlign w:val="bottom"/>
            <w:tcBorders>
              <w:right w:val="single" w:sz="8" w:color="auto"/>
            </w:tcBorders>
            <w:gridSpan w:val="2"/>
          </w:tcPr>
          <w:p>
            <w:pPr>
              <w:ind w:left="60"/>
              <w:spacing w:after="0"/>
              <w:rPr>
                <w:sz w:val="20"/>
                <w:szCs w:val="20"/>
                <w:color w:val="auto"/>
              </w:rPr>
            </w:pPr>
            <w:r>
              <w:rPr>
                <w:rFonts w:ascii="Arial" w:cs="Arial" w:eastAsia="Arial" w:hAnsi="Arial"/>
                <w:sz w:val="18"/>
                <w:szCs w:val="18"/>
                <w:color w:val="auto"/>
              </w:rPr>
              <w:t>à ce que ses membres soient convenablement informés.</w:t>
            </w:r>
          </w:p>
        </w:tc>
        <w:tc>
          <w:tcPr>
            <w:tcW w:w="0" w:type="dxa"/>
            <w:vAlign w:val="bottom"/>
          </w:tcPr>
          <w:p>
            <w:pPr>
              <w:spacing w:after="0"/>
              <w:rPr>
                <w:sz w:val="1"/>
                <w:szCs w:val="1"/>
                <w:color w:val="auto"/>
              </w:rPr>
            </w:pPr>
          </w:p>
        </w:tc>
      </w:tr>
      <w:tr>
        <w:trPr>
          <w:trHeight w:val="54"/>
        </w:trPr>
        <w:tc>
          <w:tcPr>
            <w:tcW w:w="5540" w:type="dxa"/>
            <w:vAlign w:val="bottom"/>
            <w:tcBorders>
              <w:left w:val="single" w:sz="8" w:color="auto"/>
              <w:bottom w:val="single" w:sz="8" w:color="auto"/>
              <w:right w:val="single" w:sz="8" w:color="auto"/>
            </w:tcBorders>
            <w:gridSpan w:val="2"/>
          </w:tcPr>
          <w:p>
            <w:pPr>
              <w:spacing w:after="0"/>
              <w:rPr>
                <w:sz w:val="4"/>
                <w:szCs w:val="4"/>
                <w:color w:val="auto"/>
              </w:rPr>
            </w:pPr>
          </w:p>
        </w:tc>
        <w:tc>
          <w:tcPr>
            <w:tcW w:w="220" w:type="dxa"/>
            <w:vAlign w:val="bottom"/>
            <w:tcBorders>
              <w:bottom w:val="single" w:sz="8" w:color="auto"/>
              <w:right w:val="single" w:sz="8" w:color="auto"/>
            </w:tcBorders>
          </w:tcPr>
          <w:p>
            <w:pPr>
              <w:spacing w:after="0"/>
              <w:rPr>
                <w:sz w:val="4"/>
                <w:szCs w:val="4"/>
                <w:color w:val="auto"/>
              </w:rPr>
            </w:pPr>
          </w:p>
        </w:tc>
        <w:tc>
          <w:tcPr>
            <w:tcW w:w="5480" w:type="dxa"/>
            <w:vAlign w:val="bottom"/>
            <w:tcBorders>
              <w:bottom w:val="single" w:sz="8" w:color="auto"/>
              <w:right w:val="single" w:sz="8" w:color="auto"/>
            </w:tcBorders>
            <w:gridSpan w:val="2"/>
          </w:tcPr>
          <w:p>
            <w:pPr>
              <w:spacing w:after="0"/>
              <w:rPr>
                <w:sz w:val="4"/>
                <w:szCs w:val="4"/>
                <w:color w:val="auto"/>
              </w:rPr>
            </w:pPr>
          </w:p>
        </w:tc>
        <w:tc>
          <w:tcPr>
            <w:tcW w:w="0" w:type="dxa"/>
            <w:vAlign w:val="bottom"/>
          </w:tcPr>
          <w:p>
            <w:pPr>
              <w:spacing w:after="0"/>
              <w:rPr>
                <w:sz w:val="1"/>
                <w:szCs w:val="1"/>
                <w:color w:val="auto"/>
              </w:rPr>
            </w:pPr>
          </w:p>
        </w:tc>
      </w:tr>
      <w:tr>
        <w:trPr>
          <w:trHeight w:val="277"/>
        </w:trPr>
        <w:tc>
          <w:tcPr>
            <w:tcW w:w="5540" w:type="dxa"/>
            <w:vAlign w:val="bottom"/>
            <w:tcBorders>
              <w:left w:val="single" w:sz="8" w:color="auto"/>
              <w:right w:val="single" w:sz="8" w:color="auto"/>
            </w:tcBorders>
            <w:gridSpan w:val="2"/>
          </w:tcPr>
          <w:p>
            <w:pPr>
              <w:ind w:left="100"/>
              <w:spacing w:after="0"/>
              <w:rPr>
                <w:sz w:val="20"/>
                <w:szCs w:val="20"/>
                <w:color w:val="auto"/>
              </w:rPr>
            </w:pPr>
            <w:r>
              <w:rPr>
                <w:rFonts w:ascii="Arial" w:cs="Arial" w:eastAsia="Arial" w:hAnsi="Arial"/>
                <w:sz w:val="18"/>
                <w:szCs w:val="18"/>
                <w:b w:val="1"/>
                <w:bCs w:val="1"/>
                <w:color w:val="auto"/>
              </w:rPr>
              <w:t>Art. 24 Representation of the Company</w:t>
            </w:r>
          </w:p>
        </w:tc>
        <w:tc>
          <w:tcPr>
            <w:tcW w:w="220" w:type="dxa"/>
            <w:vAlign w:val="bottom"/>
            <w:tcBorders>
              <w:right w:val="single" w:sz="8" w:color="auto"/>
            </w:tcBorders>
          </w:tcPr>
          <w:p>
            <w:pPr>
              <w:spacing w:after="0"/>
              <w:rPr>
                <w:sz w:val="24"/>
                <w:szCs w:val="24"/>
                <w:color w:val="auto"/>
              </w:rPr>
            </w:pPr>
          </w:p>
        </w:tc>
        <w:tc>
          <w:tcPr>
            <w:tcW w:w="5480" w:type="dxa"/>
            <w:vAlign w:val="bottom"/>
            <w:tcBorders>
              <w:right w:val="single" w:sz="8" w:color="auto"/>
            </w:tcBorders>
            <w:gridSpan w:val="2"/>
          </w:tcPr>
          <w:p>
            <w:pPr>
              <w:ind w:left="60"/>
              <w:spacing w:after="0"/>
              <w:rPr>
                <w:sz w:val="20"/>
                <w:szCs w:val="20"/>
                <w:color w:val="auto"/>
              </w:rPr>
            </w:pPr>
            <w:r>
              <w:rPr>
                <w:rFonts w:ascii="Arial" w:cs="Arial" w:eastAsia="Arial" w:hAnsi="Arial"/>
                <w:sz w:val="18"/>
                <w:szCs w:val="18"/>
                <w:b w:val="1"/>
                <w:bCs w:val="1"/>
                <w:color w:val="auto"/>
              </w:rPr>
              <w:t>Art. 24 Représentation de la société</w:t>
            </w:r>
          </w:p>
        </w:tc>
        <w:tc>
          <w:tcPr>
            <w:tcW w:w="0" w:type="dxa"/>
            <w:vAlign w:val="bottom"/>
          </w:tcPr>
          <w:p>
            <w:pPr>
              <w:spacing w:after="0"/>
              <w:rPr>
                <w:sz w:val="1"/>
                <w:szCs w:val="1"/>
                <w:color w:val="auto"/>
              </w:rPr>
            </w:pPr>
          </w:p>
        </w:tc>
      </w:tr>
      <w:tr>
        <w:trPr>
          <w:trHeight w:val="391"/>
        </w:trPr>
        <w:tc>
          <w:tcPr>
            <w:tcW w:w="5540" w:type="dxa"/>
            <w:vAlign w:val="bottom"/>
            <w:tcBorders>
              <w:left w:val="single" w:sz="8" w:color="auto"/>
              <w:right w:val="single" w:sz="8" w:color="auto"/>
            </w:tcBorders>
            <w:gridSpan w:val="2"/>
          </w:tcPr>
          <w:p>
            <w:pPr>
              <w:ind w:left="100"/>
              <w:spacing w:after="0"/>
              <w:rPr>
                <w:sz w:val="20"/>
                <w:szCs w:val="20"/>
                <w:color w:val="auto"/>
              </w:rPr>
            </w:pPr>
            <w:r>
              <w:rPr>
                <w:rFonts w:ascii="Arial" w:cs="Arial" w:eastAsia="Arial" w:hAnsi="Arial"/>
                <w:sz w:val="18"/>
                <w:szCs w:val="18"/>
                <w:color w:val="auto"/>
              </w:rPr>
              <w:t>The Board of Directors shall assign the persons with signatory</w:t>
            </w:r>
          </w:p>
        </w:tc>
        <w:tc>
          <w:tcPr>
            <w:tcW w:w="220" w:type="dxa"/>
            <w:vAlign w:val="bottom"/>
            <w:tcBorders>
              <w:right w:val="single" w:sz="8" w:color="auto"/>
            </w:tcBorders>
          </w:tcPr>
          <w:p>
            <w:pPr>
              <w:spacing w:after="0"/>
              <w:rPr>
                <w:sz w:val="24"/>
                <w:szCs w:val="24"/>
                <w:color w:val="auto"/>
              </w:rPr>
            </w:pPr>
          </w:p>
        </w:tc>
        <w:tc>
          <w:tcPr>
            <w:tcW w:w="5480" w:type="dxa"/>
            <w:vAlign w:val="bottom"/>
            <w:tcBorders>
              <w:right w:val="single" w:sz="8" w:color="auto"/>
            </w:tcBorders>
            <w:gridSpan w:val="2"/>
          </w:tcPr>
          <w:p>
            <w:pPr>
              <w:ind w:left="60"/>
              <w:spacing w:after="0"/>
              <w:rPr>
                <w:sz w:val="20"/>
                <w:szCs w:val="20"/>
                <w:color w:val="auto"/>
              </w:rPr>
            </w:pPr>
            <w:r>
              <w:rPr>
                <w:rFonts w:ascii="Arial" w:cs="Arial" w:eastAsia="Arial" w:hAnsi="Arial"/>
                <w:sz w:val="18"/>
                <w:szCs w:val="18"/>
                <w:color w:val="auto"/>
              </w:rPr>
              <w:t>Le  conseil  d'administration  nomme  les  personnes  pouvant</w:t>
            </w:r>
          </w:p>
        </w:tc>
        <w:tc>
          <w:tcPr>
            <w:tcW w:w="0" w:type="dxa"/>
            <w:vAlign w:val="bottom"/>
          </w:tcPr>
          <w:p>
            <w:pPr>
              <w:spacing w:after="0"/>
              <w:rPr>
                <w:sz w:val="1"/>
                <w:szCs w:val="1"/>
                <w:color w:val="auto"/>
              </w:rPr>
            </w:pPr>
          </w:p>
        </w:tc>
      </w:tr>
      <w:tr>
        <w:trPr>
          <w:trHeight w:val="217"/>
        </w:trPr>
        <w:tc>
          <w:tcPr>
            <w:tcW w:w="5540" w:type="dxa"/>
            <w:vAlign w:val="bottom"/>
            <w:tcBorders>
              <w:left w:val="single" w:sz="8" w:color="auto"/>
              <w:right w:val="single" w:sz="8" w:color="auto"/>
            </w:tcBorders>
            <w:gridSpan w:val="2"/>
          </w:tcPr>
          <w:p>
            <w:pPr>
              <w:ind w:left="100"/>
              <w:spacing w:after="0"/>
              <w:rPr>
                <w:sz w:val="20"/>
                <w:szCs w:val="20"/>
                <w:color w:val="auto"/>
              </w:rPr>
            </w:pPr>
            <w:r>
              <w:rPr>
                <w:rFonts w:ascii="Arial" w:cs="Arial" w:eastAsia="Arial" w:hAnsi="Arial"/>
                <w:sz w:val="18"/>
                <w:szCs w:val="18"/>
                <w:color w:val="auto"/>
              </w:rPr>
              <w:t>power for the company and the kind of signatory power.</w:t>
            </w:r>
          </w:p>
        </w:tc>
        <w:tc>
          <w:tcPr>
            <w:tcW w:w="220" w:type="dxa"/>
            <w:vAlign w:val="bottom"/>
            <w:tcBorders>
              <w:right w:val="single" w:sz="8" w:color="auto"/>
            </w:tcBorders>
          </w:tcPr>
          <w:p>
            <w:pPr>
              <w:spacing w:after="0"/>
              <w:rPr>
                <w:sz w:val="18"/>
                <w:szCs w:val="18"/>
                <w:color w:val="auto"/>
              </w:rPr>
            </w:pPr>
          </w:p>
        </w:tc>
        <w:tc>
          <w:tcPr>
            <w:tcW w:w="5480" w:type="dxa"/>
            <w:vAlign w:val="bottom"/>
            <w:tcBorders>
              <w:right w:val="single" w:sz="8" w:color="auto"/>
            </w:tcBorders>
            <w:gridSpan w:val="2"/>
          </w:tcPr>
          <w:p>
            <w:pPr>
              <w:ind w:left="60"/>
              <w:spacing w:after="0"/>
              <w:rPr>
                <w:sz w:val="20"/>
                <w:szCs w:val="20"/>
                <w:color w:val="auto"/>
              </w:rPr>
            </w:pPr>
            <w:r>
              <w:rPr>
                <w:rFonts w:ascii="Arial" w:cs="Arial" w:eastAsia="Arial" w:hAnsi="Arial"/>
                <w:sz w:val="18"/>
                <w:szCs w:val="18"/>
                <w:color w:val="auto"/>
              </w:rPr>
              <w:t>représenter la société ainsi que le mode de signature.</w:t>
            </w:r>
          </w:p>
        </w:tc>
        <w:tc>
          <w:tcPr>
            <w:tcW w:w="0" w:type="dxa"/>
            <w:vAlign w:val="bottom"/>
          </w:tcPr>
          <w:p>
            <w:pPr>
              <w:spacing w:after="0"/>
              <w:rPr>
                <w:sz w:val="1"/>
                <w:szCs w:val="1"/>
                <w:color w:val="auto"/>
              </w:rPr>
            </w:pPr>
          </w:p>
        </w:tc>
      </w:tr>
      <w:tr>
        <w:trPr>
          <w:trHeight w:val="54"/>
        </w:trPr>
        <w:tc>
          <w:tcPr>
            <w:tcW w:w="360" w:type="dxa"/>
            <w:vAlign w:val="bottom"/>
            <w:tcBorders>
              <w:left w:val="single" w:sz="8" w:color="auto"/>
              <w:bottom w:val="single" w:sz="8" w:color="auto"/>
            </w:tcBorders>
          </w:tcPr>
          <w:p>
            <w:pPr>
              <w:spacing w:after="0"/>
              <w:rPr>
                <w:sz w:val="4"/>
                <w:szCs w:val="4"/>
                <w:color w:val="auto"/>
              </w:rPr>
            </w:pPr>
          </w:p>
        </w:tc>
        <w:tc>
          <w:tcPr>
            <w:tcW w:w="5180" w:type="dxa"/>
            <w:vAlign w:val="bottom"/>
            <w:tcBorders>
              <w:bottom w:val="single" w:sz="8" w:color="auto"/>
              <w:right w:val="single" w:sz="8" w:color="auto"/>
            </w:tcBorders>
          </w:tcPr>
          <w:p>
            <w:pPr>
              <w:spacing w:after="0"/>
              <w:rPr>
                <w:sz w:val="4"/>
                <w:szCs w:val="4"/>
                <w:color w:val="auto"/>
              </w:rPr>
            </w:pPr>
          </w:p>
        </w:tc>
        <w:tc>
          <w:tcPr>
            <w:tcW w:w="220" w:type="dxa"/>
            <w:vAlign w:val="bottom"/>
            <w:tcBorders>
              <w:bottom w:val="single" w:sz="8" w:color="auto"/>
              <w:right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518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6"/>
        </w:trPr>
        <w:tc>
          <w:tcPr>
            <w:tcW w:w="360" w:type="dxa"/>
            <w:vAlign w:val="bottom"/>
            <w:tcBorders>
              <w:bottom w:val="single" w:sz="8" w:color="auto"/>
            </w:tcBorders>
          </w:tcPr>
          <w:p>
            <w:pPr>
              <w:spacing w:after="0"/>
              <w:rPr>
                <w:sz w:val="20"/>
                <w:szCs w:val="20"/>
                <w:color w:val="auto"/>
              </w:rPr>
            </w:pPr>
          </w:p>
        </w:tc>
        <w:tc>
          <w:tcPr>
            <w:tcW w:w="51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51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249" w:right="339" w:bottom="1440" w:gutter="0" w:footer="0" w:header="0"/>
        </w:sectPr>
      </w:pPr>
    </w:p>
    <w:bookmarkStart w:id="57" w:name="page58"/>
    <w:bookmarkEnd w:id="57"/>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187"/>
        </w:trPr>
        <w:tc>
          <w:tcPr>
            <w:tcW w:w="554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5480" w:type="dxa"/>
            <w:vAlign w:val="bottom"/>
            <w:tcBorders>
              <w:bottom w:val="single" w:sz="8" w:color="auto"/>
            </w:tcBorders>
          </w:tcPr>
          <w:p>
            <w:pPr>
              <w:ind w:left="5260"/>
              <w:spacing w:after="0"/>
              <w:rPr>
                <w:sz w:val="20"/>
                <w:szCs w:val="20"/>
                <w:color w:val="auto"/>
              </w:rPr>
            </w:pPr>
            <w:r>
              <w:rPr>
                <w:rFonts w:ascii="Arial" w:cs="Arial" w:eastAsia="Arial" w:hAnsi="Arial"/>
                <w:sz w:val="16"/>
                <w:szCs w:val="16"/>
                <w:color w:val="auto"/>
              </w:rPr>
              <w:t>19</w:t>
            </w:r>
          </w:p>
        </w:tc>
      </w:tr>
      <w:tr>
        <w:trPr>
          <w:trHeight w:val="277"/>
        </w:trPr>
        <w:tc>
          <w:tcPr>
            <w:tcW w:w="554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b w:val="1"/>
                <w:bCs w:val="1"/>
                <w:color w:val="auto"/>
              </w:rPr>
              <w:t>Art. 25 Delegation</w:t>
            </w:r>
          </w:p>
        </w:tc>
        <w:tc>
          <w:tcPr>
            <w:tcW w:w="220" w:type="dxa"/>
            <w:vAlign w:val="bottom"/>
            <w:tcBorders>
              <w:right w:val="single" w:sz="8" w:color="auto"/>
            </w:tcBorders>
          </w:tcPr>
          <w:p>
            <w:pPr>
              <w:spacing w:after="0"/>
              <w:rPr>
                <w:sz w:val="24"/>
                <w:szCs w:val="24"/>
                <w:color w:val="auto"/>
              </w:rPr>
            </w:pPr>
          </w:p>
        </w:tc>
        <w:tc>
          <w:tcPr>
            <w:tcW w:w="5480" w:type="dxa"/>
            <w:vAlign w:val="bottom"/>
            <w:tcBorders>
              <w:right w:val="single" w:sz="8" w:color="auto"/>
            </w:tcBorders>
          </w:tcPr>
          <w:p>
            <w:pPr>
              <w:ind w:left="60"/>
              <w:spacing w:after="0"/>
              <w:rPr>
                <w:sz w:val="20"/>
                <w:szCs w:val="20"/>
                <w:color w:val="auto"/>
              </w:rPr>
            </w:pPr>
            <w:r>
              <w:rPr>
                <w:rFonts w:ascii="Arial" w:cs="Arial" w:eastAsia="Arial" w:hAnsi="Arial"/>
                <w:sz w:val="18"/>
                <w:szCs w:val="18"/>
                <w:b w:val="1"/>
                <w:bCs w:val="1"/>
                <w:color w:val="auto"/>
              </w:rPr>
              <w:t>Art. 25 Délégation</w:t>
            </w:r>
          </w:p>
        </w:tc>
      </w:tr>
      <w:tr>
        <w:trPr>
          <w:trHeight w:val="391"/>
        </w:trPr>
        <w:tc>
          <w:tcPr>
            <w:tcW w:w="554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Moreover, the Board of Directors is authorized to delegate, in part</w:t>
            </w:r>
          </w:p>
        </w:tc>
        <w:tc>
          <w:tcPr>
            <w:tcW w:w="220" w:type="dxa"/>
            <w:vAlign w:val="bottom"/>
            <w:tcBorders>
              <w:right w:val="single" w:sz="8" w:color="auto"/>
            </w:tcBorders>
          </w:tcPr>
          <w:p>
            <w:pPr>
              <w:spacing w:after="0"/>
              <w:rPr>
                <w:sz w:val="24"/>
                <w:szCs w:val="24"/>
                <w:color w:val="auto"/>
              </w:rPr>
            </w:pPr>
          </w:p>
        </w:tc>
        <w:tc>
          <w:tcPr>
            <w:tcW w:w="548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En outre, le conseil d'administration peut, dans les limites de la loi,</w:t>
            </w:r>
          </w:p>
        </w:tc>
      </w:tr>
      <w:tr>
        <w:trPr>
          <w:trHeight w:val="203"/>
        </w:trPr>
        <w:tc>
          <w:tcPr>
            <w:tcW w:w="5540" w:type="dxa"/>
            <w:vAlign w:val="bottom"/>
            <w:tcBorders>
              <w:left w:val="single" w:sz="8" w:color="auto"/>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or  entirely,  the  management  and  the  representation  of  the</w:t>
            </w:r>
          </w:p>
        </w:tc>
        <w:tc>
          <w:tcPr>
            <w:tcW w:w="22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déléguer, en partie ou entièrement, la gestion et la représentation</w:t>
            </w:r>
          </w:p>
        </w:tc>
      </w:tr>
      <w:tr>
        <w:trPr>
          <w:trHeight w:val="203"/>
        </w:trPr>
        <w:tc>
          <w:tcPr>
            <w:tcW w:w="5540" w:type="dxa"/>
            <w:vAlign w:val="bottom"/>
            <w:tcBorders>
              <w:left w:val="single" w:sz="8" w:color="auto"/>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Company, within the limits of the law, to one or more individual</w:t>
            </w:r>
          </w:p>
        </w:tc>
        <w:tc>
          <w:tcPr>
            <w:tcW w:w="22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de la société à un ou plusieurs administrateurs (délégués) ou à</w:t>
            </w:r>
          </w:p>
        </w:tc>
      </w:tr>
      <w:tr>
        <w:trPr>
          <w:trHeight w:val="203"/>
        </w:trPr>
        <w:tc>
          <w:tcPr>
            <w:tcW w:w="5540" w:type="dxa"/>
            <w:vAlign w:val="bottom"/>
            <w:tcBorders>
              <w:left w:val="single" w:sz="8" w:color="auto"/>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directors (Delegates) or to third parties pursuant to organizational</w:t>
            </w:r>
          </w:p>
        </w:tc>
        <w:tc>
          <w:tcPr>
            <w:tcW w:w="22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des tiers conformément au règlement d'organisation.</w:t>
            </w:r>
          </w:p>
        </w:tc>
      </w:tr>
      <w:tr>
        <w:trPr>
          <w:trHeight w:val="217"/>
        </w:trPr>
        <w:tc>
          <w:tcPr>
            <w:tcW w:w="554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regulations.</w:t>
            </w:r>
          </w:p>
        </w:tc>
        <w:tc>
          <w:tcPr>
            <w:tcW w:w="220" w:type="dxa"/>
            <w:vAlign w:val="bottom"/>
            <w:tcBorders>
              <w:right w:val="single" w:sz="8" w:color="auto"/>
            </w:tcBorders>
          </w:tcPr>
          <w:p>
            <w:pPr>
              <w:spacing w:after="0"/>
              <w:rPr>
                <w:sz w:val="18"/>
                <w:szCs w:val="18"/>
                <w:color w:val="auto"/>
              </w:rPr>
            </w:pPr>
          </w:p>
        </w:tc>
        <w:tc>
          <w:tcPr>
            <w:tcW w:w="5480" w:type="dxa"/>
            <w:vAlign w:val="bottom"/>
            <w:tcBorders>
              <w:right w:val="single" w:sz="8" w:color="auto"/>
            </w:tcBorders>
          </w:tcPr>
          <w:p>
            <w:pPr>
              <w:spacing w:after="0"/>
              <w:rPr>
                <w:sz w:val="18"/>
                <w:szCs w:val="18"/>
                <w:color w:val="auto"/>
              </w:rPr>
            </w:pPr>
          </w:p>
        </w:tc>
      </w:tr>
      <w:tr>
        <w:trPr>
          <w:trHeight w:val="54"/>
        </w:trPr>
        <w:tc>
          <w:tcPr>
            <w:tcW w:w="5540" w:type="dxa"/>
            <w:vAlign w:val="bottom"/>
            <w:tcBorders>
              <w:left w:val="single" w:sz="8" w:color="auto"/>
              <w:bottom w:val="single" w:sz="8" w:color="auto"/>
              <w:right w:val="single" w:sz="8" w:color="auto"/>
            </w:tcBorders>
          </w:tcPr>
          <w:p>
            <w:pPr>
              <w:spacing w:after="0"/>
              <w:rPr>
                <w:sz w:val="4"/>
                <w:szCs w:val="4"/>
                <w:color w:val="auto"/>
              </w:rPr>
            </w:pPr>
          </w:p>
        </w:tc>
        <w:tc>
          <w:tcPr>
            <w:tcW w:w="220" w:type="dxa"/>
            <w:vAlign w:val="bottom"/>
            <w:tcBorders>
              <w:bottom w:val="single" w:sz="8" w:color="auto"/>
              <w:right w:val="single" w:sz="8" w:color="auto"/>
            </w:tcBorders>
          </w:tcPr>
          <w:p>
            <w:pPr>
              <w:spacing w:after="0"/>
              <w:rPr>
                <w:sz w:val="4"/>
                <w:szCs w:val="4"/>
                <w:color w:val="auto"/>
              </w:rPr>
            </w:pPr>
          </w:p>
        </w:tc>
        <w:tc>
          <w:tcPr>
            <w:tcW w:w="5480" w:type="dxa"/>
            <w:vAlign w:val="bottom"/>
            <w:tcBorders>
              <w:bottom w:val="single" w:sz="8" w:color="auto"/>
              <w:right w:val="single" w:sz="8" w:color="auto"/>
            </w:tcBorders>
          </w:tcPr>
          <w:p>
            <w:pPr>
              <w:spacing w:after="0"/>
              <w:rPr>
                <w:sz w:val="4"/>
                <w:szCs w:val="4"/>
                <w:color w:val="auto"/>
              </w:rPr>
            </w:pPr>
          </w:p>
        </w:tc>
      </w:tr>
      <w:tr>
        <w:trPr>
          <w:trHeight w:val="277"/>
        </w:trPr>
        <w:tc>
          <w:tcPr>
            <w:tcW w:w="554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b w:val="1"/>
                <w:bCs w:val="1"/>
                <w:color w:val="auto"/>
              </w:rPr>
              <w:t>Art. 26 Meetings, Resolutions and Minutes</w:t>
            </w:r>
          </w:p>
        </w:tc>
        <w:tc>
          <w:tcPr>
            <w:tcW w:w="220" w:type="dxa"/>
            <w:vAlign w:val="bottom"/>
            <w:tcBorders>
              <w:right w:val="single" w:sz="8" w:color="auto"/>
            </w:tcBorders>
          </w:tcPr>
          <w:p>
            <w:pPr>
              <w:spacing w:after="0"/>
              <w:rPr>
                <w:sz w:val="24"/>
                <w:szCs w:val="24"/>
                <w:color w:val="auto"/>
              </w:rPr>
            </w:pPr>
          </w:p>
        </w:tc>
        <w:tc>
          <w:tcPr>
            <w:tcW w:w="5480" w:type="dxa"/>
            <w:vAlign w:val="bottom"/>
            <w:tcBorders>
              <w:right w:val="single" w:sz="8" w:color="auto"/>
            </w:tcBorders>
          </w:tcPr>
          <w:p>
            <w:pPr>
              <w:ind w:left="60"/>
              <w:spacing w:after="0"/>
              <w:rPr>
                <w:sz w:val="20"/>
                <w:szCs w:val="20"/>
                <w:color w:val="auto"/>
              </w:rPr>
            </w:pPr>
            <w:r>
              <w:rPr>
                <w:rFonts w:ascii="Arial" w:cs="Arial" w:eastAsia="Arial" w:hAnsi="Arial"/>
                <w:sz w:val="18"/>
                <w:szCs w:val="18"/>
                <w:b w:val="1"/>
                <w:bCs w:val="1"/>
                <w:color w:val="auto"/>
              </w:rPr>
              <w:t>Art. 26 Réunions, décisions et procès-verbal</w:t>
            </w:r>
          </w:p>
        </w:tc>
      </w:tr>
      <w:tr>
        <w:trPr>
          <w:trHeight w:val="391"/>
        </w:trPr>
        <w:tc>
          <w:tcPr>
            <w:tcW w:w="554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The organization of the meetings, the presence quorum and the</w:t>
            </w:r>
          </w:p>
        </w:tc>
        <w:tc>
          <w:tcPr>
            <w:tcW w:w="220" w:type="dxa"/>
            <w:vAlign w:val="bottom"/>
            <w:tcBorders>
              <w:right w:val="single" w:sz="8" w:color="auto"/>
            </w:tcBorders>
          </w:tcPr>
          <w:p>
            <w:pPr>
              <w:spacing w:after="0"/>
              <w:rPr>
                <w:sz w:val="24"/>
                <w:szCs w:val="24"/>
                <w:color w:val="auto"/>
              </w:rPr>
            </w:pPr>
          </w:p>
        </w:tc>
        <w:tc>
          <w:tcPr>
            <w:tcW w:w="548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L'organisation des réunions, le quorum de présence et l'adoption</w:t>
            </w:r>
          </w:p>
        </w:tc>
      </w:tr>
      <w:tr>
        <w:trPr>
          <w:trHeight w:val="203"/>
        </w:trPr>
        <w:tc>
          <w:tcPr>
            <w:tcW w:w="5540" w:type="dxa"/>
            <w:vAlign w:val="bottom"/>
            <w:tcBorders>
              <w:left w:val="single" w:sz="8" w:color="auto"/>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passing of resolutions of the Board of Directors is determined by</w:t>
            </w:r>
          </w:p>
        </w:tc>
        <w:tc>
          <w:tcPr>
            <w:tcW w:w="22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de décisions du conseil d'administration sont prévus dans le</w:t>
            </w:r>
          </w:p>
        </w:tc>
      </w:tr>
      <w:tr>
        <w:trPr>
          <w:trHeight w:val="203"/>
        </w:trPr>
        <w:tc>
          <w:tcPr>
            <w:tcW w:w="5540" w:type="dxa"/>
            <w:vAlign w:val="bottom"/>
            <w:tcBorders>
              <w:left w:val="single" w:sz="8" w:color="auto"/>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the organizational regulations. No presence quorum is required for</w:t>
            </w:r>
          </w:p>
        </w:tc>
        <w:tc>
          <w:tcPr>
            <w:tcW w:w="22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règlement  d'organisation.  Aucun  quorum  de  présence  n'est</w:t>
            </w:r>
          </w:p>
        </w:tc>
      </w:tr>
      <w:tr>
        <w:trPr>
          <w:trHeight w:val="203"/>
        </w:trPr>
        <w:tc>
          <w:tcPr>
            <w:tcW w:w="5540" w:type="dxa"/>
            <w:vAlign w:val="bottom"/>
            <w:tcBorders>
              <w:left w:val="single" w:sz="8" w:color="auto"/>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the approval of the capital increase.</w:t>
            </w:r>
          </w:p>
        </w:tc>
        <w:tc>
          <w:tcPr>
            <w:tcW w:w="22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nécessaire  pour  l'approbation  d'un  rapport  d'augmentation  de</w:t>
            </w:r>
          </w:p>
        </w:tc>
      </w:tr>
      <w:tr>
        <w:trPr>
          <w:trHeight w:val="217"/>
        </w:trPr>
        <w:tc>
          <w:tcPr>
            <w:tcW w:w="5540" w:type="dxa"/>
            <w:vAlign w:val="bottom"/>
            <w:tcBorders>
              <w:left w:val="single" w:sz="8" w:color="auto"/>
              <w:right w:val="single" w:sz="8" w:color="auto"/>
            </w:tcBorders>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548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capital.</w:t>
            </w:r>
          </w:p>
        </w:tc>
      </w:tr>
      <w:tr>
        <w:trPr>
          <w:trHeight w:val="54"/>
        </w:trPr>
        <w:tc>
          <w:tcPr>
            <w:tcW w:w="5540" w:type="dxa"/>
            <w:vAlign w:val="bottom"/>
            <w:tcBorders>
              <w:left w:val="single" w:sz="8" w:color="auto"/>
              <w:bottom w:val="single" w:sz="8" w:color="auto"/>
              <w:right w:val="single" w:sz="8" w:color="auto"/>
            </w:tcBorders>
          </w:tcPr>
          <w:p>
            <w:pPr>
              <w:spacing w:after="0"/>
              <w:rPr>
                <w:sz w:val="4"/>
                <w:szCs w:val="4"/>
                <w:color w:val="auto"/>
              </w:rPr>
            </w:pPr>
          </w:p>
        </w:tc>
        <w:tc>
          <w:tcPr>
            <w:tcW w:w="220" w:type="dxa"/>
            <w:vAlign w:val="bottom"/>
            <w:tcBorders>
              <w:bottom w:val="single" w:sz="8" w:color="auto"/>
              <w:right w:val="single" w:sz="8" w:color="auto"/>
            </w:tcBorders>
          </w:tcPr>
          <w:p>
            <w:pPr>
              <w:spacing w:after="0"/>
              <w:rPr>
                <w:sz w:val="4"/>
                <w:szCs w:val="4"/>
                <w:color w:val="auto"/>
              </w:rPr>
            </w:pPr>
          </w:p>
        </w:tc>
        <w:tc>
          <w:tcPr>
            <w:tcW w:w="5480" w:type="dxa"/>
            <w:vAlign w:val="bottom"/>
            <w:tcBorders>
              <w:bottom w:val="single" w:sz="8" w:color="auto"/>
              <w:right w:val="single" w:sz="8" w:color="auto"/>
            </w:tcBorders>
          </w:tcPr>
          <w:p>
            <w:pPr>
              <w:spacing w:after="0"/>
              <w:rPr>
                <w:sz w:val="4"/>
                <w:szCs w:val="4"/>
                <w:color w:val="auto"/>
              </w:rPr>
            </w:pPr>
          </w:p>
        </w:tc>
      </w:tr>
      <w:tr>
        <w:trPr>
          <w:trHeight w:val="263"/>
        </w:trPr>
        <w:tc>
          <w:tcPr>
            <w:tcW w:w="554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Resolutions may be passed via telephone or videoconference.</w:t>
            </w:r>
          </w:p>
        </w:tc>
        <w:tc>
          <w:tcPr>
            <w:tcW w:w="220" w:type="dxa"/>
            <w:vAlign w:val="bottom"/>
            <w:tcBorders>
              <w:right w:val="single" w:sz="8" w:color="auto"/>
            </w:tcBorders>
          </w:tcPr>
          <w:p>
            <w:pPr>
              <w:spacing w:after="0"/>
              <w:rPr>
                <w:sz w:val="22"/>
                <w:szCs w:val="22"/>
                <w:color w:val="auto"/>
              </w:rPr>
            </w:pPr>
          </w:p>
        </w:tc>
        <w:tc>
          <w:tcPr>
            <w:tcW w:w="548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Les décisions peuvent être prises par téléphone ou par</w:t>
            </w:r>
          </w:p>
        </w:tc>
      </w:tr>
      <w:tr>
        <w:trPr>
          <w:trHeight w:val="203"/>
        </w:trPr>
        <w:tc>
          <w:tcPr>
            <w:tcW w:w="5540" w:type="dxa"/>
            <w:vAlign w:val="bottom"/>
            <w:tcBorders>
              <w:left w:val="single" w:sz="8" w:color="auto"/>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Resolutions may also be passed by way of circulation, provided</w:t>
            </w:r>
          </w:p>
        </w:tc>
        <w:tc>
          <w:tcPr>
            <w:tcW w:w="22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vidéoconférence. Les décisions peuvent également être prises par</w:t>
            </w:r>
          </w:p>
        </w:tc>
      </w:tr>
      <w:tr>
        <w:trPr>
          <w:trHeight w:val="203"/>
        </w:trPr>
        <w:tc>
          <w:tcPr>
            <w:tcW w:w="5540" w:type="dxa"/>
            <w:vAlign w:val="bottom"/>
            <w:tcBorders>
              <w:left w:val="single" w:sz="8" w:color="auto"/>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that no member requests oral deliberation.</w:t>
            </w:r>
          </w:p>
        </w:tc>
        <w:tc>
          <w:tcPr>
            <w:tcW w:w="22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voie de circulation, à condition qu'aucun membre ne demande une</w:t>
            </w:r>
          </w:p>
        </w:tc>
      </w:tr>
      <w:tr>
        <w:trPr>
          <w:trHeight w:val="217"/>
        </w:trPr>
        <w:tc>
          <w:tcPr>
            <w:tcW w:w="5540" w:type="dxa"/>
            <w:vAlign w:val="bottom"/>
            <w:tcBorders>
              <w:left w:val="single" w:sz="8" w:color="auto"/>
              <w:right w:val="single" w:sz="8" w:color="auto"/>
            </w:tcBorders>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548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délibération orale.</w:t>
            </w:r>
          </w:p>
        </w:tc>
      </w:tr>
      <w:tr>
        <w:trPr>
          <w:trHeight w:val="54"/>
        </w:trPr>
        <w:tc>
          <w:tcPr>
            <w:tcW w:w="5540" w:type="dxa"/>
            <w:vAlign w:val="bottom"/>
            <w:tcBorders>
              <w:left w:val="single" w:sz="8" w:color="auto"/>
              <w:bottom w:val="single" w:sz="8" w:color="auto"/>
              <w:right w:val="single" w:sz="8" w:color="auto"/>
            </w:tcBorders>
          </w:tcPr>
          <w:p>
            <w:pPr>
              <w:spacing w:after="0"/>
              <w:rPr>
                <w:sz w:val="4"/>
                <w:szCs w:val="4"/>
                <w:color w:val="auto"/>
              </w:rPr>
            </w:pPr>
          </w:p>
        </w:tc>
        <w:tc>
          <w:tcPr>
            <w:tcW w:w="220" w:type="dxa"/>
            <w:vAlign w:val="bottom"/>
            <w:tcBorders>
              <w:bottom w:val="single" w:sz="8" w:color="auto"/>
              <w:right w:val="single" w:sz="8" w:color="auto"/>
            </w:tcBorders>
          </w:tcPr>
          <w:p>
            <w:pPr>
              <w:spacing w:after="0"/>
              <w:rPr>
                <w:sz w:val="4"/>
                <w:szCs w:val="4"/>
                <w:color w:val="auto"/>
              </w:rPr>
            </w:pPr>
          </w:p>
        </w:tc>
        <w:tc>
          <w:tcPr>
            <w:tcW w:w="5480" w:type="dxa"/>
            <w:vAlign w:val="bottom"/>
            <w:tcBorders>
              <w:bottom w:val="single" w:sz="8" w:color="auto"/>
              <w:right w:val="single" w:sz="8" w:color="auto"/>
            </w:tcBorders>
          </w:tcPr>
          <w:p>
            <w:pPr>
              <w:spacing w:after="0"/>
              <w:rPr>
                <w:sz w:val="4"/>
                <w:szCs w:val="4"/>
                <w:color w:val="auto"/>
              </w:rPr>
            </w:pPr>
          </w:p>
        </w:tc>
      </w:tr>
      <w:tr>
        <w:trPr>
          <w:trHeight w:val="263"/>
        </w:trPr>
        <w:tc>
          <w:tcPr>
            <w:tcW w:w="554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Minutes are kept of the board's discussions and resolutions and</w:t>
            </w:r>
          </w:p>
        </w:tc>
        <w:tc>
          <w:tcPr>
            <w:tcW w:w="220" w:type="dxa"/>
            <w:vAlign w:val="bottom"/>
            <w:tcBorders>
              <w:right w:val="single" w:sz="8" w:color="auto"/>
            </w:tcBorders>
          </w:tcPr>
          <w:p>
            <w:pPr>
              <w:spacing w:after="0"/>
              <w:rPr>
                <w:sz w:val="22"/>
                <w:szCs w:val="22"/>
                <w:color w:val="auto"/>
              </w:rPr>
            </w:pPr>
          </w:p>
        </w:tc>
        <w:tc>
          <w:tcPr>
            <w:tcW w:w="548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Les délibérations et les décisions du conseil d'administration sont</w:t>
            </w:r>
          </w:p>
        </w:tc>
      </w:tr>
      <w:tr>
        <w:trPr>
          <w:trHeight w:val="203"/>
        </w:trPr>
        <w:tc>
          <w:tcPr>
            <w:tcW w:w="5540" w:type="dxa"/>
            <w:vAlign w:val="bottom"/>
            <w:tcBorders>
              <w:left w:val="single" w:sz="8" w:color="auto"/>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signed by the chairman and the minute-taker.</w:t>
            </w:r>
          </w:p>
        </w:tc>
        <w:tc>
          <w:tcPr>
            <w:tcW w:w="22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consignées dans un procès-verbal signé par le président et le</w:t>
            </w:r>
          </w:p>
        </w:tc>
      </w:tr>
      <w:tr>
        <w:trPr>
          <w:trHeight w:val="217"/>
        </w:trPr>
        <w:tc>
          <w:tcPr>
            <w:tcW w:w="5540" w:type="dxa"/>
            <w:vAlign w:val="bottom"/>
            <w:tcBorders>
              <w:left w:val="single" w:sz="8" w:color="auto"/>
              <w:right w:val="single" w:sz="8" w:color="auto"/>
            </w:tcBorders>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548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rédacteur du procès-verbal.</w:t>
            </w:r>
          </w:p>
        </w:tc>
      </w:tr>
      <w:tr>
        <w:trPr>
          <w:trHeight w:val="54"/>
        </w:trPr>
        <w:tc>
          <w:tcPr>
            <w:tcW w:w="5540" w:type="dxa"/>
            <w:vAlign w:val="bottom"/>
            <w:tcBorders>
              <w:left w:val="single" w:sz="8" w:color="auto"/>
              <w:bottom w:val="single" w:sz="8" w:color="auto"/>
              <w:right w:val="single" w:sz="8" w:color="auto"/>
            </w:tcBorders>
          </w:tcPr>
          <w:p>
            <w:pPr>
              <w:spacing w:after="0"/>
              <w:rPr>
                <w:sz w:val="4"/>
                <w:szCs w:val="4"/>
                <w:color w:val="auto"/>
              </w:rPr>
            </w:pPr>
          </w:p>
        </w:tc>
        <w:tc>
          <w:tcPr>
            <w:tcW w:w="220" w:type="dxa"/>
            <w:vAlign w:val="bottom"/>
            <w:tcBorders>
              <w:bottom w:val="single" w:sz="8" w:color="auto"/>
              <w:right w:val="single" w:sz="8" w:color="auto"/>
            </w:tcBorders>
          </w:tcPr>
          <w:p>
            <w:pPr>
              <w:spacing w:after="0"/>
              <w:rPr>
                <w:sz w:val="4"/>
                <w:szCs w:val="4"/>
                <w:color w:val="auto"/>
              </w:rPr>
            </w:pPr>
          </w:p>
        </w:tc>
        <w:tc>
          <w:tcPr>
            <w:tcW w:w="5480" w:type="dxa"/>
            <w:vAlign w:val="bottom"/>
            <w:tcBorders>
              <w:bottom w:val="single" w:sz="8" w:color="auto"/>
              <w:right w:val="single" w:sz="8" w:color="auto"/>
            </w:tcBorders>
          </w:tcPr>
          <w:p>
            <w:pPr>
              <w:spacing w:after="0"/>
              <w:rPr>
                <w:sz w:val="4"/>
                <w:szCs w:val="4"/>
                <w:color w:val="auto"/>
              </w:rPr>
            </w:pPr>
          </w:p>
        </w:tc>
      </w:tr>
      <w:tr>
        <w:trPr>
          <w:trHeight w:val="277"/>
        </w:trPr>
        <w:tc>
          <w:tcPr>
            <w:tcW w:w="554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b w:val="1"/>
                <w:bCs w:val="1"/>
                <w:color w:val="auto"/>
              </w:rPr>
              <w:t>Art. 27 Right to information and inspection</w:t>
            </w:r>
          </w:p>
        </w:tc>
        <w:tc>
          <w:tcPr>
            <w:tcW w:w="220" w:type="dxa"/>
            <w:vAlign w:val="bottom"/>
            <w:tcBorders>
              <w:right w:val="single" w:sz="8" w:color="auto"/>
            </w:tcBorders>
          </w:tcPr>
          <w:p>
            <w:pPr>
              <w:spacing w:after="0"/>
              <w:rPr>
                <w:sz w:val="24"/>
                <w:szCs w:val="24"/>
                <w:color w:val="auto"/>
              </w:rPr>
            </w:pPr>
          </w:p>
        </w:tc>
        <w:tc>
          <w:tcPr>
            <w:tcW w:w="5480" w:type="dxa"/>
            <w:vAlign w:val="bottom"/>
            <w:tcBorders>
              <w:right w:val="single" w:sz="8" w:color="auto"/>
            </w:tcBorders>
          </w:tcPr>
          <w:p>
            <w:pPr>
              <w:ind w:left="60"/>
              <w:spacing w:after="0"/>
              <w:rPr>
                <w:sz w:val="20"/>
                <w:szCs w:val="20"/>
                <w:color w:val="auto"/>
              </w:rPr>
            </w:pPr>
            <w:r>
              <w:rPr>
                <w:rFonts w:ascii="Arial" w:cs="Arial" w:eastAsia="Arial" w:hAnsi="Arial"/>
                <w:sz w:val="18"/>
                <w:szCs w:val="18"/>
                <w:b w:val="1"/>
                <w:bCs w:val="1"/>
                <w:color w:val="auto"/>
              </w:rPr>
              <w:t>Art. 27 Droit aux renseignements et à la consultation</w:t>
            </w:r>
          </w:p>
        </w:tc>
      </w:tr>
      <w:tr>
        <w:trPr>
          <w:trHeight w:val="391"/>
        </w:trPr>
        <w:tc>
          <w:tcPr>
            <w:tcW w:w="554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Any member of the board of directors may request information on</w:t>
            </w:r>
          </w:p>
        </w:tc>
        <w:tc>
          <w:tcPr>
            <w:tcW w:w="220" w:type="dxa"/>
            <w:vAlign w:val="bottom"/>
            <w:tcBorders>
              <w:right w:val="single" w:sz="8" w:color="auto"/>
            </w:tcBorders>
          </w:tcPr>
          <w:p>
            <w:pPr>
              <w:spacing w:after="0"/>
              <w:rPr>
                <w:sz w:val="24"/>
                <w:szCs w:val="24"/>
                <w:color w:val="auto"/>
              </w:rPr>
            </w:pPr>
          </w:p>
        </w:tc>
        <w:tc>
          <w:tcPr>
            <w:tcW w:w="548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Chaque membre du conseil d'administration a le droit d'obtenir des</w:t>
            </w:r>
          </w:p>
        </w:tc>
      </w:tr>
      <w:tr>
        <w:trPr>
          <w:trHeight w:val="217"/>
        </w:trPr>
        <w:tc>
          <w:tcPr>
            <w:tcW w:w="554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any company business.</w:t>
            </w:r>
          </w:p>
        </w:tc>
        <w:tc>
          <w:tcPr>
            <w:tcW w:w="220" w:type="dxa"/>
            <w:vAlign w:val="bottom"/>
            <w:tcBorders>
              <w:right w:val="single" w:sz="8" w:color="auto"/>
            </w:tcBorders>
          </w:tcPr>
          <w:p>
            <w:pPr>
              <w:spacing w:after="0"/>
              <w:rPr>
                <w:sz w:val="18"/>
                <w:szCs w:val="18"/>
                <w:color w:val="auto"/>
              </w:rPr>
            </w:pPr>
          </w:p>
        </w:tc>
        <w:tc>
          <w:tcPr>
            <w:tcW w:w="548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renseignements sur toutes les affaires de la société.</w:t>
            </w:r>
          </w:p>
        </w:tc>
      </w:tr>
      <w:tr>
        <w:trPr>
          <w:trHeight w:val="54"/>
        </w:trPr>
        <w:tc>
          <w:tcPr>
            <w:tcW w:w="5540" w:type="dxa"/>
            <w:vAlign w:val="bottom"/>
            <w:tcBorders>
              <w:left w:val="single" w:sz="8" w:color="auto"/>
              <w:bottom w:val="single" w:sz="8" w:color="auto"/>
              <w:right w:val="single" w:sz="8" w:color="auto"/>
            </w:tcBorders>
          </w:tcPr>
          <w:p>
            <w:pPr>
              <w:spacing w:after="0"/>
              <w:rPr>
                <w:sz w:val="4"/>
                <w:szCs w:val="4"/>
                <w:color w:val="auto"/>
              </w:rPr>
            </w:pPr>
          </w:p>
        </w:tc>
        <w:tc>
          <w:tcPr>
            <w:tcW w:w="220" w:type="dxa"/>
            <w:vAlign w:val="bottom"/>
            <w:tcBorders>
              <w:bottom w:val="single" w:sz="8" w:color="auto"/>
              <w:right w:val="single" w:sz="8" w:color="auto"/>
            </w:tcBorders>
          </w:tcPr>
          <w:p>
            <w:pPr>
              <w:spacing w:after="0"/>
              <w:rPr>
                <w:sz w:val="4"/>
                <w:szCs w:val="4"/>
                <w:color w:val="auto"/>
              </w:rPr>
            </w:pPr>
          </w:p>
        </w:tc>
        <w:tc>
          <w:tcPr>
            <w:tcW w:w="5480" w:type="dxa"/>
            <w:vAlign w:val="bottom"/>
            <w:tcBorders>
              <w:bottom w:val="single" w:sz="8" w:color="auto"/>
              <w:right w:val="single" w:sz="8" w:color="auto"/>
            </w:tcBorders>
          </w:tcPr>
          <w:p>
            <w:pPr>
              <w:spacing w:after="0"/>
              <w:rPr>
                <w:sz w:val="4"/>
                <w:szCs w:val="4"/>
                <w:color w:val="auto"/>
              </w:rPr>
            </w:pPr>
          </w:p>
        </w:tc>
      </w:tr>
      <w:tr>
        <w:trPr>
          <w:trHeight w:val="263"/>
        </w:trPr>
        <w:tc>
          <w:tcPr>
            <w:tcW w:w="554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Outside meetings, any member may request information from the</w:t>
            </w:r>
          </w:p>
        </w:tc>
        <w:tc>
          <w:tcPr>
            <w:tcW w:w="220" w:type="dxa"/>
            <w:vAlign w:val="bottom"/>
            <w:tcBorders>
              <w:right w:val="single" w:sz="8" w:color="auto"/>
            </w:tcBorders>
          </w:tcPr>
          <w:p>
            <w:pPr>
              <w:spacing w:after="0"/>
              <w:rPr>
                <w:sz w:val="22"/>
                <w:szCs w:val="22"/>
                <w:color w:val="auto"/>
              </w:rPr>
            </w:pPr>
          </w:p>
        </w:tc>
        <w:tc>
          <w:tcPr>
            <w:tcW w:w="548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En dehors des séances, chaque membre du conseil</w:t>
            </w:r>
          </w:p>
        </w:tc>
      </w:tr>
      <w:tr>
        <w:trPr>
          <w:trHeight w:val="203"/>
        </w:trPr>
        <w:tc>
          <w:tcPr>
            <w:tcW w:w="5540" w:type="dxa"/>
            <w:vAlign w:val="bottom"/>
            <w:tcBorders>
              <w:left w:val="single" w:sz="8" w:color="auto"/>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persons  entrusted  with  managing  the  company's  business</w:t>
            </w:r>
          </w:p>
        </w:tc>
        <w:tc>
          <w:tcPr>
            <w:tcW w:w="22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d'administration peut exiger des personnes chargées de la gestion</w:t>
            </w:r>
          </w:p>
        </w:tc>
      </w:tr>
      <w:tr>
        <w:trPr>
          <w:trHeight w:val="203"/>
        </w:trPr>
        <w:tc>
          <w:tcPr>
            <w:tcW w:w="5540" w:type="dxa"/>
            <w:vAlign w:val="bottom"/>
            <w:tcBorders>
              <w:left w:val="single" w:sz="8" w:color="auto"/>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concerning the company's business performance and, with the</w:t>
            </w:r>
          </w:p>
        </w:tc>
        <w:tc>
          <w:tcPr>
            <w:tcW w:w="22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des renseignements sur la marche de l'entreprise et, avec</w:t>
            </w:r>
          </w:p>
        </w:tc>
      </w:tr>
      <w:tr>
        <w:trPr>
          <w:trHeight w:val="217"/>
        </w:trPr>
        <w:tc>
          <w:tcPr>
            <w:tcW w:w="554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chairman's authorisation, specific transactions.</w:t>
            </w:r>
          </w:p>
        </w:tc>
        <w:tc>
          <w:tcPr>
            <w:tcW w:w="220" w:type="dxa"/>
            <w:vAlign w:val="bottom"/>
            <w:tcBorders>
              <w:right w:val="single" w:sz="8" w:color="auto"/>
            </w:tcBorders>
          </w:tcPr>
          <w:p>
            <w:pPr>
              <w:spacing w:after="0"/>
              <w:rPr>
                <w:sz w:val="18"/>
                <w:szCs w:val="18"/>
                <w:color w:val="auto"/>
              </w:rPr>
            </w:pPr>
          </w:p>
        </w:tc>
        <w:tc>
          <w:tcPr>
            <w:tcW w:w="548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l'autorisation du président, sur des affaires déterminées.</w:t>
            </w:r>
          </w:p>
        </w:tc>
      </w:tr>
      <w:tr>
        <w:trPr>
          <w:trHeight w:val="54"/>
        </w:trPr>
        <w:tc>
          <w:tcPr>
            <w:tcW w:w="5540" w:type="dxa"/>
            <w:vAlign w:val="bottom"/>
            <w:tcBorders>
              <w:left w:val="single" w:sz="8" w:color="auto"/>
              <w:bottom w:val="single" w:sz="8" w:color="auto"/>
              <w:right w:val="single" w:sz="8" w:color="auto"/>
            </w:tcBorders>
          </w:tcPr>
          <w:p>
            <w:pPr>
              <w:spacing w:after="0"/>
              <w:rPr>
                <w:sz w:val="4"/>
                <w:szCs w:val="4"/>
                <w:color w:val="auto"/>
              </w:rPr>
            </w:pPr>
          </w:p>
        </w:tc>
        <w:tc>
          <w:tcPr>
            <w:tcW w:w="220" w:type="dxa"/>
            <w:vAlign w:val="bottom"/>
            <w:tcBorders>
              <w:bottom w:val="single" w:sz="8" w:color="auto"/>
              <w:right w:val="single" w:sz="8" w:color="auto"/>
            </w:tcBorders>
          </w:tcPr>
          <w:p>
            <w:pPr>
              <w:spacing w:after="0"/>
              <w:rPr>
                <w:sz w:val="4"/>
                <w:szCs w:val="4"/>
                <w:color w:val="auto"/>
              </w:rPr>
            </w:pPr>
          </w:p>
        </w:tc>
        <w:tc>
          <w:tcPr>
            <w:tcW w:w="5480" w:type="dxa"/>
            <w:vAlign w:val="bottom"/>
            <w:tcBorders>
              <w:bottom w:val="single" w:sz="8" w:color="auto"/>
              <w:right w:val="single" w:sz="8" w:color="auto"/>
            </w:tcBorders>
          </w:tcPr>
          <w:p>
            <w:pPr>
              <w:spacing w:after="0"/>
              <w:rPr>
                <w:sz w:val="4"/>
                <w:szCs w:val="4"/>
                <w:color w:val="auto"/>
              </w:rPr>
            </w:pPr>
          </w:p>
        </w:tc>
      </w:tr>
      <w:tr>
        <w:trPr>
          <w:trHeight w:val="263"/>
        </w:trPr>
        <w:tc>
          <w:tcPr>
            <w:tcW w:w="554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Where required for the performance of his duties, any member</w:t>
            </w:r>
          </w:p>
        </w:tc>
        <w:tc>
          <w:tcPr>
            <w:tcW w:w="220" w:type="dxa"/>
            <w:vAlign w:val="bottom"/>
            <w:tcBorders>
              <w:right w:val="single" w:sz="8" w:color="auto"/>
            </w:tcBorders>
          </w:tcPr>
          <w:p>
            <w:pPr>
              <w:spacing w:after="0"/>
              <w:rPr>
                <w:sz w:val="22"/>
                <w:szCs w:val="22"/>
                <w:color w:val="auto"/>
              </w:rPr>
            </w:pPr>
          </w:p>
        </w:tc>
        <w:tc>
          <w:tcPr>
            <w:tcW w:w="548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Dans la mesure où cela est nécessaire à l'accomplissement de</w:t>
            </w:r>
          </w:p>
        </w:tc>
      </w:tr>
      <w:tr>
        <w:trPr>
          <w:trHeight w:val="203"/>
        </w:trPr>
        <w:tc>
          <w:tcPr>
            <w:tcW w:w="5540" w:type="dxa"/>
            <w:vAlign w:val="bottom"/>
            <w:tcBorders>
              <w:left w:val="single" w:sz="8" w:color="auto"/>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may  request  the  chairman  to  have  books  of  account  and</w:t>
            </w:r>
          </w:p>
        </w:tc>
        <w:tc>
          <w:tcPr>
            <w:tcW w:w="22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ses tâches, chaque membre du conseil d'administration peut</w:t>
            </w:r>
          </w:p>
        </w:tc>
      </w:tr>
      <w:tr>
        <w:trPr>
          <w:trHeight w:val="217"/>
        </w:trPr>
        <w:tc>
          <w:tcPr>
            <w:tcW w:w="554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documents made available to him for inspection.</w:t>
            </w:r>
          </w:p>
        </w:tc>
        <w:tc>
          <w:tcPr>
            <w:tcW w:w="220" w:type="dxa"/>
            <w:vAlign w:val="bottom"/>
            <w:tcBorders>
              <w:right w:val="single" w:sz="8" w:color="auto"/>
            </w:tcBorders>
          </w:tcPr>
          <w:p>
            <w:pPr>
              <w:spacing w:after="0"/>
              <w:rPr>
                <w:sz w:val="18"/>
                <w:szCs w:val="18"/>
                <w:color w:val="auto"/>
              </w:rPr>
            </w:pPr>
          </w:p>
        </w:tc>
        <w:tc>
          <w:tcPr>
            <w:tcW w:w="548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demander au président la production des livres ou des dossiers.</w:t>
            </w:r>
          </w:p>
        </w:tc>
      </w:tr>
      <w:tr>
        <w:trPr>
          <w:trHeight w:val="54"/>
        </w:trPr>
        <w:tc>
          <w:tcPr>
            <w:tcW w:w="5540" w:type="dxa"/>
            <w:vAlign w:val="bottom"/>
            <w:tcBorders>
              <w:left w:val="single" w:sz="8" w:color="auto"/>
              <w:bottom w:val="single" w:sz="8" w:color="auto"/>
              <w:right w:val="single" w:sz="8" w:color="auto"/>
            </w:tcBorders>
          </w:tcPr>
          <w:p>
            <w:pPr>
              <w:spacing w:after="0"/>
              <w:rPr>
                <w:sz w:val="4"/>
                <w:szCs w:val="4"/>
                <w:color w:val="auto"/>
              </w:rPr>
            </w:pPr>
          </w:p>
        </w:tc>
        <w:tc>
          <w:tcPr>
            <w:tcW w:w="220" w:type="dxa"/>
            <w:vAlign w:val="bottom"/>
            <w:tcBorders>
              <w:bottom w:val="single" w:sz="8" w:color="auto"/>
              <w:right w:val="single" w:sz="8" w:color="auto"/>
            </w:tcBorders>
          </w:tcPr>
          <w:p>
            <w:pPr>
              <w:spacing w:after="0"/>
              <w:rPr>
                <w:sz w:val="4"/>
                <w:szCs w:val="4"/>
                <w:color w:val="auto"/>
              </w:rPr>
            </w:pPr>
          </w:p>
        </w:tc>
        <w:tc>
          <w:tcPr>
            <w:tcW w:w="5480" w:type="dxa"/>
            <w:vAlign w:val="bottom"/>
            <w:tcBorders>
              <w:bottom w:val="single" w:sz="8" w:color="auto"/>
              <w:right w:val="single" w:sz="8" w:color="auto"/>
            </w:tcBorders>
          </w:tcPr>
          <w:p>
            <w:pPr>
              <w:spacing w:after="0"/>
              <w:rPr>
                <w:sz w:val="4"/>
                <w:szCs w:val="4"/>
                <w:color w:val="auto"/>
              </w:rPr>
            </w:pPr>
          </w:p>
        </w:tc>
      </w:tr>
      <w:tr>
        <w:trPr>
          <w:trHeight w:val="453"/>
        </w:trPr>
        <w:tc>
          <w:tcPr>
            <w:tcW w:w="55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54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249" w:right="339" w:bottom="1440" w:gutter="0" w:footer="0" w:header="0"/>
        </w:sectPr>
      </w:pPr>
    </w:p>
    <w:bookmarkStart w:id="58" w:name="page59"/>
    <w:bookmarkEnd w:id="5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360" w:type="dxa"/>
            <w:vAlign w:val="bottom"/>
            <w:tcBorders>
              <w:bottom w:val="single" w:sz="8" w:color="auto"/>
            </w:tcBorders>
          </w:tcPr>
          <w:p>
            <w:pPr>
              <w:spacing w:after="0"/>
              <w:rPr>
                <w:sz w:val="16"/>
                <w:szCs w:val="16"/>
                <w:color w:val="auto"/>
              </w:rPr>
            </w:pPr>
          </w:p>
        </w:tc>
        <w:tc>
          <w:tcPr>
            <w:tcW w:w="528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5160" w:type="dxa"/>
            <w:vAlign w:val="bottom"/>
            <w:tcBorders>
              <w:bottom w:val="single" w:sz="8" w:color="auto"/>
            </w:tcBorders>
          </w:tcPr>
          <w:p>
            <w:pPr>
              <w:ind w:left="4940"/>
              <w:spacing w:after="0"/>
              <w:rPr>
                <w:sz w:val="20"/>
                <w:szCs w:val="20"/>
                <w:color w:val="auto"/>
              </w:rPr>
            </w:pPr>
            <w:r>
              <w:rPr>
                <w:rFonts w:ascii="Arial" w:cs="Arial" w:eastAsia="Arial" w:hAnsi="Arial"/>
                <w:sz w:val="16"/>
                <w:szCs w:val="16"/>
                <w:color w:val="auto"/>
              </w:rPr>
              <w:t>20</w:t>
            </w:r>
          </w:p>
        </w:tc>
        <w:tc>
          <w:tcPr>
            <w:tcW w:w="0" w:type="dxa"/>
            <w:vAlign w:val="bottom"/>
          </w:tcPr>
          <w:p>
            <w:pPr>
              <w:spacing w:after="0"/>
              <w:rPr>
                <w:sz w:val="1"/>
                <w:szCs w:val="1"/>
                <w:color w:val="auto"/>
              </w:rPr>
            </w:pPr>
          </w:p>
        </w:tc>
      </w:tr>
      <w:tr>
        <w:trPr>
          <w:trHeight w:val="263"/>
        </w:trPr>
        <w:tc>
          <w:tcPr>
            <w:tcW w:w="5640" w:type="dxa"/>
            <w:vAlign w:val="bottom"/>
            <w:gridSpan w:val="2"/>
          </w:tcPr>
          <w:p>
            <w:pPr>
              <w:ind w:left="100"/>
              <w:spacing w:after="0"/>
              <w:rPr>
                <w:sz w:val="20"/>
                <w:szCs w:val="20"/>
                <w:color w:val="auto"/>
              </w:rPr>
            </w:pPr>
            <w:r>
              <w:rPr>
                <w:rFonts w:ascii="Arial" w:cs="Arial" w:eastAsia="Arial" w:hAnsi="Arial"/>
                <w:sz w:val="18"/>
                <w:szCs w:val="18"/>
                <w:color w:val="auto"/>
              </w:rPr>
              <w:t>If the chairman refuses a request for information, a request to be</w:t>
            </w:r>
          </w:p>
        </w:tc>
        <w:tc>
          <w:tcPr>
            <w:tcW w:w="5600" w:type="dxa"/>
            <w:vAlign w:val="bottom"/>
            <w:gridSpan w:val="2"/>
          </w:tcPr>
          <w:p>
            <w:pPr>
              <w:ind w:left="180"/>
              <w:spacing w:after="0"/>
              <w:rPr>
                <w:sz w:val="20"/>
                <w:szCs w:val="20"/>
                <w:color w:val="auto"/>
              </w:rPr>
            </w:pPr>
            <w:r>
              <w:rPr>
                <w:rFonts w:ascii="Arial" w:cs="Arial" w:eastAsia="Arial" w:hAnsi="Arial"/>
                <w:sz w:val="18"/>
                <w:szCs w:val="18"/>
                <w:color w:val="auto"/>
              </w:rPr>
              <w:t>Si le président rejette une demande de renseignement, d'audition</w:t>
            </w:r>
          </w:p>
        </w:tc>
        <w:tc>
          <w:tcPr>
            <w:tcW w:w="0" w:type="dxa"/>
            <w:vAlign w:val="bottom"/>
          </w:tcPr>
          <w:p>
            <w:pPr>
              <w:spacing w:after="0"/>
              <w:rPr>
                <w:sz w:val="1"/>
                <w:szCs w:val="1"/>
                <w:color w:val="auto"/>
              </w:rPr>
            </w:pPr>
          </w:p>
        </w:tc>
      </w:tr>
      <w:tr>
        <w:trPr>
          <w:trHeight w:val="203"/>
        </w:trPr>
        <w:tc>
          <w:tcPr>
            <w:tcW w:w="5640" w:type="dxa"/>
            <w:vAlign w:val="bottom"/>
            <w:gridSpan w:val="2"/>
          </w:tcPr>
          <w:p>
            <w:pPr>
              <w:ind w:left="100"/>
              <w:spacing w:after="0" w:line="202" w:lineRule="exact"/>
              <w:rPr>
                <w:sz w:val="20"/>
                <w:szCs w:val="20"/>
                <w:color w:val="auto"/>
              </w:rPr>
            </w:pPr>
            <w:r>
              <w:rPr>
                <w:rFonts w:ascii="Arial" w:cs="Arial" w:eastAsia="Arial" w:hAnsi="Arial"/>
                <w:sz w:val="18"/>
                <w:szCs w:val="18"/>
                <w:color w:val="auto"/>
              </w:rPr>
              <w:t>heard  or  an  application  to  inspect  documents,  the  board  of</w:t>
            </w:r>
          </w:p>
        </w:tc>
        <w:tc>
          <w:tcPr>
            <w:tcW w:w="5600" w:type="dxa"/>
            <w:vAlign w:val="bottom"/>
            <w:gridSpan w:val="2"/>
          </w:tcPr>
          <w:p>
            <w:pPr>
              <w:ind w:left="180"/>
              <w:spacing w:after="0" w:line="202" w:lineRule="exact"/>
              <w:rPr>
                <w:sz w:val="20"/>
                <w:szCs w:val="20"/>
                <w:color w:val="auto"/>
              </w:rPr>
            </w:pPr>
            <w:r>
              <w:rPr>
                <w:rFonts w:ascii="Arial" w:cs="Arial" w:eastAsia="Arial" w:hAnsi="Arial"/>
                <w:sz w:val="18"/>
                <w:szCs w:val="18"/>
                <w:color w:val="auto"/>
              </w:rPr>
              <w:t>ou de consultation, le conseil d'administration tranche.</w:t>
            </w:r>
          </w:p>
        </w:tc>
        <w:tc>
          <w:tcPr>
            <w:tcW w:w="0" w:type="dxa"/>
            <w:vAlign w:val="bottom"/>
          </w:tcPr>
          <w:p>
            <w:pPr>
              <w:spacing w:after="0"/>
              <w:rPr>
                <w:sz w:val="1"/>
                <w:szCs w:val="1"/>
                <w:color w:val="auto"/>
              </w:rPr>
            </w:pPr>
          </w:p>
        </w:tc>
      </w:tr>
      <w:tr>
        <w:trPr>
          <w:trHeight w:val="217"/>
        </w:trPr>
        <w:tc>
          <w:tcPr>
            <w:tcW w:w="5640" w:type="dxa"/>
            <w:vAlign w:val="bottom"/>
            <w:gridSpan w:val="2"/>
          </w:tcPr>
          <w:p>
            <w:pPr>
              <w:ind w:left="100"/>
              <w:spacing w:after="0"/>
              <w:rPr>
                <w:sz w:val="20"/>
                <w:szCs w:val="20"/>
                <w:color w:val="auto"/>
              </w:rPr>
            </w:pPr>
            <w:r>
              <w:rPr>
                <w:rFonts w:ascii="Arial" w:cs="Arial" w:eastAsia="Arial" w:hAnsi="Arial"/>
                <w:sz w:val="18"/>
                <w:szCs w:val="18"/>
                <w:color w:val="auto"/>
              </w:rPr>
              <w:t>directors rules on the matter.</w:t>
            </w:r>
          </w:p>
        </w:tc>
        <w:tc>
          <w:tcPr>
            <w:tcW w:w="440" w:type="dxa"/>
            <w:vAlign w:val="bottom"/>
          </w:tcPr>
          <w:p>
            <w:pPr>
              <w:spacing w:after="0"/>
              <w:rPr>
                <w:sz w:val="18"/>
                <w:szCs w:val="18"/>
                <w:color w:val="auto"/>
              </w:rPr>
            </w:pPr>
          </w:p>
        </w:tc>
        <w:tc>
          <w:tcPr>
            <w:tcW w:w="5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4"/>
        </w:trPr>
        <w:tc>
          <w:tcPr>
            <w:tcW w:w="5640" w:type="dxa"/>
            <w:vAlign w:val="bottom"/>
            <w:tcBorders>
              <w:bottom w:val="single" w:sz="8" w:color="auto"/>
            </w:tcBorders>
            <w:gridSpan w:val="2"/>
          </w:tcPr>
          <w:p>
            <w:pPr>
              <w:spacing w:after="0"/>
              <w:rPr>
                <w:sz w:val="4"/>
                <w:szCs w:val="4"/>
                <w:color w:val="auto"/>
              </w:rPr>
            </w:pPr>
          </w:p>
        </w:tc>
        <w:tc>
          <w:tcPr>
            <w:tcW w:w="5600" w:type="dxa"/>
            <w:vAlign w:val="bottom"/>
            <w:tcBorders>
              <w:bottom w:val="single" w:sz="8" w:color="auto"/>
            </w:tcBorders>
            <w:gridSpan w:val="2"/>
          </w:tcPr>
          <w:p>
            <w:pPr>
              <w:spacing w:after="0"/>
              <w:rPr>
                <w:sz w:val="4"/>
                <w:szCs w:val="4"/>
                <w:color w:val="auto"/>
              </w:rPr>
            </w:pPr>
          </w:p>
        </w:tc>
        <w:tc>
          <w:tcPr>
            <w:tcW w:w="0" w:type="dxa"/>
            <w:vAlign w:val="bottom"/>
          </w:tcPr>
          <w:p>
            <w:pPr>
              <w:spacing w:after="0"/>
              <w:rPr>
                <w:sz w:val="1"/>
                <w:szCs w:val="1"/>
                <w:color w:val="auto"/>
              </w:rPr>
            </w:pPr>
          </w:p>
        </w:tc>
      </w:tr>
      <w:tr>
        <w:trPr>
          <w:trHeight w:val="277"/>
        </w:trPr>
        <w:tc>
          <w:tcPr>
            <w:tcW w:w="5640" w:type="dxa"/>
            <w:vAlign w:val="bottom"/>
            <w:gridSpan w:val="2"/>
          </w:tcPr>
          <w:p>
            <w:pPr>
              <w:ind w:left="100"/>
              <w:spacing w:after="0"/>
              <w:rPr>
                <w:sz w:val="20"/>
                <w:szCs w:val="20"/>
                <w:color w:val="auto"/>
              </w:rPr>
            </w:pPr>
            <w:r>
              <w:rPr>
                <w:rFonts w:ascii="Arial" w:cs="Arial" w:eastAsia="Arial" w:hAnsi="Arial"/>
                <w:sz w:val="18"/>
                <w:szCs w:val="18"/>
                <w:b w:val="1"/>
                <w:bCs w:val="1"/>
                <w:color w:val="auto"/>
              </w:rPr>
              <w:t>Art. 28 Compensation Committee</w:t>
            </w:r>
          </w:p>
        </w:tc>
        <w:tc>
          <w:tcPr>
            <w:tcW w:w="5600" w:type="dxa"/>
            <w:vAlign w:val="bottom"/>
            <w:gridSpan w:val="2"/>
          </w:tcPr>
          <w:p>
            <w:pPr>
              <w:ind w:left="180"/>
              <w:spacing w:after="0"/>
              <w:rPr>
                <w:sz w:val="20"/>
                <w:szCs w:val="20"/>
                <w:color w:val="auto"/>
              </w:rPr>
            </w:pPr>
            <w:r>
              <w:rPr>
                <w:rFonts w:ascii="Arial" w:cs="Arial" w:eastAsia="Arial" w:hAnsi="Arial"/>
                <w:sz w:val="18"/>
                <w:szCs w:val="18"/>
                <w:b w:val="1"/>
                <w:bCs w:val="1"/>
                <w:color w:val="auto"/>
              </w:rPr>
              <w:t>Art. 28 Comité de rémunération</w:t>
            </w:r>
          </w:p>
        </w:tc>
        <w:tc>
          <w:tcPr>
            <w:tcW w:w="0" w:type="dxa"/>
            <w:vAlign w:val="bottom"/>
          </w:tcPr>
          <w:p>
            <w:pPr>
              <w:spacing w:after="0"/>
              <w:rPr>
                <w:sz w:val="1"/>
                <w:szCs w:val="1"/>
                <w:color w:val="auto"/>
              </w:rPr>
            </w:pPr>
          </w:p>
        </w:tc>
      </w:tr>
      <w:tr>
        <w:trPr>
          <w:trHeight w:val="391"/>
        </w:trPr>
        <w:tc>
          <w:tcPr>
            <w:tcW w:w="5640" w:type="dxa"/>
            <w:vAlign w:val="bottom"/>
            <w:gridSpan w:val="2"/>
          </w:tcPr>
          <w:p>
            <w:pPr>
              <w:ind w:left="100"/>
              <w:spacing w:after="0"/>
              <w:rPr>
                <w:sz w:val="20"/>
                <w:szCs w:val="20"/>
                <w:color w:val="auto"/>
              </w:rPr>
            </w:pPr>
            <w:r>
              <w:rPr>
                <w:rFonts w:ascii="Arial" w:cs="Arial" w:eastAsia="Arial" w:hAnsi="Arial"/>
                <w:sz w:val="18"/>
                <w:szCs w:val="18"/>
                <w:color w:val="auto"/>
              </w:rPr>
              <w:t>The Compensation Committee shall comprise at least 2 members.</w:t>
            </w:r>
          </w:p>
        </w:tc>
        <w:tc>
          <w:tcPr>
            <w:tcW w:w="5600" w:type="dxa"/>
            <w:vAlign w:val="bottom"/>
            <w:gridSpan w:val="2"/>
          </w:tcPr>
          <w:p>
            <w:pPr>
              <w:ind w:left="180"/>
              <w:spacing w:after="0"/>
              <w:rPr>
                <w:sz w:val="20"/>
                <w:szCs w:val="20"/>
                <w:color w:val="auto"/>
              </w:rPr>
            </w:pPr>
            <w:r>
              <w:rPr>
                <w:rFonts w:ascii="Arial" w:cs="Arial" w:eastAsia="Arial" w:hAnsi="Arial"/>
                <w:sz w:val="18"/>
                <w:szCs w:val="18"/>
                <w:color w:val="auto"/>
              </w:rPr>
              <w:t>Le comité de rémunération se compose d'au moins 2 membres.</w:t>
            </w:r>
          </w:p>
        </w:tc>
        <w:tc>
          <w:tcPr>
            <w:tcW w:w="0" w:type="dxa"/>
            <w:vAlign w:val="bottom"/>
          </w:tcPr>
          <w:p>
            <w:pPr>
              <w:spacing w:after="0"/>
              <w:rPr>
                <w:sz w:val="1"/>
                <w:szCs w:val="1"/>
                <w:color w:val="auto"/>
              </w:rPr>
            </w:pPr>
          </w:p>
        </w:tc>
      </w:tr>
      <w:tr>
        <w:trPr>
          <w:trHeight w:val="202"/>
        </w:trPr>
        <w:tc>
          <w:tcPr>
            <w:tcW w:w="5640" w:type="dxa"/>
            <w:vAlign w:val="bottom"/>
            <w:gridSpan w:val="2"/>
          </w:tcPr>
          <w:p>
            <w:pPr>
              <w:ind w:left="100"/>
              <w:spacing w:after="0" w:line="202" w:lineRule="exact"/>
              <w:rPr>
                <w:sz w:val="20"/>
                <w:szCs w:val="20"/>
                <w:color w:val="auto"/>
              </w:rPr>
            </w:pPr>
            <w:r>
              <w:rPr>
                <w:rFonts w:ascii="Arial" w:cs="Arial" w:eastAsia="Arial" w:hAnsi="Arial"/>
                <w:sz w:val="18"/>
                <w:szCs w:val="18"/>
                <w:color w:val="auto"/>
              </w:rPr>
              <w:t>The members of the Compensation Committee shall be individually</w:t>
            </w:r>
          </w:p>
        </w:tc>
        <w:tc>
          <w:tcPr>
            <w:tcW w:w="5600" w:type="dxa"/>
            <w:vAlign w:val="bottom"/>
            <w:gridSpan w:val="2"/>
          </w:tcPr>
          <w:p>
            <w:pPr>
              <w:ind w:left="180"/>
              <w:spacing w:after="0" w:line="202" w:lineRule="exact"/>
              <w:rPr>
                <w:sz w:val="20"/>
                <w:szCs w:val="20"/>
                <w:color w:val="auto"/>
              </w:rPr>
            </w:pPr>
            <w:r>
              <w:rPr>
                <w:rFonts w:ascii="Arial" w:cs="Arial" w:eastAsia="Arial" w:hAnsi="Arial"/>
                <w:sz w:val="18"/>
                <w:szCs w:val="18"/>
                <w:color w:val="auto"/>
              </w:rPr>
              <w:t>Les  membres  du  comité  de  rémunération  sont  élus  par</w:t>
            </w:r>
          </w:p>
        </w:tc>
        <w:tc>
          <w:tcPr>
            <w:tcW w:w="0" w:type="dxa"/>
            <w:vAlign w:val="bottom"/>
          </w:tcPr>
          <w:p>
            <w:pPr>
              <w:spacing w:after="0"/>
              <w:rPr>
                <w:sz w:val="1"/>
                <w:szCs w:val="1"/>
                <w:color w:val="auto"/>
              </w:rPr>
            </w:pPr>
          </w:p>
        </w:tc>
      </w:tr>
      <w:tr>
        <w:trPr>
          <w:trHeight w:val="203"/>
        </w:trPr>
        <w:tc>
          <w:tcPr>
            <w:tcW w:w="5640" w:type="dxa"/>
            <w:vAlign w:val="bottom"/>
            <w:gridSpan w:val="2"/>
          </w:tcPr>
          <w:p>
            <w:pPr>
              <w:ind w:left="100"/>
              <w:spacing w:after="0" w:line="202" w:lineRule="exact"/>
              <w:rPr>
                <w:sz w:val="20"/>
                <w:szCs w:val="20"/>
                <w:color w:val="auto"/>
              </w:rPr>
            </w:pPr>
            <w:r>
              <w:rPr>
                <w:rFonts w:ascii="Arial" w:cs="Arial" w:eastAsia="Arial" w:hAnsi="Arial"/>
                <w:sz w:val="18"/>
                <w:szCs w:val="18"/>
                <w:color w:val="auto"/>
              </w:rPr>
              <w:t>elected by the Ordinary General Meeting from among the members</w:t>
            </w:r>
          </w:p>
        </w:tc>
        <w:tc>
          <w:tcPr>
            <w:tcW w:w="5600" w:type="dxa"/>
            <w:vAlign w:val="bottom"/>
            <w:gridSpan w:val="2"/>
          </w:tcPr>
          <w:p>
            <w:pPr>
              <w:ind w:left="180"/>
              <w:spacing w:after="0" w:line="202" w:lineRule="exact"/>
              <w:rPr>
                <w:sz w:val="20"/>
                <w:szCs w:val="20"/>
                <w:color w:val="auto"/>
              </w:rPr>
            </w:pPr>
            <w:r>
              <w:rPr>
                <w:rFonts w:ascii="Arial" w:cs="Arial" w:eastAsia="Arial" w:hAnsi="Arial"/>
                <w:sz w:val="18"/>
                <w:szCs w:val="18"/>
                <w:color w:val="auto"/>
              </w:rPr>
              <w:t>l'assemblée générale ordinaire parmi les membres du conseil</w:t>
            </w:r>
          </w:p>
        </w:tc>
        <w:tc>
          <w:tcPr>
            <w:tcW w:w="0" w:type="dxa"/>
            <w:vAlign w:val="bottom"/>
          </w:tcPr>
          <w:p>
            <w:pPr>
              <w:spacing w:after="0"/>
              <w:rPr>
                <w:sz w:val="1"/>
                <w:szCs w:val="1"/>
                <w:color w:val="auto"/>
              </w:rPr>
            </w:pPr>
          </w:p>
        </w:tc>
      </w:tr>
      <w:tr>
        <w:trPr>
          <w:trHeight w:val="203"/>
        </w:trPr>
        <w:tc>
          <w:tcPr>
            <w:tcW w:w="5640" w:type="dxa"/>
            <w:vAlign w:val="bottom"/>
            <w:gridSpan w:val="2"/>
          </w:tcPr>
          <w:p>
            <w:pPr>
              <w:ind w:left="100"/>
              <w:spacing w:after="0" w:line="202" w:lineRule="exact"/>
              <w:rPr>
                <w:sz w:val="20"/>
                <w:szCs w:val="20"/>
                <w:color w:val="auto"/>
              </w:rPr>
            </w:pPr>
            <w:r>
              <w:rPr>
                <w:rFonts w:ascii="Arial" w:cs="Arial" w:eastAsia="Arial" w:hAnsi="Arial"/>
                <w:sz w:val="18"/>
                <w:szCs w:val="18"/>
                <w:color w:val="auto"/>
              </w:rPr>
              <w:t>of the Board of Directors for a term of one year until the next</w:t>
            </w:r>
          </w:p>
        </w:tc>
        <w:tc>
          <w:tcPr>
            <w:tcW w:w="5600" w:type="dxa"/>
            <w:vAlign w:val="bottom"/>
            <w:gridSpan w:val="2"/>
          </w:tcPr>
          <w:p>
            <w:pPr>
              <w:ind w:left="180"/>
              <w:spacing w:after="0" w:line="202" w:lineRule="exact"/>
              <w:rPr>
                <w:sz w:val="20"/>
                <w:szCs w:val="20"/>
                <w:color w:val="auto"/>
              </w:rPr>
            </w:pPr>
            <w:r>
              <w:rPr>
                <w:rFonts w:ascii="Arial" w:cs="Arial" w:eastAsia="Arial" w:hAnsi="Arial"/>
                <w:sz w:val="18"/>
                <w:szCs w:val="18"/>
                <w:color w:val="auto"/>
              </w:rPr>
              <w:t>d'administration pour un mandat d'un an jusqu'à la prochaine</w:t>
            </w:r>
          </w:p>
        </w:tc>
        <w:tc>
          <w:tcPr>
            <w:tcW w:w="0" w:type="dxa"/>
            <w:vAlign w:val="bottom"/>
          </w:tcPr>
          <w:p>
            <w:pPr>
              <w:spacing w:after="0"/>
              <w:rPr>
                <w:sz w:val="1"/>
                <w:szCs w:val="1"/>
                <w:color w:val="auto"/>
              </w:rPr>
            </w:pPr>
          </w:p>
        </w:tc>
      </w:tr>
      <w:tr>
        <w:trPr>
          <w:trHeight w:val="203"/>
        </w:trPr>
        <w:tc>
          <w:tcPr>
            <w:tcW w:w="5640" w:type="dxa"/>
            <w:vAlign w:val="bottom"/>
            <w:gridSpan w:val="2"/>
          </w:tcPr>
          <w:p>
            <w:pPr>
              <w:ind w:left="100"/>
              <w:spacing w:after="0" w:line="202" w:lineRule="exact"/>
              <w:rPr>
                <w:sz w:val="20"/>
                <w:szCs w:val="20"/>
                <w:color w:val="auto"/>
              </w:rPr>
            </w:pPr>
            <w:r>
              <w:rPr>
                <w:rFonts w:ascii="Arial" w:cs="Arial" w:eastAsia="Arial" w:hAnsi="Arial"/>
                <w:sz w:val="18"/>
                <w:szCs w:val="18"/>
                <w:color w:val="auto"/>
              </w:rPr>
              <w:t>Ordinary  General  Meeting.  Re-election  is  permitted.  The</w:t>
            </w:r>
          </w:p>
        </w:tc>
        <w:tc>
          <w:tcPr>
            <w:tcW w:w="5600" w:type="dxa"/>
            <w:vAlign w:val="bottom"/>
            <w:gridSpan w:val="2"/>
          </w:tcPr>
          <w:p>
            <w:pPr>
              <w:ind w:left="180"/>
              <w:spacing w:after="0" w:line="202" w:lineRule="exact"/>
              <w:rPr>
                <w:sz w:val="20"/>
                <w:szCs w:val="20"/>
                <w:color w:val="auto"/>
              </w:rPr>
            </w:pPr>
            <w:r>
              <w:rPr>
                <w:rFonts w:ascii="Arial" w:cs="Arial" w:eastAsia="Arial" w:hAnsi="Arial"/>
                <w:sz w:val="18"/>
                <w:szCs w:val="18"/>
                <w:color w:val="auto"/>
              </w:rPr>
              <w:t>assemblée générale ordinaire. Une réélection est possible. Le</w:t>
            </w:r>
          </w:p>
        </w:tc>
        <w:tc>
          <w:tcPr>
            <w:tcW w:w="0" w:type="dxa"/>
            <w:vAlign w:val="bottom"/>
          </w:tcPr>
          <w:p>
            <w:pPr>
              <w:spacing w:after="0"/>
              <w:rPr>
                <w:sz w:val="1"/>
                <w:szCs w:val="1"/>
                <w:color w:val="auto"/>
              </w:rPr>
            </w:pPr>
          </w:p>
        </w:tc>
      </w:tr>
      <w:tr>
        <w:trPr>
          <w:trHeight w:val="217"/>
        </w:trPr>
        <w:tc>
          <w:tcPr>
            <w:tcW w:w="5640" w:type="dxa"/>
            <w:vAlign w:val="bottom"/>
            <w:gridSpan w:val="2"/>
          </w:tcPr>
          <w:p>
            <w:pPr>
              <w:ind w:left="100"/>
              <w:spacing w:after="0"/>
              <w:rPr>
                <w:sz w:val="20"/>
                <w:szCs w:val="20"/>
                <w:color w:val="auto"/>
              </w:rPr>
            </w:pPr>
            <w:r>
              <w:rPr>
                <w:rFonts w:ascii="Arial" w:cs="Arial" w:eastAsia="Arial" w:hAnsi="Arial"/>
                <w:sz w:val="18"/>
                <w:szCs w:val="18"/>
                <w:color w:val="auto"/>
              </w:rPr>
              <w:t>Compensation Committee has the following duties:</w:t>
            </w:r>
          </w:p>
        </w:tc>
        <w:tc>
          <w:tcPr>
            <w:tcW w:w="5600" w:type="dxa"/>
            <w:vAlign w:val="bottom"/>
            <w:gridSpan w:val="2"/>
          </w:tcPr>
          <w:p>
            <w:pPr>
              <w:ind w:left="180"/>
              <w:spacing w:after="0"/>
              <w:rPr>
                <w:sz w:val="20"/>
                <w:szCs w:val="20"/>
                <w:color w:val="auto"/>
              </w:rPr>
            </w:pPr>
            <w:r>
              <w:rPr>
                <w:rFonts w:ascii="Arial" w:cs="Arial" w:eastAsia="Arial" w:hAnsi="Arial"/>
                <w:sz w:val="18"/>
                <w:szCs w:val="18"/>
                <w:color w:val="auto"/>
              </w:rPr>
              <w:t>comité de rémunération a les fonctions suivantes:</w:t>
            </w:r>
          </w:p>
        </w:tc>
        <w:tc>
          <w:tcPr>
            <w:tcW w:w="0" w:type="dxa"/>
            <w:vAlign w:val="bottom"/>
          </w:tcPr>
          <w:p>
            <w:pPr>
              <w:spacing w:after="0"/>
              <w:rPr>
                <w:sz w:val="1"/>
                <w:szCs w:val="1"/>
                <w:color w:val="auto"/>
              </w:rPr>
            </w:pPr>
          </w:p>
        </w:tc>
      </w:tr>
      <w:tr>
        <w:trPr>
          <w:trHeight w:val="391"/>
        </w:trPr>
        <w:tc>
          <w:tcPr>
            <w:tcW w:w="360" w:type="dxa"/>
            <w:vAlign w:val="bottom"/>
          </w:tcPr>
          <w:p>
            <w:pPr>
              <w:ind w:left="100"/>
              <w:spacing w:after="0"/>
              <w:rPr>
                <w:sz w:val="20"/>
                <w:szCs w:val="20"/>
                <w:color w:val="auto"/>
              </w:rPr>
            </w:pPr>
            <w:r>
              <w:rPr>
                <w:rFonts w:ascii="Arial" w:cs="Arial" w:eastAsia="Arial" w:hAnsi="Arial"/>
                <w:sz w:val="18"/>
                <w:szCs w:val="18"/>
                <w:color w:val="auto"/>
              </w:rPr>
              <w:t>a)</w:t>
            </w:r>
          </w:p>
        </w:tc>
        <w:tc>
          <w:tcPr>
            <w:tcW w:w="5280" w:type="dxa"/>
            <w:vAlign w:val="bottom"/>
          </w:tcPr>
          <w:p>
            <w:pPr>
              <w:jc w:val="right"/>
              <w:ind w:right="110"/>
              <w:spacing w:after="0"/>
              <w:rPr>
                <w:sz w:val="20"/>
                <w:szCs w:val="20"/>
                <w:color w:val="auto"/>
              </w:rPr>
            </w:pPr>
            <w:r>
              <w:rPr>
                <w:rFonts w:ascii="Arial" w:cs="Arial" w:eastAsia="Arial" w:hAnsi="Arial"/>
                <w:sz w:val="18"/>
                <w:szCs w:val="18"/>
                <w:color w:val="auto"/>
              </w:rPr>
              <w:t>to draw up principles for compensation of members of the</w:t>
            </w:r>
          </w:p>
        </w:tc>
        <w:tc>
          <w:tcPr>
            <w:tcW w:w="440" w:type="dxa"/>
            <w:vAlign w:val="bottom"/>
          </w:tcPr>
          <w:p>
            <w:pPr>
              <w:ind w:left="180"/>
              <w:spacing w:after="0"/>
              <w:rPr>
                <w:sz w:val="20"/>
                <w:szCs w:val="20"/>
                <w:color w:val="auto"/>
              </w:rPr>
            </w:pPr>
            <w:r>
              <w:rPr>
                <w:rFonts w:ascii="Arial" w:cs="Arial" w:eastAsia="Arial" w:hAnsi="Arial"/>
                <w:sz w:val="18"/>
                <w:szCs w:val="18"/>
                <w:color w:val="auto"/>
              </w:rPr>
              <w:t>a)</w:t>
            </w:r>
          </w:p>
        </w:tc>
        <w:tc>
          <w:tcPr>
            <w:tcW w:w="5160" w:type="dxa"/>
            <w:vAlign w:val="bottom"/>
          </w:tcPr>
          <w:p>
            <w:pPr>
              <w:jc w:val="right"/>
              <w:ind w:right="11"/>
              <w:spacing w:after="0"/>
              <w:rPr>
                <w:sz w:val="20"/>
                <w:szCs w:val="20"/>
                <w:color w:val="auto"/>
              </w:rPr>
            </w:pPr>
            <w:r>
              <w:rPr>
                <w:rFonts w:ascii="Arial" w:cs="Arial" w:eastAsia="Arial" w:hAnsi="Arial"/>
                <w:sz w:val="18"/>
                <w:szCs w:val="18"/>
                <w:color w:val="auto"/>
              </w:rPr>
              <w:t>élaborer des principes de rémunération des membres du</w:t>
            </w:r>
          </w:p>
        </w:tc>
        <w:tc>
          <w:tcPr>
            <w:tcW w:w="0" w:type="dxa"/>
            <w:vAlign w:val="bottom"/>
          </w:tcPr>
          <w:p>
            <w:pPr>
              <w:spacing w:after="0"/>
              <w:rPr>
                <w:sz w:val="1"/>
                <w:szCs w:val="1"/>
                <w:color w:val="auto"/>
              </w:rPr>
            </w:pPr>
          </w:p>
        </w:tc>
      </w:tr>
      <w:tr>
        <w:trPr>
          <w:trHeight w:val="203"/>
        </w:trPr>
        <w:tc>
          <w:tcPr>
            <w:tcW w:w="360" w:type="dxa"/>
            <w:vAlign w:val="bottom"/>
          </w:tcPr>
          <w:p>
            <w:pPr>
              <w:spacing w:after="0"/>
              <w:rPr>
                <w:sz w:val="17"/>
                <w:szCs w:val="17"/>
                <w:color w:val="auto"/>
              </w:rPr>
            </w:pPr>
          </w:p>
        </w:tc>
        <w:tc>
          <w:tcPr>
            <w:tcW w:w="5280" w:type="dxa"/>
            <w:vAlign w:val="bottom"/>
          </w:tcPr>
          <w:p>
            <w:pPr>
              <w:ind w:left="120"/>
              <w:spacing w:after="0" w:line="202" w:lineRule="exact"/>
              <w:rPr>
                <w:sz w:val="20"/>
                <w:szCs w:val="20"/>
                <w:color w:val="auto"/>
              </w:rPr>
            </w:pPr>
            <w:r>
              <w:rPr>
                <w:rFonts w:ascii="Arial" w:cs="Arial" w:eastAsia="Arial" w:hAnsi="Arial"/>
                <w:sz w:val="18"/>
                <w:szCs w:val="18"/>
                <w:color w:val="auto"/>
              </w:rPr>
              <w:t>Board of Directors and the Executive Committee and to</w:t>
            </w:r>
          </w:p>
        </w:tc>
        <w:tc>
          <w:tcPr>
            <w:tcW w:w="440" w:type="dxa"/>
            <w:vAlign w:val="bottom"/>
          </w:tcPr>
          <w:p>
            <w:pPr>
              <w:spacing w:after="0"/>
              <w:rPr>
                <w:sz w:val="17"/>
                <w:szCs w:val="17"/>
                <w:color w:val="auto"/>
              </w:rPr>
            </w:pPr>
          </w:p>
        </w:tc>
        <w:tc>
          <w:tcPr>
            <w:tcW w:w="5160" w:type="dxa"/>
            <w:vAlign w:val="bottom"/>
          </w:tcPr>
          <w:p>
            <w:pPr>
              <w:ind w:left="120"/>
              <w:spacing w:after="0" w:line="202" w:lineRule="exact"/>
              <w:rPr>
                <w:sz w:val="20"/>
                <w:szCs w:val="20"/>
                <w:color w:val="auto"/>
              </w:rPr>
            </w:pPr>
            <w:r>
              <w:rPr>
                <w:rFonts w:ascii="Arial" w:cs="Arial" w:eastAsia="Arial" w:hAnsi="Arial"/>
                <w:sz w:val="18"/>
                <w:szCs w:val="18"/>
                <w:color w:val="auto"/>
              </w:rPr>
              <w:t>conseil  d'administration  et  du  comité  exécutif  et  de  les</w:t>
            </w:r>
          </w:p>
        </w:tc>
        <w:tc>
          <w:tcPr>
            <w:tcW w:w="0" w:type="dxa"/>
            <w:vAlign w:val="bottom"/>
          </w:tcPr>
          <w:p>
            <w:pPr>
              <w:spacing w:after="0"/>
              <w:rPr>
                <w:sz w:val="1"/>
                <w:szCs w:val="1"/>
                <w:color w:val="auto"/>
              </w:rPr>
            </w:pPr>
          </w:p>
        </w:tc>
      </w:tr>
      <w:tr>
        <w:trPr>
          <w:trHeight w:val="217"/>
        </w:trPr>
        <w:tc>
          <w:tcPr>
            <w:tcW w:w="360" w:type="dxa"/>
            <w:vAlign w:val="bottom"/>
          </w:tcPr>
          <w:p>
            <w:pPr>
              <w:spacing w:after="0"/>
              <w:rPr>
                <w:sz w:val="18"/>
                <w:szCs w:val="18"/>
                <w:color w:val="auto"/>
              </w:rPr>
            </w:pPr>
          </w:p>
        </w:tc>
        <w:tc>
          <w:tcPr>
            <w:tcW w:w="5280" w:type="dxa"/>
            <w:vAlign w:val="bottom"/>
          </w:tcPr>
          <w:p>
            <w:pPr>
              <w:ind w:left="120"/>
              <w:spacing w:after="0"/>
              <w:rPr>
                <w:sz w:val="20"/>
                <w:szCs w:val="20"/>
                <w:color w:val="auto"/>
              </w:rPr>
            </w:pPr>
            <w:r>
              <w:rPr>
                <w:rFonts w:ascii="Arial" w:cs="Arial" w:eastAsia="Arial" w:hAnsi="Arial"/>
                <w:sz w:val="18"/>
                <w:szCs w:val="18"/>
                <w:color w:val="auto"/>
              </w:rPr>
              <w:t>submit them to the Board of Directors for approval;</w:t>
            </w:r>
          </w:p>
        </w:tc>
        <w:tc>
          <w:tcPr>
            <w:tcW w:w="440" w:type="dxa"/>
            <w:vAlign w:val="bottom"/>
          </w:tcPr>
          <w:p>
            <w:pPr>
              <w:spacing w:after="0"/>
              <w:rPr>
                <w:sz w:val="18"/>
                <w:szCs w:val="18"/>
                <w:color w:val="auto"/>
              </w:rPr>
            </w:pPr>
          </w:p>
        </w:tc>
        <w:tc>
          <w:tcPr>
            <w:tcW w:w="5160" w:type="dxa"/>
            <w:vAlign w:val="bottom"/>
          </w:tcPr>
          <w:p>
            <w:pPr>
              <w:ind w:left="120"/>
              <w:spacing w:after="0"/>
              <w:rPr>
                <w:sz w:val="20"/>
                <w:szCs w:val="20"/>
                <w:color w:val="auto"/>
              </w:rPr>
            </w:pPr>
            <w:r>
              <w:rPr>
                <w:rFonts w:ascii="Arial" w:cs="Arial" w:eastAsia="Arial" w:hAnsi="Arial"/>
                <w:sz w:val="18"/>
                <w:szCs w:val="18"/>
                <w:color w:val="auto"/>
              </w:rPr>
              <w:t>soumettre au conseil d'administration pour approbation;</w:t>
            </w:r>
          </w:p>
        </w:tc>
        <w:tc>
          <w:tcPr>
            <w:tcW w:w="0" w:type="dxa"/>
            <w:vAlign w:val="bottom"/>
          </w:tcPr>
          <w:p>
            <w:pPr>
              <w:spacing w:after="0"/>
              <w:rPr>
                <w:sz w:val="1"/>
                <w:szCs w:val="1"/>
                <w:color w:val="auto"/>
              </w:rPr>
            </w:pPr>
          </w:p>
        </w:tc>
      </w:tr>
      <w:tr>
        <w:trPr>
          <w:trHeight w:val="391"/>
        </w:trPr>
        <w:tc>
          <w:tcPr>
            <w:tcW w:w="360" w:type="dxa"/>
            <w:vAlign w:val="bottom"/>
          </w:tcPr>
          <w:p>
            <w:pPr>
              <w:ind w:left="100"/>
              <w:spacing w:after="0"/>
              <w:rPr>
                <w:sz w:val="20"/>
                <w:szCs w:val="20"/>
                <w:color w:val="auto"/>
              </w:rPr>
            </w:pPr>
            <w:r>
              <w:rPr>
                <w:rFonts w:ascii="Arial" w:cs="Arial" w:eastAsia="Arial" w:hAnsi="Arial"/>
                <w:sz w:val="18"/>
                <w:szCs w:val="18"/>
                <w:color w:val="auto"/>
              </w:rPr>
              <w:t>b)</w:t>
            </w:r>
          </w:p>
        </w:tc>
        <w:tc>
          <w:tcPr>
            <w:tcW w:w="5280" w:type="dxa"/>
            <w:vAlign w:val="bottom"/>
          </w:tcPr>
          <w:p>
            <w:pPr>
              <w:jc w:val="right"/>
              <w:ind w:right="110"/>
              <w:spacing w:after="0"/>
              <w:rPr>
                <w:sz w:val="20"/>
                <w:szCs w:val="20"/>
                <w:color w:val="auto"/>
              </w:rPr>
            </w:pPr>
            <w:r>
              <w:rPr>
                <w:rFonts w:ascii="Arial" w:cs="Arial" w:eastAsia="Arial" w:hAnsi="Arial"/>
                <w:sz w:val="18"/>
                <w:szCs w:val="18"/>
                <w:color w:val="auto"/>
              </w:rPr>
              <w:t>to propose to the Board of Directors the resolution to be</w:t>
            </w:r>
          </w:p>
        </w:tc>
        <w:tc>
          <w:tcPr>
            <w:tcW w:w="5600" w:type="dxa"/>
            <w:vAlign w:val="bottom"/>
            <w:gridSpan w:val="2"/>
          </w:tcPr>
          <w:p>
            <w:pPr>
              <w:ind w:left="180"/>
              <w:spacing w:after="0"/>
              <w:rPr>
                <w:sz w:val="20"/>
                <w:szCs w:val="20"/>
                <w:color w:val="auto"/>
              </w:rPr>
            </w:pPr>
            <w:r>
              <w:rPr>
                <w:rFonts w:ascii="Arial" w:cs="Arial" w:eastAsia="Arial" w:hAnsi="Arial"/>
                <w:sz w:val="18"/>
                <w:szCs w:val="18"/>
                <w:color w:val="auto"/>
              </w:rPr>
              <w:t>b)   proposer au conseil d'administration la décision sera soumise</w:t>
            </w:r>
          </w:p>
        </w:tc>
        <w:tc>
          <w:tcPr>
            <w:tcW w:w="0" w:type="dxa"/>
            <w:vAlign w:val="bottom"/>
          </w:tcPr>
          <w:p>
            <w:pPr>
              <w:spacing w:after="0"/>
              <w:rPr>
                <w:sz w:val="1"/>
                <w:szCs w:val="1"/>
                <w:color w:val="auto"/>
              </w:rPr>
            </w:pPr>
          </w:p>
        </w:tc>
      </w:tr>
      <w:tr>
        <w:trPr>
          <w:trHeight w:val="203"/>
        </w:trPr>
        <w:tc>
          <w:tcPr>
            <w:tcW w:w="360" w:type="dxa"/>
            <w:vAlign w:val="bottom"/>
          </w:tcPr>
          <w:p>
            <w:pPr>
              <w:spacing w:after="0"/>
              <w:rPr>
                <w:sz w:val="17"/>
                <w:szCs w:val="17"/>
                <w:color w:val="auto"/>
              </w:rPr>
            </w:pPr>
          </w:p>
        </w:tc>
        <w:tc>
          <w:tcPr>
            <w:tcW w:w="5280" w:type="dxa"/>
            <w:vAlign w:val="bottom"/>
          </w:tcPr>
          <w:p>
            <w:pPr>
              <w:ind w:left="120"/>
              <w:spacing w:after="0" w:line="202" w:lineRule="exact"/>
              <w:rPr>
                <w:sz w:val="20"/>
                <w:szCs w:val="20"/>
                <w:color w:val="auto"/>
              </w:rPr>
            </w:pPr>
            <w:r>
              <w:rPr>
                <w:rFonts w:ascii="Arial" w:cs="Arial" w:eastAsia="Arial" w:hAnsi="Arial"/>
                <w:sz w:val="18"/>
                <w:szCs w:val="18"/>
                <w:color w:val="auto"/>
              </w:rPr>
              <w:t>submitted to the Ordinary General Meeting for the maximum</w:t>
            </w:r>
          </w:p>
        </w:tc>
        <w:tc>
          <w:tcPr>
            <w:tcW w:w="440" w:type="dxa"/>
            <w:vAlign w:val="bottom"/>
          </w:tcPr>
          <w:p>
            <w:pPr>
              <w:spacing w:after="0"/>
              <w:rPr>
                <w:sz w:val="17"/>
                <w:szCs w:val="17"/>
                <w:color w:val="auto"/>
              </w:rPr>
            </w:pPr>
          </w:p>
        </w:tc>
        <w:tc>
          <w:tcPr>
            <w:tcW w:w="5160" w:type="dxa"/>
            <w:vAlign w:val="bottom"/>
          </w:tcPr>
          <w:p>
            <w:pPr>
              <w:ind w:left="120"/>
              <w:spacing w:after="0" w:line="202" w:lineRule="exact"/>
              <w:rPr>
                <w:sz w:val="20"/>
                <w:szCs w:val="20"/>
                <w:color w:val="auto"/>
              </w:rPr>
            </w:pPr>
            <w:r>
              <w:rPr>
                <w:rFonts w:ascii="Arial" w:cs="Arial" w:eastAsia="Arial" w:hAnsi="Arial"/>
                <w:sz w:val="18"/>
                <w:szCs w:val="18"/>
                <w:color w:val="auto"/>
              </w:rPr>
              <w:t>à l'assemblée générale ordinaire pour la rémunération totale</w:t>
            </w:r>
          </w:p>
        </w:tc>
        <w:tc>
          <w:tcPr>
            <w:tcW w:w="0" w:type="dxa"/>
            <w:vAlign w:val="bottom"/>
          </w:tcPr>
          <w:p>
            <w:pPr>
              <w:spacing w:after="0"/>
              <w:rPr>
                <w:sz w:val="1"/>
                <w:szCs w:val="1"/>
                <w:color w:val="auto"/>
              </w:rPr>
            </w:pPr>
          </w:p>
        </w:tc>
      </w:tr>
      <w:tr>
        <w:trPr>
          <w:trHeight w:val="203"/>
        </w:trPr>
        <w:tc>
          <w:tcPr>
            <w:tcW w:w="360" w:type="dxa"/>
            <w:vAlign w:val="bottom"/>
          </w:tcPr>
          <w:p>
            <w:pPr>
              <w:spacing w:after="0"/>
              <w:rPr>
                <w:sz w:val="17"/>
                <w:szCs w:val="17"/>
                <w:color w:val="auto"/>
              </w:rPr>
            </w:pPr>
          </w:p>
        </w:tc>
        <w:tc>
          <w:tcPr>
            <w:tcW w:w="5280" w:type="dxa"/>
            <w:vAlign w:val="bottom"/>
          </w:tcPr>
          <w:p>
            <w:pPr>
              <w:ind w:left="120"/>
              <w:spacing w:after="0" w:line="202" w:lineRule="exact"/>
              <w:rPr>
                <w:sz w:val="20"/>
                <w:szCs w:val="20"/>
                <w:color w:val="auto"/>
              </w:rPr>
            </w:pPr>
            <w:r>
              <w:rPr>
                <w:rFonts w:ascii="Arial" w:cs="Arial" w:eastAsia="Arial" w:hAnsi="Arial"/>
                <w:sz w:val="18"/>
                <w:szCs w:val="18"/>
                <w:color w:val="auto"/>
              </w:rPr>
              <w:t>total compensation of the Board of Directors and Executive</w:t>
            </w:r>
          </w:p>
        </w:tc>
        <w:tc>
          <w:tcPr>
            <w:tcW w:w="440" w:type="dxa"/>
            <w:vAlign w:val="bottom"/>
          </w:tcPr>
          <w:p>
            <w:pPr>
              <w:spacing w:after="0"/>
              <w:rPr>
                <w:sz w:val="17"/>
                <w:szCs w:val="17"/>
                <w:color w:val="auto"/>
              </w:rPr>
            </w:pPr>
          </w:p>
        </w:tc>
        <w:tc>
          <w:tcPr>
            <w:tcW w:w="5160" w:type="dxa"/>
            <w:vAlign w:val="bottom"/>
          </w:tcPr>
          <w:p>
            <w:pPr>
              <w:ind w:left="120"/>
              <w:spacing w:after="0" w:line="202" w:lineRule="exact"/>
              <w:rPr>
                <w:sz w:val="20"/>
                <w:szCs w:val="20"/>
                <w:color w:val="auto"/>
              </w:rPr>
            </w:pPr>
            <w:r>
              <w:rPr>
                <w:rFonts w:ascii="Arial" w:cs="Arial" w:eastAsia="Arial" w:hAnsi="Arial"/>
                <w:sz w:val="18"/>
                <w:szCs w:val="18"/>
                <w:color w:val="auto"/>
              </w:rPr>
              <w:t>maximale du conseil d'administration et du comité exécutif;</w:t>
            </w:r>
          </w:p>
        </w:tc>
        <w:tc>
          <w:tcPr>
            <w:tcW w:w="0" w:type="dxa"/>
            <w:vAlign w:val="bottom"/>
          </w:tcPr>
          <w:p>
            <w:pPr>
              <w:spacing w:after="0"/>
              <w:rPr>
                <w:sz w:val="1"/>
                <w:szCs w:val="1"/>
                <w:color w:val="auto"/>
              </w:rPr>
            </w:pPr>
          </w:p>
        </w:tc>
      </w:tr>
      <w:tr>
        <w:trPr>
          <w:trHeight w:val="217"/>
        </w:trPr>
        <w:tc>
          <w:tcPr>
            <w:tcW w:w="360" w:type="dxa"/>
            <w:vAlign w:val="bottom"/>
          </w:tcPr>
          <w:p>
            <w:pPr>
              <w:spacing w:after="0"/>
              <w:rPr>
                <w:sz w:val="18"/>
                <w:szCs w:val="18"/>
                <w:color w:val="auto"/>
              </w:rPr>
            </w:pPr>
          </w:p>
        </w:tc>
        <w:tc>
          <w:tcPr>
            <w:tcW w:w="5280" w:type="dxa"/>
            <w:vAlign w:val="bottom"/>
          </w:tcPr>
          <w:p>
            <w:pPr>
              <w:ind w:left="120"/>
              <w:spacing w:after="0"/>
              <w:rPr>
                <w:sz w:val="20"/>
                <w:szCs w:val="20"/>
                <w:color w:val="auto"/>
              </w:rPr>
            </w:pPr>
            <w:r>
              <w:rPr>
                <w:rFonts w:ascii="Arial" w:cs="Arial" w:eastAsia="Arial" w:hAnsi="Arial"/>
                <w:sz w:val="18"/>
                <w:szCs w:val="18"/>
                <w:color w:val="auto"/>
              </w:rPr>
              <w:t>Committee;</w:t>
            </w:r>
          </w:p>
        </w:tc>
        <w:tc>
          <w:tcPr>
            <w:tcW w:w="5600" w:type="dxa"/>
            <w:vAlign w:val="bottom"/>
            <w:gridSpan w:val="2"/>
            <w:vMerge w:val="restart"/>
          </w:tcPr>
          <w:p>
            <w:pPr>
              <w:ind w:left="180"/>
              <w:spacing w:after="0"/>
              <w:rPr>
                <w:sz w:val="20"/>
                <w:szCs w:val="20"/>
                <w:color w:val="auto"/>
              </w:rPr>
            </w:pPr>
            <w:r>
              <w:rPr>
                <w:rFonts w:ascii="Arial" w:cs="Arial" w:eastAsia="Arial" w:hAnsi="Arial"/>
                <w:sz w:val="18"/>
                <w:szCs w:val="18"/>
                <w:color w:val="auto"/>
              </w:rPr>
              <w:t>c)   sous réserve et dans les limites de la rémunération maximale</w:t>
            </w:r>
          </w:p>
        </w:tc>
        <w:tc>
          <w:tcPr>
            <w:tcW w:w="0" w:type="dxa"/>
            <w:vAlign w:val="bottom"/>
          </w:tcPr>
          <w:p>
            <w:pPr>
              <w:spacing w:after="0"/>
              <w:rPr>
                <w:sz w:val="1"/>
                <w:szCs w:val="1"/>
                <w:color w:val="auto"/>
              </w:rPr>
            </w:pPr>
          </w:p>
        </w:tc>
      </w:tr>
      <w:tr>
        <w:trPr>
          <w:trHeight w:val="188"/>
        </w:trPr>
        <w:tc>
          <w:tcPr>
            <w:tcW w:w="360" w:type="dxa"/>
            <w:vAlign w:val="bottom"/>
          </w:tcPr>
          <w:p>
            <w:pPr>
              <w:spacing w:after="0"/>
              <w:rPr>
                <w:sz w:val="16"/>
                <w:szCs w:val="16"/>
                <w:color w:val="auto"/>
              </w:rPr>
            </w:pPr>
          </w:p>
        </w:tc>
        <w:tc>
          <w:tcPr>
            <w:tcW w:w="5280" w:type="dxa"/>
            <w:vAlign w:val="bottom"/>
          </w:tcPr>
          <w:p>
            <w:pPr>
              <w:spacing w:after="0"/>
              <w:rPr>
                <w:sz w:val="16"/>
                <w:szCs w:val="16"/>
                <w:color w:val="auto"/>
              </w:rPr>
            </w:pPr>
          </w:p>
        </w:tc>
        <w:tc>
          <w:tcPr>
            <w:tcW w:w="560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360" w:type="dxa"/>
            <w:vAlign w:val="bottom"/>
          </w:tcPr>
          <w:p>
            <w:pPr>
              <w:ind w:left="100"/>
              <w:spacing w:after="0" w:line="202" w:lineRule="exact"/>
              <w:rPr>
                <w:sz w:val="20"/>
                <w:szCs w:val="20"/>
                <w:color w:val="auto"/>
              </w:rPr>
            </w:pPr>
            <w:r>
              <w:rPr>
                <w:rFonts w:ascii="Arial" w:cs="Arial" w:eastAsia="Arial" w:hAnsi="Arial"/>
                <w:sz w:val="18"/>
                <w:szCs w:val="18"/>
                <w:color w:val="auto"/>
              </w:rPr>
              <w:t>c)</w:t>
            </w:r>
          </w:p>
        </w:tc>
        <w:tc>
          <w:tcPr>
            <w:tcW w:w="5280" w:type="dxa"/>
            <w:vAlign w:val="bottom"/>
          </w:tcPr>
          <w:p>
            <w:pPr>
              <w:jc w:val="right"/>
              <w:ind w:right="110"/>
              <w:spacing w:after="0" w:line="202" w:lineRule="exact"/>
              <w:rPr>
                <w:sz w:val="20"/>
                <w:szCs w:val="20"/>
                <w:color w:val="auto"/>
              </w:rPr>
            </w:pPr>
            <w:r>
              <w:rPr>
                <w:rFonts w:ascii="Arial" w:cs="Arial" w:eastAsia="Arial" w:hAnsi="Arial"/>
                <w:sz w:val="18"/>
                <w:szCs w:val="18"/>
                <w:color w:val="auto"/>
              </w:rPr>
              <w:t>subject  to  and  within  the  bounds  of  the  maximum</w:t>
            </w:r>
          </w:p>
        </w:tc>
        <w:tc>
          <w:tcPr>
            <w:tcW w:w="440" w:type="dxa"/>
            <w:vAlign w:val="bottom"/>
          </w:tcPr>
          <w:p>
            <w:pPr>
              <w:spacing w:after="0"/>
              <w:rPr>
                <w:sz w:val="17"/>
                <w:szCs w:val="17"/>
                <w:color w:val="auto"/>
              </w:rPr>
            </w:pPr>
          </w:p>
        </w:tc>
        <w:tc>
          <w:tcPr>
            <w:tcW w:w="5160" w:type="dxa"/>
            <w:vAlign w:val="bottom"/>
          </w:tcPr>
          <w:p>
            <w:pPr>
              <w:ind w:left="120"/>
              <w:spacing w:after="0" w:line="202" w:lineRule="exact"/>
              <w:rPr>
                <w:sz w:val="20"/>
                <w:szCs w:val="20"/>
                <w:color w:val="auto"/>
              </w:rPr>
            </w:pPr>
            <w:r>
              <w:rPr>
                <w:rFonts w:ascii="Arial" w:cs="Arial" w:eastAsia="Arial" w:hAnsi="Arial"/>
                <w:sz w:val="18"/>
                <w:szCs w:val="18"/>
                <w:color w:val="auto"/>
              </w:rPr>
              <w:t>approuvée  par  l'assemblée  générale  ordinaire, demander</w:t>
            </w:r>
          </w:p>
        </w:tc>
        <w:tc>
          <w:tcPr>
            <w:tcW w:w="0" w:type="dxa"/>
            <w:vAlign w:val="bottom"/>
          </w:tcPr>
          <w:p>
            <w:pPr>
              <w:spacing w:after="0"/>
              <w:rPr>
                <w:sz w:val="1"/>
                <w:szCs w:val="1"/>
                <w:color w:val="auto"/>
              </w:rPr>
            </w:pPr>
          </w:p>
        </w:tc>
      </w:tr>
      <w:tr>
        <w:trPr>
          <w:trHeight w:val="203"/>
        </w:trPr>
        <w:tc>
          <w:tcPr>
            <w:tcW w:w="360" w:type="dxa"/>
            <w:vAlign w:val="bottom"/>
          </w:tcPr>
          <w:p>
            <w:pPr>
              <w:spacing w:after="0"/>
              <w:rPr>
                <w:sz w:val="17"/>
                <w:szCs w:val="17"/>
                <w:color w:val="auto"/>
              </w:rPr>
            </w:pPr>
          </w:p>
        </w:tc>
        <w:tc>
          <w:tcPr>
            <w:tcW w:w="5280" w:type="dxa"/>
            <w:vAlign w:val="bottom"/>
          </w:tcPr>
          <w:p>
            <w:pPr>
              <w:ind w:left="120"/>
              <w:spacing w:after="0" w:line="202" w:lineRule="exact"/>
              <w:rPr>
                <w:sz w:val="20"/>
                <w:szCs w:val="20"/>
                <w:color w:val="auto"/>
              </w:rPr>
            </w:pPr>
            <w:r>
              <w:rPr>
                <w:rFonts w:ascii="Arial" w:cs="Arial" w:eastAsia="Arial" w:hAnsi="Arial"/>
                <w:sz w:val="18"/>
                <w:szCs w:val="18"/>
                <w:color w:val="auto"/>
              </w:rPr>
              <w:t>compensation approved by the Ordinary General Meeting, to</w:t>
            </w:r>
          </w:p>
        </w:tc>
        <w:tc>
          <w:tcPr>
            <w:tcW w:w="440" w:type="dxa"/>
            <w:vAlign w:val="bottom"/>
          </w:tcPr>
          <w:p>
            <w:pPr>
              <w:spacing w:after="0"/>
              <w:rPr>
                <w:sz w:val="17"/>
                <w:szCs w:val="17"/>
                <w:color w:val="auto"/>
              </w:rPr>
            </w:pPr>
          </w:p>
        </w:tc>
        <w:tc>
          <w:tcPr>
            <w:tcW w:w="5160" w:type="dxa"/>
            <w:vAlign w:val="bottom"/>
          </w:tcPr>
          <w:p>
            <w:pPr>
              <w:ind w:left="120"/>
              <w:spacing w:after="0" w:line="202" w:lineRule="exact"/>
              <w:rPr>
                <w:sz w:val="20"/>
                <w:szCs w:val="20"/>
                <w:color w:val="auto"/>
              </w:rPr>
            </w:pPr>
            <w:r>
              <w:rPr>
                <w:rFonts w:ascii="Arial" w:cs="Arial" w:eastAsia="Arial" w:hAnsi="Arial"/>
                <w:sz w:val="18"/>
                <w:szCs w:val="18"/>
                <w:color w:val="auto"/>
              </w:rPr>
              <w:t>l'approbation du conseil d'administration quant aux paquets</w:t>
            </w:r>
          </w:p>
        </w:tc>
        <w:tc>
          <w:tcPr>
            <w:tcW w:w="0" w:type="dxa"/>
            <w:vAlign w:val="bottom"/>
          </w:tcPr>
          <w:p>
            <w:pPr>
              <w:spacing w:after="0"/>
              <w:rPr>
                <w:sz w:val="1"/>
                <w:szCs w:val="1"/>
                <w:color w:val="auto"/>
              </w:rPr>
            </w:pPr>
          </w:p>
        </w:tc>
      </w:tr>
      <w:tr>
        <w:trPr>
          <w:trHeight w:val="203"/>
        </w:trPr>
        <w:tc>
          <w:tcPr>
            <w:tcW w:w="360" w:type="dxa"/>
            <w:vAlign w:val="bottom"/>
          </w:tcPr>
          <w:p>
            <w:pPr>
              <w:spacing w:after="0"/>
              <w:rPr>
                <w:sz w:val="17"/>
                <w:szCs w:val="17"/>
                <w:color w:val="auto"/>
              </w:rPr>
            </w:pPr>
          </w:p>
        </w:tc>
        <w:tc>
          <w:tcPr>
            <w:tcW w:w="5280" w:type="dxa"/>
            <w:vAlign w:val="bottom"/>
          </w:tcPr>
          <w:p>
            <w:pPr>
              <w:ind w:left="120"/>
              <w:spacing w:after="0" w:line="202" w:lineRule="exact"/>
              <w:rPr>
                <w:sz w:val="20"/>
                <w:szCs w:val="20"/>
                <w:color w:val="auto"/>
              </w:rPr>
            </w:pPr>
            <w:r>
              <w:rPr>
                <w:rFonts w:ascii="Arial" w:cs="Arial" w:eastAsia="Arial" w:hAnsi="Arial"/>
                <w:sz w:val="18"/>
                <w:szCs w:val="18"/>
                <w:color w:val="auto"/>
              </w:rPr>
              <w:t>request approval by the Board of Directors of the individual</w:t>
            </w:r>
          </w:p>
        </w:tc>
        <w:tc>
          <w:tcPr>
            <w:tcW w:w="440" w:type="dxa"/>
            <w:vAlign w:val="bottom"/>
          </w:tcPr>
          <w:p>
            <w:pPr>
              <w:spacing w:after="0"/>
              <w:rPr>
                <w:sz w:val="17"/>
                <w:szCs w:val="17"/>
                <w:color w:val="auto"/>
              </w:rPr>
            </w:pPr>
          </w:p>
        </w:tc>
        <w:tc>
          <w:tcPr>
            <w:tcW w:w="5160" w:type="dxa"/>
            <w:vAlign w:val="bottom"/>
          </w:tcPr>
          <w:p>
            <w:pPr>
              <w:ind w:left="120"/>
              <w:spacing w:after="0" w:line="202" w:lineRule="exact"/>
              <w:rPr>
                <w:sz w:val="20"/>
                <w:szCs w:val="20"/>
                <w:color w:val="auto"/>
              </w:rPr>
            </w:pPr>
            <w:r>
              <w:rPr>
                <w:rFonts w:ascii="Arial" w:cs="Arial" w:eastAsia="Arial" w:hAnsi="Arial"/>
                <w:sz w:val="18"/>
                <w:szCs w:val="18"/>
                <w:color w:val="auto"/>
              </w:rPr>
              <w:t>de rémunération individuels devant être versés aux membres</w:t>
            </w:r>
          </w:p>
        </w:tc>
        <w:tc>
          <w:tcPr>
            <w:tcW w:w="0" w:type="dxa"/>
            <w:vAlign w:val="bottom"/>
          </w:tcPr>
          <w:p>
            <w:pPr>
              <w:spacing w:after="0"/>
              <w:rPr>
                <w:sz w:val="1"/>
                <w:szCs w:val="1"/>
                <w:color w:val="auto"/>
              </w:rPr>
            </w:pPr>
          </w:p>
        </w:tc>
      </w:tr>
      <w:tr>
        <w:trPr>
          <w:trHeight w:val="203"/>
        </w:trPr>
        <w:tc>
          <w:tcPr>
            <w:tcW w:w="360" w:type="dxa"/>
            <w:vAlign w:val="bottom"/>
          </w:tcPr>
          <w:p>
            <w:pPr>
              <w:spacing w:after="0"/>
              <w:rPr>
                <w:sz w:val="17"/>
                <w:szCs w:val="17"/>
                <w:color w:val="auto"/>
              </w:rPr>
            </w:pPr>
          </w:p>
        </w:tc>
        <w:tc>
          <w:tcPr>
            <w:tcW w:w="5280" w:type="dxa"/>
            <w:vAlign w:val="bottom"/>
          </w:tcPr>
          <w:p>
            <w:pPr>
              <w:ind w:left="120"/>
              <w:spacing w:after="0" w:line="202" w:lineRule="exact"/>
              <w:rPr>
                <w:sz w:val="20"/>
                <w:szCs w:val="20"/>
                <w:color w:val="auto"/>
              </w:rPr>
            </w:pPr>
            <w:r>
              <w:rPr>
                <w:rFonts w:ascii="Arial" w:cs="Arial" w:eastAsia="Arial" w:hAnsi="Arial"/>
                <w:sz w:val="18"/>
                <w:szCs w:val="18"/>
                <w:color w:val="auto"/>
              </w:rPr>
              <w:t>remuneration packages to be paid to members of the Board of</w:t>
            </w:r>
          </w:p>
        </w:tc>
        <w:tc>
          <w:tcPr>
            <w:tcW w:w="440" w:type="dxa"/>
            <w:vAlign w:val="bottom"/>
          </w:tcPr>
          <w:p>
            <w:pPr>
              <w:spacing w:after="0"/>
              <w:rPr>
                <w:sz w:val="17"/>
                <w:szCs w:val="17"/>
                <w:color w:val="auto"/>
              </w:rPr>
            </w:pPr>
          </w:p>
        </w:tc>
        <w:tc>
          <w:tcPr>
            <w:tcW w:w="5160" w:type="dxa"/>
            <w:vAlign w:val="bottom"/>
          </w:tcPr>
          <w:p>
            <w:pPr>
              <w:ind w:left="120"/>
              <w:spacing w:after="0" w:line="202" w:lineRule="exact"/>
              <w:rPr>
                <w:sz w:val="20"/>
                <w:szCs w:val="20"/>
                <w:color w:val="auto"/>
              </w:rPr>
            </w:pPr>
            <w:r>
              <w:rPr>
                <w:rFonts w:ascii="Arial" w:cs="Arial" w:eastAsia="Arial" w:hAnsi="Arial"/>
                <w:sz w:val="18"/>
                <w:szCs w:val="18"/>
                <w:color w:val="auto"/>
              </w:rPr>
              <w:t>du  conseil  d'administration  et  aux  membres  du  comité</w:t>
            </w:r>
          </w:p>
        </w:tc>
        <w:tc>
          <w:tcPr>
            <w:tcW w:w="0" w:type="dxa"/>
            <w:vAlign w:val="bottom"/>
          </w:tcPr>
          <w:p>
            <w:pPr>
              <w:spacing w:after="0"/>
              <w:rPr>
                <w:sz w:val="1"/>
                <w:szCs w:val="1"/>
                <w:color w:val="auto"/>
              </w:rPr>
            </w:pPr>
          </w:p>
        </w:tc>
      </w:tr>
      <w:tr>
        <w:trPr>
          <w:trHeight w:val="217"/>
        </w:trPr>
        <w:tc>
          <w:tcPr>
            <w:tcW w:w="360" w:type="dxa"/>
            <w:vAlign w:val="bottom"/>
          </w:tcPr>
          <w:p>
            <w:pPr>
              <w:spacing w:after="0"/>
              <w:rPr>
                <w:sz w:val="18"/>
                <w:szCs w:val="18"/>
                <w:color w:val="auto"/>
              </w:rPr>
            </w:pPr>
          </w:p>
        </w:tc>
        <w:tc>
          <w:tcPr>
            <w:tcW w:w="5280" w:type="dxa"/>
            <w:vAlign w:val="bottom"/>
          </w:tcPr>
          <w:p>
            <w:pPr>
              <w:ind w:left="120"/>
              <w:spacing w:after="0"/>
              <w:rPr>
                <w:sz w:val="20"/>
                <w:szCs w:val="20"/>
                <w:color w:val="auto"/>
              </w:rPr>
            </w:pPr>
            <w:r>
              <w:rPr>
                <w:rFonts w:ascii="Arial" w:cs="Arial" w:eastAsia="Arial" w:hAnsi="Arial"/>
                <w:sz w:val="18"/>
                <w:szCs w:val="18"/>
                <w:color w:val="auto"/>
              </w:rPr>
              <w:t>Directors and members of the Executive Committee;</w:t>
            </w:r>
          </w:p>
        </w:tc>
        <w:tc>
          <w:tcPr>
            <w:tcW w:w="440" w:type="dxa"/>
            <w:vAlign w:val="bottom"/>
          </w:tcPr>
          <w:p>
            <w:pPr>
              <w:spacing w:after="0"/>
              <w:rPr>
                <w:sz w:val="18"/>
                <w:szCs w:val="18"/>
                <w:color w:val="auto"/>
              </w:rPr>
            </w:pPr>
          </w:p>
        </w:tc>
        <w:tc>
          <w:tcPr>
            <w:tcW w:w="5160" w:type="dxa"/>
            <w:vAlign w:val="bottom"/>
          </w:tcPr>
          <w:p>
            <w:pPr>
              <w:ind w:left="120"/>
              <w:spacing w:after="0"/>
              <w:rPr>
                <w:sz w:val="20"/>
                <w:szCs w:val="20"/>
                <w:color w:val="auto"/>
              </w:rPr>
            </w:pPr>
            <w:r>
              <w:rPr>
                <w:rFonts w:ascii="Arial" w:cs="Arial" w:eastAsia="Arial" w:hAnsi="Arial"/>
                <w:sz w:val="18"/>
                <w:szCs w:val="18"/>
                <w:color w:val="auto"/>
              </w:rPr>
              <w:t>exécutif;</w:t>
            </w:r>
          </w:p>
        </w:tc>
        <w:tc>
          <w:tcPr>
            <w:tcW w:w="0" w:type="dxa"/>
            <w:vAlign w:val="bottom"/>
          </w:tcPr>
          <w:p>
            <w:pPr>
              <w:spacing w:after="0"/>
              <w:rPr>
                <w:sz w:val="1"/>
                <w:szCs w:val="1"/>
                <w:color w:val="auto"/>
              </w:rPr>
            </w:pPr>
          </w:p>
        </w:tc>
      </w:tr>
      <w:tr>
        <w:trPr>
          <w:trHeight w:val="391"/>
        </w:trPr>
        <w:tc>
          <w:tcPr>
            <w:tcW w:w="5640" w:type="dxa"/>
            <w:vAlign w:val="bottom"/>
            <w:gridSpan w:val="2"/>
          </w:tcPr>
          <w:p>
            <w:pPr>
              <w:ind w:left="100"/>
              <w:spacing w:after="0"/>
              <w:rPr>
                <w:sz w:val="20"/>
                <w:szCs w:val="20"/>
                <w:color w:val="auto"/>
              </w:rPr>
            </w:pPr>
            <w:r>
              <w:rPr>
                <w:rFonts w:ascii="Arial" w:cs="Arial" w:eastAsia="Arial" w:hAnsi="Arial"/>
                <w:sz w:val="18"/>
                <w:szCs w:val="18"/>
                <w:color w:val="auto"/>
              </w:rPr>
              <w:t>d)   to request approval by the Board of Directors regarding the</w:t>
            </w:r>
          </w:p>
        </w:tc>
        <w:tc>
          <w:tcPr>
            <w:tcW w:w="5600" w:type="dxa"/>
            <w:vAlign w:val="bottom"/>
            <w:gridSpan w:val="2"/>
          </w:tcPr>
          <w:p>
            <w:pPr>
              <w:ind w:left="180"/>
              <w:spacing w:after="0"/>
              <w:rPr>
                <w:sz w:val="20"/>
                <w:szCs w:val="20"/>
                <w:color w:val="auto"/>
              </w:rPr>
            </w:pPr>
            <w:r>
              <w:rPr>
                <w:rFonts w:ascii="Arial" w:cs="Arial" w:eastAsia="Arial" w:hAnsi="Arial"/>
                <w:sz w:val="18"/>
                <w:szCs w:val="18"/>
                <w:color w:val="auto"/>
              </w:rPr>
              <w:t>d)  requérir l'approbation du conseil d'administration sur la fixation</w:t>
            </w:r>
          </w:p>
        </w:tc>
        <w:tc>
          <w:tcPr>
            <w:tcW w:w="0" w:type="dxa"/>
            <w:vAlign w:val="bottom"/>
          </w:tcPr>
          <w:p>
            <w:pPr>
              <w:spacing w:after="0"/>
              <w:rPr>
                <w:sz w:val="1"/>
                <w:szCs w:val="1"/>
                <w:color w:val="auto"/>
              </w:rPr>
            </w:pPr>
          </w:p>
        </w:tc>
      </w:tr>
      <w:tr>
        <w:trPr>
          <w:trHeight w:val="203"/>
        </w:trPr>
        <w:tc>
          <w:tcPr>
            <w:tcW w:w="360" w:type="dxa"/>
            <w:vAlign w:val="bottom"/>
          </w:tcPr>
          <w:p>
            <w:pPr>
              <w:spacing w:after="0"/>
              <w:rPr>
                <w:sz w:val="17"/>
                <w:szCs w:val="17"/>
                <w:color w:val="auto"/>
              </w:rPr>
            </w:pPr>
          </w:p>
        </w:tc>
        <w:tc>
          <w:tcPr>
            <w:tcW w:w="5280" w:type="dxa"/>
            <w:vAlign w:val="bottom"/>
          </w:tcPr>
          <w:p>
            <w:pPr>
              <w:ind w:left="120"/>
              <w:spacing w:after="0" w:line="202" w:lineRule="exact"/>
              <w:rPr>
                <w:sz w:val="20"/>
                <w:szCs w:val="20"/>
                <w:color w:val="auto"/>
              </w:rPr>
            </w:pPr>
            <w:r>
              <w:rPr>
                <w:rFonts w:ascii="Arial" w:cs="Arial" w:eastAsia="Arial" w:hAnsi="Arial"/>
                <w:sz w:val="18"/>
                <w:szCs w:val="18"/>
                <w:color w:val="auto"/>
              </w:rPr>
              <w:t>determination  of the compensation-related targets for the</w:t>
            </w:r>
          </w:p>
        </w:tc>
        <w:tc>
          <w:tcPr>
            <w:tcW w:w="440" w:type="dxa"/>
            <w:vAlign w:val="bottom"/>
          </w:tcPr>
          <w:p>
            <w:pPr>
              <w:spacing w:after="0"/>
              <w:rPr>
                <w:sz w:val="17"/>
                <w:szCs w:val="17"/>
                <w:color w:val="auto"/>
              </w:rPr>
            </w:pPr>
          </w:p>
        </w:tc>
        <w:tc>
          <w:tcPr>
            <w:tcW w:w="5160" w:type="dxa"/>
            <w:vAlign w:val="bottom"/>
          </w:tcPr>
          <w:p>
            <w:pPr>
              <w:ind w:left="120"/>
              <w:spacing w:after="0" w:line="202" w:lineRule="exact"/>
              <w:rPr>
                <w:sz w:val="20"/>
                <w:szCs w:val="20"/>
                <w:color w:val="auto"/>
              </w:rPr>
            </w:pPr>
            <w:r>
              <w:rPr>
                <w:rFonts w:ascii="Arial" w:cs="Arial" w:eastAsia="Arial" w:hAnsi="Arial"/>
                <w:sz w:val="18"/>
                <w:szCs w:val="18"/>
                <w:color w:val="auto"/>
              </w:rPr>
              <w:t>d'objectifs liés à la rémunération pour le comité exécutif;</w:t>
            </w:r>
          </w:p>
        </w:tc>
        <w:tc>
          <w:tcPr>
            <w:tcW w:w="0" w:type="dxa"/>
            <w:vAlign w:val="bottom"/>
          </w:tcPr>
          <w:p>
            <w:pPr>
              <w:spacing w:after="0"/>
              <w:rPr>
                <w:sz w:val="1"/>
                <w:szCs w:val="1"/>
                <w:color w:val="auto"/>
              </w:rPr>
            </w:pPr>
          </w:p>
        </w:tc>
      </w:tr>
      <w:tr>
        <w:trPr>
          <w:trHeight w:val="217"/>
        </w:trPr>
        <w:tc>
          <w:tcPr>
            <w:tcW w:w="360" w:type="dxa"/>
            <w:vAlign w:val="bottom"/>
          </w:tcPr>
          <w:p>
            <w:pPr>
              <w:spacing w:after="0"/>
              <w:rPr>
                <w:sz w:val="18"/>
                <w:szCs w:val="18"/>
                <w:color w:val="auto"/>
              </w:rPr>
            </w:pPr>
          </w:p>
        </w:tc>
        <w:tc>
          <w:tcPr>
            <w:tcW w:w="5280" w:type="dxa"/>
            <w:vAlign w:val="bottom"/>
          </w:tcPr>
          <w:p>
            <w:pPr>
              <w:ind w:left="120"/>
              <w:spacing w:after="0"/>
              <w:rPr>
                <w:sz w:val="20"/>
                <w:szCs w:val="20"/>
                <w:color w:val="auto"/>
              </w:rPr>
            </w:pPr>
            <w:r>
              <w:rPr>
                <w:rFonts w:ascii="Arial" w:cs="Arial" w:eastAsia="Arial" w:hAnsi="Arial"/>
                <w:sz w:val="18"/>
                <w:szCs w:val="18"/>
                <w:color w:val="auto"/>
              </w:rPr>
              <w:t>Executive Committee;</w:t>
            </w:r>
          </w:p>
        </w:tc>
        <w:tc>
          <w:tcPr>
            <w:tcW w:w="440" w:type="dxa"/>
            <w:vAlign w:val="bottom"/>
            <w:vMerge w:val="restart"/>
          </w:tcPr>
          <w:p>
            <w:pPr>
              <w:ind w:left="180"/>
              <w:spacing w:after="0"/>
              <w:rPr>
                <w:sz w:val="20"/>
                <w:szCs w:val="20"/>
                <w:color w:val="auto"/>
              </w:rPr>
            </w:pPr>
            <w:r>
              <w:rPr>
                <w:rFonts w:ascii="Arial" w:cs="Arial" w:eastAsia="Arial" w:hAnsi="Arial"/>
                <w:sz w:val="18"/>
                <w:szCs w:val="18"/>
                <w:color w:val="auto"/>
              </w:rPr>
              <w:t>e)</w:t>
            </w:r>
          </w:p>
        </w:tc>
        <w:tc>
          <w:tcPr>
            <w:tcW w:w="5160" w:type="dxa"/>
            <w:vAlign w:val="bottom"/>
            <w:vMerge w:val="restart"/>
          </w:tcPr>
          <w:p>
            <w:pPr>
              <w:jc w:val="right"/>
              <w:ind w:right="11"/>
              <w:spacing w:after="0"/>
              <w:rPr>
                <w:sz w:val="20"/>
                <w:szCs w:val="20"/>
                <w:color w:val="auto"/>
              </w:rPr>
            </w:pPr>
            <w:r>
              <w:rPr>
                <w:rFonts w:ascii="Arial" w:cs="Arial" w:eastAsia="Arial" w:hAnsi="Arial"/>
                <w:sz w:val="18"/>
                <w:szCs w:val="18"/>
                <w:color w:val="auto"/>
              </w:rPr>
              <w:t>requérir l'approbation du conseil d'administration sur les</w:t>
            </w:r>
          </w:p>
        </w:tc>
        <w:tc>
          <w:tcPr>
            <w:tcW w:w="0" w:type="dxa"/>
            <w:vAlign w:val="bottom"/>
          </w:tcPr>
          <w:p>
            <w:pPr>
              <w:spacing w:after="0"/>
              <w:rPr>
                <w:sz w:val="1"/>
                <w:szCs w:val="1"/>
                <w:color w:val="auto"/>
              </w:rPr>
            </w:pPr>
          </w:p>
        </w:tc>
      </w:tr>
      <w:tr>
        <w:trPr>
          <w:trHeight w:val="188"/>
        </w:trPr>
        <w:tc>
          <w:tcPr>
            <w:tcW w:w="360" w:type="dxa"/>
            <w:vAlign w:val="bottom"/>
          </w:tcPr>
          <w:p>
            <w:pPr>
              <w:spacing w:after="0"/>
              <w:rPr>
                <w:sz w:val="16"/>
                <w:szCs w:val="16"/>
                <w:color w:val="auto"/>
              </w:rPr>
            </w:pPr>
          </w:p>
        </w:tc>
        <w:tc>
          <w:tcPr>
            <w:tcW w:w="5280" w:type="dxa"/>
            <w:vAlign w:val="bottom"/>
          </w:tcPr>
          <w:p>
            <w:pPr>
              <w:spacing w:after="0"/>
              <w:rPr>
                <w:sz w:val="16"/>
                <w:szCs w:val="16"/>
                <w:color w:val="auto"/>
              </w:rPr>
            </w:pPr>
          </w:p>
        </w:tc>
        <w:tc>
          <w:tcPr>
            <w:tcW w:w="440" w:type="dxa"/>
            <w:vAlign w:val="bottom"/>
            <w:vMerge w:val="continue"/>
          </w:tcPr>
          <w:p>
            <w:pPr>
              <w:spacing w:after="0"/>
              <w:rPr>
                <w:sz w:val="16"/>
                <w:szCs w:val="16"/>
                <w:color w:val="auto"/>
              </w:rPr>
            </w:pPr>
          </w:p>
        </w:tc>
        <w:tc>
          <w:tcPr>
            <w:tcW w:w="51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5640" w:type="dxa"/>
            <w:vAlign w:val="bottom"/>
            <w:gridSpan w:val="2"/>
          </w:tcPr>
          <w:p>
            <w:pPr>
              <w:ind w:left="100"/>
              <w:spacing w:after="0" w:line="202" w:lineRule="exact"/>
              <w:rPr>
                <w:sz w:val="20"/>
                <w:szCs w:val="20"/>
                <w:color w:val="auto"/>
              </w:rPr>
            </w:pPr>
            <w:r>
              <w:rPr>
                <w:rFonts w:ascii="Arial" w:cs="Arial" w:eastAsia="Arial" w:hAnsi="Arial"/>
                <w:sz w:val="18"/>
                <w:szCs w:val="18"/>
                <w:color w:val="auto"/>
              </w:rPr>
              <w:t>e)   to request approval by the Board of Directors regarding the</w:t>
            </w:r>
          </w:p>
        </w:tc>
        <w:tc>
          <w:tcPr>
            <w:tcW w:w="440" w:type="dxa"/>
            <w:vAlign w:val="bottom"/>
          </w:tcPr>
          <w:p>
            <w:pPr>
              <w:spacing w:after="0"/>
              <w:rPr>
                <w:sz w:val="17"/>
                <w:szCs w:val="17"/>
                <w:color w:val="auto"/>
              </w:rPr>
            </w:pPr>
          </w:p>
        </w:tc>
        <w:tc>
          <w:tcPr>
            <w:tcW w:w="5160" w:type="dxa"/>
            <w:vAlign w:val="bottom"/>
          </w:tcPr>
          <w:p>
            <w:pPr>
              <w:ind w:left="120"/>
              <w:spacing w:after="0" w:line="202" w:lineRule="exact"/>
              <w:rPr>
                <w:sz w:val="20"/>
                <w:szCs w:val="20"/>
                <w:color w:val="auto"/>
              </w:rPr>
            </w:pPr>
            <w:r>
              <w:rPr>
                <w:rFonts w:ascii="Arial" w:cs="Arial" w:eastAsia="Arial" w:hAnsi="Arial"/>
                <w:sz w:val="18"/>
                <w:szCs w:val="18"/>
                <w:color w:val="auto"/>
              </w:rPr>
              <w:t>adaptations des statuts relatives à la rémunération; et</w:t>
            </w:r>
          </w:p>
        </w:tc>
        <w:tc>
          <w:tcPr>
            <w:tcW w:w="0" w:type="dxa"/>
            <w:vAlign w:val="bottom"/>
          </w:tcPr>
          <w:p>
            <w:pPr>
              <w:spacing w:after="0"/>
              <w:rPr>
                <w:sz w:val="1"/>
                <w:szCs w:val="1"/>
                <w:color w:val="auto"/>
              </w:rPr>
            </w:pPr>
          </w:p>
        </w:tc>
      </w:tr>
      <w:tr>
        <w:trPr>
          <w:trHeight w:val="203"/>
        </w:trPr>
        <w:tc>
          <w:tcPr>
            <w:tcW w:w="360" w:type="dxa"/>
            <w:vAlign w:val="bottom"/>
          </w:tcPr>
          <w:p>
            <w:pPr>
              <w:spacing w:after="0"/>
              <w:rPr>
                <w:sz w:val="17"/>
                <w:szCs w:val="17"/>
                <w:color w:val="auto"/>
              </w:rPr>
            </w:pPr>
          </w:p>
        </w:tc>
        <w:tc>
          <w:tcPr>
            <w:tcW w:w="5280" w:type="dxa"/>
            <w:vAlign w:val="bottom"/>
          </w:tcPr>
          <w:p>
            <w:pPr>
              <w:ind w:left="120"/>
              <w:spacing w:after="0" w:line="202" w:lineRule="exact"/>
              <w:rPr>
                <w:sz w:val="20"/>
                <w:szCs w:val="20"/>
                <w:color w:val="auto"/>
              </w:rPr>
            </w:pPr>
            <w:r>
              <w:rPr>
                <w:rFonts w:ascii="Arial" w:cs="Arial" w:eastAsia="Arial" w:hAnsi="Arial"/>
                <w:sz w:val="18"/>
                <w:szCs w:val="18"/>
                <w:color w:val="auto"/>
              </w:rPr>
              <w:t>adjustments  to  the  Articles  of  Association  relating  to</w:t>
            </w:r>
          </w:p>
        </w:tc>
        <w:tc>
          <w:tcPr>
            <w:tcW w:w="440" w:type="dxa"/>
            <w:vAlign w:val="bottom"/>
          </w:tcPr>
          <w:p>
            <w:pPr>
              <w:spacing w:after="0"/>
              <w:rPr>
                <w:sz w:val="17"/>
                <w:szCs w:val="17"/>
                <w:color w:val="auto"/>
              </w:rPr>
            </w:pPr>
          </w:p>
        </w:tc>
        <w:tc>
          <w:tcPr>
            <w:tcW w:w="5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60" w:type="dxa"/>
            <w:vAlign w:val="bottom"/>
          </w:tcPr>
          <w:p>
            <w:pPr>
              <w:spacing w:after="0"/>
              <w:rPr>
                <w:sz w:val="17"/>
                <w:szCs w:val="17"/>
                <w:color w:val="auto"/>
              </w:rPr>
            </w:pPr>
          </w:p>
        </w:tc>
        <w:tc>
          <w:tcPr>
            <w:tcW w:w="5280" w:type="dxa"/>
            <w:vAlign w:val="bottom"/>
          </w:tcPr>
          <w:p>
            <w:pPr>
              <w:ind w:left="120"/>
              <w:spacing w:after="0" w:line="202" w:lineRule="exact"/>
              <w:rPr>
                <w:sz w:val="20"/>
                <w:szCs w:val="20"/>
                <w:color w:val="auto"/>
              </w:rPr>
            </w:pPr>
            <w:r>
              <w:rPr>
                <w:rFonts w:ascii="Arial" w:cs="Arial" w:eastAsia="Arial" w:hAnsi="Arial"/>
                <w:sz w:val="18"/>
                <w:szCs w:val="18"/>
                <w:color w:val="auto"/>
              </w:rPr>
              <w:t>remuneration; and</w:t>
            </w:r>
          </w:p>
        </w:tc>
        <w:tc>
          <w:tcPr>
            <w:tcW w:w="440" w:type="dxa"/>
            <w:vAlign w:val="bottom"/>
          </w:tcPr>
          <w:p>
            <w:pPr>
              <w:ind w:left="180"/>
              <w:spacing w:after="0" w:line="202" w:lineRule="exact"/>
              <w:rPr>
                <w:sz w:val="20"/>
                <w:szCs w:val="20"/>
                <w:color w:val="auto"/>
              </w:rPr>
            </w:pPr>
            <w:r>
              <w:rPr>
                <w:rFonts w:ascii="Arial" w:cs="Arial" w:eastAsia="Arial" w:hAnsi="Arial"/>
                <w:sz w:val="18"/>
                <w:szCs w:val="18"/>
                <w:color w:val="auto"/>
              </w:rPr>
              <w:t>f)</w:t>
            </w:r>
          </w:p>
        </w:tc>
        <w:tc>
          <w:tcPr>
            <w:tcW w:w="5160" w:type="dxa"/>
            <w:vAlign w:val="bottom"/>
          </w:tcPr>
          <w:p>
            <w:pPr>
              <w:jc w:val="right"/>
              <w:ind w:right="11"/>
              <w:spacing w:after="0" w:line="202" w:lineRule="exact"/>
              <w:rPr>
                <w:sz w:val="20"/>
                <w:szCs w:val="20"/>
                <w:color w:val="auto"/>
              </w:rPr>
            </w:pPr>
            <w:r>
              <w:rPr>
                <w:rFonts w:ascii="Arial" w:cs="Arial" w:eastAsia="Arial" w:hAnsi="Arial"/>
                <w:sz w:val="18"/>
                <w:szCs w:val="18"/>
                <w:color w:val="auto"/>
              </w:rPr>
              <w:t>préparer le rapport de rémunération et de le soumettre au</w:t>
            </w:r>
          </w:p>
        </w:tc>
        <w:tc>
          <w:tcPr>
            <w:tcW w:w="0" w:type="dxa"/>
            <w:vAlign w:val="bottom"/>
          </w:tcPr>
          <w:p>
            <w:pPr>
              <w:spacing w:after="0"/>
              <w:rPr>
                <w:sz w:val="1"/>
                <w:szCs w:val="1"/>
                <w:color w:val="auto"/>
              </w:rPr>
            </w:pPr>
          </w:p>
        </w:tc>
      </w:tr>
      <w:tr>
        <w:trPr>
          <w:trHeight w:val="203"/>
        </w:trPr>
        <w:tc>
          <w:tcPr>
            <w:tcW w:w="360" w:type="dxa"/>
            <w:vAlign w:val="bottom"/>
          </w:tcPr>
          <w:p>
            <w:pPr>
              <w:spacing w:after="0"/>
              <w:rPr>
                <w:sz w:val="17"/>
                <w:szCs w:val="17"/>
                <w:color w:val="auto"/>
              </w:rPr>
            </w:pPr>
          </w:p>
        </w:tc>
        <w:tc>
          <w:tcPr>
            <w:tcW w:w="52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160" w:type="dxa"/>
            <w:vAlign w:val="bottom"/>
          </w:tcPr>
          <w:p>
            <w:pPr>
              <w:ind w:left="120"/>
              <w:spacing w:after="0" w:line="202" w:lineRule="exact"/>
              <w:rPr>
                <w:sz w:val="20"/>
                <w:szCs w:val="20"/>
                <w:color w:val="auto"/>
              </w:rPr>
            </w:pPr>
            <w:r>
              <w:rPr>
                <w:rFonts w:ascii="Arial" w:cs="Arial" w:eastAsia="Arial" w:hAnsi="Arial"/>
                <w:sz w:val="18"/>
                <w:szCs w:val="18"/>
                <w:color w:val="auto"/>
              </w:rPr>
              <w:t>conseil d'administration.</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-4645025</wp:posOffset>
            </wp:positionV>
            <wp:extent cx="7132320" cy="508317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5083175"/>
                    </a:xfrm>
                    <a:prstGeom prst="rect">
                      <a:avLst/>
                    </a:prstGeom>
                    <a:noFill/>
                  </pic:spPr>
                </pic:pic>
              </a:graphicData>
            </a:graphic>
          </wp:anchor>
        </w:drawing>
      </w:r>
    </w:p>
    <w:p>
      <w:pPr>
        <w:ind w:left="480" w:right="5800" w:hanging="387"/>
        <w:spacing w:after="0" w:line="246" w:lineRule="auto"/>
        <w:tabs>
          <w:tab w:leader="none" w:pos="406" w:val="left"/>
        </w:tabs>
        <w:numPr>
          <w:ilvl w:val="0"/>
          <w:numId w:val="66"/>
        </w:numPr>
        <w:rPr>
          <w:rFonts w:ascii="Arial" w:cs="Arial" w:eastAsia="Arial" w:hAnsi="Arial"/>
          <w:sz w:val="18"/>
          <w:szCs w:val="18"/>
          <w:color w:val="auto"/>
        </w:rPr>
      </w:pPr>
      <w:r>
        <w:rPr>
          <w:rFonts w:ascii="Arial" w:cs="Arial" w:eastAsia="Arial" w:hAnsi="Arial"/>
          <w:sz w:val="18"/>
          <w:szCs w:val="18"/>
          <w:color w:val="auto"/>
        </w:rPr>
        <w:t>to prepare the Compensation Report and submit it to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459740</wp:posOffset>
            </wp:positionV>
            <wp:extent cx="713232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49" w:right="339" w:bottom="1440" w:gutter="0" w:footer="0" w:header="0"/>
        </w:sectPr>
      </w:pPr>
    </w:p>
    <w:bookmarkStart w:id="59" w:name="page60"/>
    <w:bookmarkEnd w:id="59"/>
    <w:tbl>
      <w:tblPr>
        <w:tblLayout w:type="fixed"/>
        <w:tblInd w:w="10" w:type="dxa"/>
        <w:tblCellMar>
          <w:top w:w="0" w:type="dxa"/>
          <w:left w:w="0" w:type="dxa"/>
          <w:bottom w:w="0" w:type="dxa"/>
          <w:right w:w="0" w:type="dxa"/>
        </w:tblCellMar>
      </w:tblPr>
      <w:tr>
        <w:trPr>
          <w:trHeight w:val="187"/>
        </w:trPr>
        <w:tc>
          <w:tcPr>
            <w:tcW w:w="554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5480" w:type="dxa"/>
            <w:vAlign w:val="bottom"/>
            <w:tcBorders>
              <w:bottom w:val="single" w:sz="8" w:color="auto"/>
            </w:tcBorders>
          </w:tcPr>
          <w:p>
            <w:pPr>
              <w:ind w:left="5260"/>
              <w:spacing w:after="0"/>
              <w:rPr>
                <w:sz w:val="20"/>
                <w:szCs w:val="20"/>
                <w:color w:val="auto"/>
              </w:rPr>
            </w:pPr>
            <w:r>
              <w:rPr>
                <w:rFonts w:ascii="Arial" w:cs="Arial" w:eastAsia="Arial" w:hAnsi="Arial"/>
                <w:sz w:val="16"/>
                <w:szCs w:val="16"/>
                <w:color w:val="auto"/>
              </w:rPr>
              <w:t>21</w:t>
            </w:r>
          </w:p>
        </w:tc>
      </w:tr>
      <w:tr>
        <w:trPr>
          <w:trHeight w:val="263"/>
        </w:trPr>
        <w:tc>
          <w:tcPr>
            <w:tcW w:w="554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The  Board  of  Directors  shall  set  out  any  further  duties  and</w:t>
            </w:r>
          </w:p>
        </w:tc>
        <w:tc>
          <w:tcPr>
            <w:tcW w:w="220" w:type="dxa"/>
            <w:vAlign w:val="bottom"/>
            <w:tcBorders>
              <w:right w:val="single" w:sz="8" w:color="auto"/>
            </w:tcBorders>
          </w:tcPr>
          <w:p>
            <w:pPr>
              <w:spacing w:after="0"/>
              <w:rPr>
                <w:sz w:val="22"/>
                <w:szCs w:val="22"/>
                <w:color w:val="auto"/>
              </w:rPr>
            </w:pPr>
          </w:p>
        </w:tc>
        <w:tc>
          <w:tcPr>
            <w:tcW w:w="548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Le conseil d'administration fixe toutes les autres fonctions et</w:t>
            </w:r>
          </w:p>
        </w:tc>
      </w:tr>
      <w:tr>
        <w:trPr>
          <w:trHeight w:val="203"/>
        </w:trPr>
        <w:tc>
          <w:tcPr>
            <w:tcW w:w="5540" w:type="dxa"/>
            <w:vAlign w:val="bottom"/>
            <w:tcBorders>
              <w:left w:val="single" w:sz="8" w:color="auto"/>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responsibilities vested on the Compensation Committee in the</w:t>
            </w:r>
          </w:p>
        </w:tc>
        <w:tc>
          <w:tcPr>
            <w:tcW w:w="22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responsabilités  dévolues  au  comité  de  rémunération  dans  le</w:t>
            </w:r>
          </w:p>
        </w:tc>
      </w:tr>
      <w:tr>
        <w:trPr>
          <w:trHeight w:val="217"/>
        </w:trPr>
        <w:tc>
          <w:tcPr>
            <w:tcW w:w="554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Company's Organizational Rules.</w:t>
            </w:r>
          </w:p>
        </w:tc>
        <w:tc>
          <w:tcPr>
            <w:tcW w:w="220" w:type="dxa"/>
            <w:vAlign w:val="bottom"/>
            <w:tcBorders>
              <w:right w:val="single" w:sz="8" w:color="auto"/>
            </w:tcBorders>
          </w:tcPr>
          <w:p>
            <w:pPr>
              <w:spacing w:after="0"/>
              <w:rPr>
                <w:sz w:val="18"/>
                <w:szCs w:val="18"/>
                <w:color w:val="auto"/>
              </w:rPr>
            </w:pPr>
          </w:p>
        </w:tc>
        <w:tc>
          <w:tcPr>
            <w:tcW w:w="548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règlement d'organisation de la société.</w:t>
            </w:r>
          </w:p>
        </w:tc>
      </w:tr>
      <w:tr>
        <w:trPr>
          <w:trHeight w:val="54"/>
        </w:trPr>
        <w:tc>
          <w:tcPr>
            <w:tcW w:w="5540" w:type="dxa"/>
            <w:vAlign w:val="bottom"/>
            <w:tcBorders>
              <w:left w:val="single" w:sz="8" w:color="auto"/>
              <w:bottom w:val="single" w:sz="8" w:color="auto"/>
              <w:right w:val="single" w:sz="8" w:color="auto"/>
            </w:tcBorders>
          </w:tcPr>
          <w:p>
            <w:pPr>
              <w:spacing w:after="0"/>
              <w:rPr>
                <w:sz w:val="4"/>
                <w:szCs w:val="4"/>
                <w:color w:val="auto"/>
              </w:rPr>
            </w:pPr>
          </w:p>
        </w:tc>
        <w:tc>
          <w:tcPr>
            <w:tcW w:w="220" w:type="dxa"/>
            <w:vAlign w:val="bottom"/>
            <w:tcBorders>
              <w:bottom w:val="single" w:sz="8" w:color="auto"/>
              <w:right w:val="single" w:sz="8" w:color="auto"/>
            </w:tcBorders>
          </w:tcPr>
          <w:p>
            <w:pPr>
              <w:spacing w:after="0"/>
              <w:rPr>
                <w:sz w:val="4"/>
                <w:szCs w:val="4"/>
                <w:color w:val="auto"/>
              </w:rPr>
            </w:pPr>
          </w:p>
        </w:tc>
        <w:tc>
          <w:tcPr>
            <w:tcW w:w="5480" w:type="dxa"/>
            <w:vAlign w:val="bottom"/>
            <w:tcBorders>
              <w:bottom w:val="single" w:sz="8" w:color="auto"/>
              <w:right w:val="single" w:sz="8" w:color="auto"/>
            </w:tcBorders>
          </w:tcPr>
          <w:p>
            <w:pPr>
              <w:spacing w:after="0"/>
              <w:rPr>
                <w:sz w:val="4"/>
                <w:szCs w:val="4"/>
                <w:color w:val="auto"/>
              </w:rPr>
            </w:pPr>
          </w:p>
        </w:tc>
      </w:tr>
      <w:tr>
        <w:trPr>
          <w:trHeight w:val="263"/>
        </w:trPr>
        <w:tc>
          <w:tcPr>
            <w:tcW w:w="554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If there are vacancies on the Compensation Committee, the Board</w:t>
            </w:r>
          </w:p>
        </w:tc>
        <w:tc>
          <w:tcPr>
            <w:tcW w:w="220" w:type="dxa"/>
            <w:vAlign w:val="bottom"/>
            <w:tcBorders>
              <w:right w:val="single" w:sz="8" w:color="auto"/>
            </w:tcBorders>
          </w:tcPr>
          <w:p>
            <w:pPr>
              <w:spacing w:after="0"/>
              <w:rPr>
                <w:sz w:val="22"/>
                <w:szCs w:val="22"/>
                <w:color w:val="auto"/>
              </w:rPr>
            </w:pPr>
          </w:p>
        </w:tc>
        <w:tc>
          <w:tcPr>
            <w:tcW w:w="548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S'il y a des postes vacants au sein du comité de rémunération, le</w:t>
            </w:r>
          </w:p>
        </w:tc>
      </w:tr>
      <w:tr>
        <w:trPr>
          <w:trHeight w:val="203"/>
        </w:trPr>
        <w:tc>
          <w:tcPr>
            <w:tcW w:w="5540" w:type="dxa"/>
            <w:vAlign w:val="bottom"/>
            <w:tcBorders>
              <w:left w:val="single" w:sz="8" w:color="auto"/>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of Directors may appoint substitutes from amongst its members for</w:t>
            </w:r>
          </w:p>
        </w:tc>
        <w:tc>
          <w:tcPr>
            <w:tcW w:w="22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conseil d'administration peut désigner des substituts parmi ses</w:t>
            </w:r>
          </w:p>
        </w:tc>
      </w:tr>
      <w:tr>
        <w:trPr>
          <w:trHeight w:val="217"/>
        </w:trPr>
        <w:tc>
          <w:tcPr>
            <w:tcW w:w="554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the remaining term of office.</w:t>
            </w:r>
          </w:p>
        </w:tc>
        <w:tc>
          <w:tcPr>
            <w:tcW w:w="220" w:type="dxa"/>
            <w:vAlign w:val="bottom"/>
            <w:tcBorders>
              <w:right w:val="single" w:sz="8" w:color="auto"/>
            </w:tcBorders>
          </w:tcPr>
          <w:p>
            <w:pPr>
              <w:spacing w:after="0"/>
              <w:rPr>
                <w:sz w:val="18"/>
                <w:szCs w:val="18"/>
                <w:color w:val="auto"/>
              </w:rPr>
            </w:pPr>
          </w:p>
        </w:tc>
        <w:tc>
          <w:tcPr>
            <w:tcW w:w="548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membres pour la durée restante du terme de fonction.</w:t>
            </w:r>
          </w:p>
        </w:tc>
      </w:tr>
      <w:tr>
        <w:trPr>
          <w:trHeight w:val="54"/>
        </w:trPr>
        <w:tc>
          <w:tcPr>
            <w:tcW w:w="5540" w:type="dxa"/>
            <w:vAlign w:val="bottom"/>
            <w:tcBorders>
              <w:left w:val="single" w:sz="8" w:color="auto"/>
              <w:bottom w:val="single" w:sz="8" w:color="auto"/>
              <w:right w:val="single" w:sz="8" w:color="auto"/>
            </w:tcBorders>
          </w:tcPr>
          <w:p>
            <w:pPr>
              <w:spacing w:after="0"/>
              <w:rPr>
                <w:sz w:val="4"/>
                <w:szCs w:val="4"/>
                <w:color w:val="auto"/>
              </w:rPr>
            </w:pPr>
          </w:p>
        </w:tc>
        <w:tc>
          <w:tcPr>
            <w:tcW w:w="220" w:type="dxa"/>
            <w:vAlign w:val="bottom"/>
            <w:tcBorders>
              <w:bottom w:val="single" w:sz="8" w:color="auto"/>
              <w:right w:val="single" w:sz="8" w:color="auto"/>
            </w:tcBorders>
          </w:tcPr>
          <w:p>
            <w:pPr>
              <w:spacing w:after="0"/>
              <w:rPr>
                <w:sz w:val="4"/>
                <w:szCs w:val="4"/>
                <w:color w:val="auto"/>
              </w:rPr>
            </w:pPr>
          </w:p>
        </w:tc>
        <w:tc>
          <w:tcPr>
            <w:tcW w:w="5480" w:type="dxa"/>
            <w:vAlign w:val="bottom"/>
            <w:tcBorders>
              <w:bottom w:val="single" w:sz="8" w:color="auto"/>
              <w:right w:val="single" w:sz="8" w:color="auto"/>
            </w:tcBorders>
          </w:tcPr>
          <w:p>
            <w:pPr>
              <w:spacing w:after="0"/>
              <w:rPr>
                <w:sz w:val="4"/>
                <w:szCs w:val="4"/>
                <w:color w:val="auto"/>
              </w:rPr>
            </w:pPr>
          </w:p>
        </w:tc>
      </w:tr>
      <w:tr>
        <w:trPr>
          <w:trHeight w:val="263"/>
        </w:trPr>
        <w:tc>
          <w:tcPr>
            <w:tcW w:w="554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The Board of Directors shall elect a chairman of the Compensation</w:t>
            </w:r>
          </w:p>
        </w:tc>
        <w:tc>
          <w:tcPr>
            <w:tcW w:w="220" w:type="dxa"/>
            <w:vAlign w:val="bottom"/>
            <w:tcBorders>
              <w:right w:val="single" w:sz="8" w:color="auto"/>
            </w:tcBorders>
          </w:tcPr>
          <w:p>
            <w:pPr>
              <w:spacing w:after="0"/>
              <w:rPr>
                <w:sz w:val="22"/>
                <w:szCs w:val="22"/>
                <w:color w:val="auto"/>
              </w:rPr>
            </w:pPr>
          </w:p>
        </w:tc>
        <w:tc>
          <w:tcPr>
            <w:tcW w:w="548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Le  conseil  d'administration  élit  un  président  du  comité  de</w:t>
            </w:r>
          </w:p>
        </w:tc>
      </w:tr>
      <w:tr>
        <w:trPr>
          <w:trHeight w:val="217"/>
        </w:trPr>
        <w:tc>
          <w:tcPr>
            <w:tcW w:w="554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Committee.</w:t>
            </w:r>
          </w:p>
        </w:tc>
        <w:tc>
          <w:tcPr>
            <w:tcW w:w="220" w:type="dxa"/>
            <w:vAlign w:val="bottom"/>
            <w:tcBorders>
              <w:right w:val="single" w:sz="8" w:color="auto"/>
            </w:tcBorders>
          </w:tcPr>
          <w:p>
            <w:pPr>
              <w:spacing w:after="0"/>
              <w:rPr>
                <w:sz w:val="18"/>
                <w:szCs w:val="18"/>
                <w:color w:val="auto"/>
              </w:rPr>
            </w:pPr>
          </w:p>
        </w:tc>
        <w:tc>
          <w:tcPr>
            <w:tcW w:w="548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rémunération.</w:t>
            </w:r>
          </w:p>
        </w:tc>
      </w:tr>
      <w:tr>
        <w:trPr>
          <w:trHeight w:val="54"/>
        </w:trPr>
        <w:tc>
          <w:tcPr>
            <w:tcW w:w="5540" w:type="dxa"/>
            <w:vAlign w:val="bottom"/>
            <w:tcBorders>
              <w:left w:val="single" w:sz="8" w:color="auto"/>
              <w:bottom w:val="single" w:sz="8" w:color="auto"/>
              <w:right w:val="single" w:sz="8" w:color="auto"/>
            </w:tcBorders>
          </w:tcPr>
          <w:p>
            <w:pPr>
              <w:spacing w:after="0"/>
              <w:rPr>
                <w:sz w:val="4"/>
                <w:szCs w:val="4"/>
                <w:color w:val="auto"/>
              </w:rPr>
            </w:pPr>
          </w:p>
        </w:tc>
        <w:tc>
          <w:tcPr>
            <w:tcW w:w="220" w:type="dxa"/>
            <w:vAlign w:val="bottom"/>
            <w:tcBorders>
              <w:bottom w:val="single" w:sz="8" w:color="auto"/>
              <w:right w:val="single" w:sz="8" w:color="auto"/>
            </w:tcBorders>
          </w:tcPr>
          <w:p>
            <w:pPr>
              <w:spacing w:after="0"/>
              <w:rPr>
                <w:sz w:val="4"/>
                <w:szCs w:val="4"/>
                <w:color w:val="auto"/>
              </w:rPr>
            </w:pPr>
          </w:p>
        </w:tc>
        <w:tc>
          <w:tcPr>
            <w:tcW w:w="5480" w:type="dxa"/>
            <w:vAlign w:val="bottom"/>
            <w:tcBorders>
              <w:bottom w:val="single" w:sz="8" w:color="auto"/>
              <w:right w:val="single" w:sz="8" w:color="auto"/>
            </w:tcBorders>
          </w:tcPr>
          <w:p>
            <w:pPr>
              <w:spacing w:after="0"/>
              <w:rPr>
                <w:sz w:val="4"/>
                <w:szCs w:val="4"/>
                <w:color w:val="auto"/>
              </w:rPr>
            </w:pPr>
          </w:p>
        </w:tc>
      </w:tr>
      <w:tr>
        <w:trPr>
          <w:trHeight w:val="277"/>
        </w:trPr>
        <w:tc>
          <w:tcPr>
            <w:tcW w:w="554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b w:val="1"/>
                <w:bCs w:val="1"/>
                <w:color w:val="auto"/>
              </w:rPr>
              <w:t>Art. 29 Indemnification</w:t>
            </w:r>
          </w:p>
        </w:tc>
        <w:tc>
          <w:tcPr>
            <w:tcW w:w="220" w:type="dxa"/>
            <w:vAlign w:val="bottom"/>
            <w:tcBorders>
              <w:right w:val="single" w:sz="8" w:color="auto"/>
            </w:tcBorders>
          </w:tcPr>
          <w:p>
            <w:pPr>
              <w:spacing w:after="0"/>
              <w:rPr>
                <w:sz w:val="24"/>
                <w:szCs w:val="24"/>
                <w:color w:val="auto"/>
              </w:rPr>
            </w:pPr>
          </w:p>
        </w:tc>
        <w:tc>
          <w:tcPr>
            <w:tcW w:w="5480" w:type="dxa"/>
            <w:vAlign w:val="bottom"/>
            <w:tcBorders>
              <w:right w:val="single" w:sz="8" w:color="auto"/>
            </w:tcBorders>
          </w:tcPr>
          <w:p>
            <w:pPr>
              <w:ind w:left="60"/>
              <w:spacing w:after="0"/>
              <w:rPr>
                <w:sz w:val="20"/>
                <w:szCs w:val="20"/>
                <w:color w:val="auto"/>
              </w:rPr>
            </w:pPr>
            <w:r>
              <w:rPr>
                <w:rFonts w:ascii="Arial" w:cs="Arial" w:eastAsia="Arial" w:hAnsi="Arial"/>
                <w:sz w:val="18"/>
                <w:szCs w:val="18"/>
                <w:b w:val="1"/>
                <w:bCs w:val="1"/>
                <w:color w:val="auto"/>
              </w:rPr>
              <w:t>Art. 29 Indemnisation</w:t>
            </w:r>
          </w:p>
        </w:tc>
      </w:tr>
      <w:tr>
        <w:trPr>
          <w:trHeight w:val="54"/>
        </w:trPr>
        <w:tc>
          <w:tcPr>
            <w:tcW w:w="5540" w:type="dxa"/>
            <w:vAlign w:val="bottom"/>
            <w:tcBorders>
              <w:left w:val="single" w:sz="8" w:color="auto"/>
              <w:bottom w:val="single" w:sz="8" w:color="auto"/>
              <w:right w:val="single" w:sz="8" w:color="auto"/>
            </w:tcBorders>
          </w:tcPr>
          <w:p>
            <w:pPr>
              <w:spacing w:after="0"/>
              <w:rPr>
                <w:sz w:val="4"/>
                <w:szCs w:val="4"/>
                <w:color w:val="auto"/>
              </w:rPr>
            </w:pPr>
          </w:p>
        </w:tc>
        <w:tc>
          <w:tcPr>
            <w:tcW w:w="220" w:type="dxa"/>
            <w:vAlign w:val="bottom"/>
            <w:tcBorders>
              <w:bottom w:val="single" w:sz="8" w:color="auto"/>
              <w:right w:val="single" w:sz="8" w:color="auto"/>
            </w:tcBorders>
          </w:tcPr>
          <w:p>
            <w:pPr>
              <w:spacing w:after="0"/>
              <w:rPr>
                <w:sz w:val="4"/>
                <w:szCs w:val="4"/>
                <w:color w:val="auto"/>
              </w:rPr>
            </w:pPr>
          </w:p>
        </w:tc>
        <w:tc>
          <w:tcPr>
            <w:tcW w:w="5480" w:type="dxa"/>
            <w:vAlign w:val="bottom"/>
            <w:tcBorders>
              <w:bottom w:val="single" w:sz="8" w:color="auto"/>
              <w:right w:val="single" w:sz="8" w:color="auto"/>
            </w:tcBorders>
          </w:tcPr>
          <w:p>
            <w:pPr>
              <w:spacing w:after="0"/>
              <w:rPr>
                <w:sz w:val="4"/>
                <w:szCs w:val="4"/>
                <w:color w:val="auto"/>
              </w:rPr>
            </w:pPr>
          </w:p>
        </w:tc>
      </w:tr>
      <w:tr>
        <w:trPr>
          <w:trHeight w:val="263"/>
        </w:trPr>
        <w:tc>
          <w:tcPr>
            <w:tcW w:w="554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As far as is permissible under applicable law, the Company shall</w:t>
            </w:r>
          </w:p>
        </w:tc>
        <w:tc>
          <w:tcPr>
            <w:tcW w:w="220" w:type="dxa"/>
            <w:vAlign w:val="bottom"/>
            <w:tcBorders>
              <w:right w:val="single" w:sz="8" w:color="auto"/>
            </w:tcBorders>
          </w:tcPr>
          <w:p>
            <w:pPr>
              <w:spacing w:after="0"/>
              <w:rPr>
                <w:sz w:val="22"/>
                <w:szCs w:val="22"/>
                <w:color w:val="auto"/>
              </w:rPr>
            </w:pPr>
          </w:p>
        </w:tc>
        <w:tc>
          <w:tcPr>
            <w:tcW w:w="548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Dans  la  mesure  permise  par  la  loi  applicable,  la  société</w:t>
            </w:r>
          </w:p>
        </w:tc>
      </w:tr>
      <w:tr>
        <w:trPr>
          <w:trHeight w:val="203"/>
        </w:trPr>
        <w:tc>
          <w:tcPr>
            <w:tcW w:w="5540" w:type="dxa"/>
            <w:vAlign w:val="bottom"/>
            <w:tcBorders>
              <w:left w:val="single" w:sz="8" w:color="auto"/>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indemnify any current or former member of the Board of Directors,</w:t>
            </w:r>
          </w:p>
        </w:tc>
        <w:tc>
          <w:tcPr>
            <w:tcW w:w="22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indemnisera  tout  membre  actuel  ou  ancien  du  conseil</w:t>
            </w:r>
          </w:p>
        </w:tc>
      </w:tr>
      <w:tr>
        <w:trPr>
          <w:trHeight w:val="203"/>
        </w:trPr>
        <w:tc>
          <w:tcPr>
            <w:tcW w:w="5540" w:type="dxa"/>
            <w:vAlign w:val="bottom"/>
            <w:tcBorders>
              <w:left w:val="single" w:sz="8" w:color="auto"/>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former members of the Executive Committee, or any person who is</w:t>
            </w:r>
          </w:p>
        </w:tc>
        <w:tc>
          <w:tcPr>
            <w:tcW w:w="22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d'administration, les anciens membres du comité exécutif, ou toute</w:t>
            </w:r>
          </w:p>
        </w:tc>
      </w:tr>
      <w:tr>
        <w:trPr>
          <w:trHeight w:val="203"/>
        </w:trPr>
        <w:tc>
          <w:tcPr>
            <w:tcW w:w="5540" w:type="dxa"/>
            <w:vAlign w:val="bottom"/>
            <w:tcBorders>
              <w:left w:val="single" w:sz="8" w:color="auto"/>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serving or has served at the request of the Company as a member</w:t>
            </w:r>
          </w:p>
        </w:tc>
        <w:tc>
          <w:tcPr>
            <w:tcW w:w="22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personne qui sert ou a servi à la demande de la société en tant</w:t>
            </w:r>
          </w:p>
        </w:tc>
      </w:tr>
      <w:tr>
        <w:trPr>
          <w:trHeight w:val="203"/>
        </w:trPr>
        <w:tc>
          <w:tcPr>
            <w:tcW w:w="5540" w:type="dxa"/>
            <w:vAlign w:val="bottom"/>
            <w:tcBorders>
              <w:left w:val="single" w:sz="8" w:color="auto"/>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of the Board of Directors or member of the Executive Committee</w:t>
            </w:r>
          </w:p>
        </w:tc>
        <w:tc>
          <w:tcPr>
            <w:tcW w:w="22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que membre du conseil d'administration ou membre du comité</w:t>
            </w:r>
          </w:p>
        </w:tc>
      </w:tr>
      <w:tr>
        <w:trPr>
          <w:trHeight w:val="203"/>
        </w:trPr>
        <w:tc>
          <w:tcPr>
            <w:tcW w:w="5540" w:type="dxa"/>
            <w:vAlign w:val="bottom"/>
            <w:tcBorders>
              <w:left w:val="single" w:sz="8" w:color="auto"/>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(each individually, a "Covered Person"), against any expenses,</w:t>
            </w:r>
          </w:p>
        </w:tc>
        <w:tc>
          <w:tcPr>
            <w:tcW w:w="22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exécutif (chacun individuellement, une "Personne Couverte"), pour</w:t>
            </w:r>
          </w:p>
        </w:tc>
      </w:tr>
      <w:tr>
        <w:trPr>
          <w:trHeight w:val="203"/>
        </w:trPr>
        <w:tc>
          <w:tcPr>
            <w:tcW w:w="5540" w:type="dxa"/>
            <w:vAlign w:val="bottom"/>
            <w:tcBorders>
              <w:left w:val="single" w:sz="8" w:color="auto"/>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including attorneys' fees, judgments, fines, and amounts paid in</w:t>
            </w:r>
          </w:p>
        </w:tc>
        <w:tc>
          <w:tcPr>
            <w:tcW w:w="22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toutes  les  dépenses,  y  compris  les  honoraires  d'avocat,</w:t>
            </w:r>
          </w:p>
        </w:tc>
      </w:tr>
      <w:tr>
        <w:trPr>
          <w:trHeight w:val="203"/>
        </w:trPr>
        <w:tc>
          <w:tcPr>
            <w:tcW w:w="5540" w:type="dxa"/>
            <w:vAlign w:val="bottom"/>
            <w:tcBorders>
              <w:left w:val="single" w:sz="8" w:color="auto"/>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settlement actually and reasonably incurred by him or her in</w:t>
            </w:r>
          </w:p>
        </w:tc>
        <w:tc>
          <w:tcPr>
            <w:tcW w:w="22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jugements,  amendes,  et  montants  versés  effectivement  et</w:t>
            </w:r>
          </w:p>
        </w:tc>
      </w:tr>
      <w:tr>
        <w:trPr>
          <w:trHeight w:val="203"/>
        </w:trPr>
        <w:tc>
          <w:tcPr>
            <w:tcW w:w="5540" w:type="dxa"/>
            <w:vAlign w:val="bottom"/>
            <w:tcBorders>
              <w:left w:val="single" w:sz="8" w:color="auto"/>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connection with any threatened, pending, or completed action, suit</w:t>
            </w:r>
          </w:p>
        </w:tc>
        <w:tc>
          <w:tcPr>
            <w:tcW w:w="22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raisonnablement à titre de règlement dans le cadre de toute</w:t>
            </w:r>
          </w:p>
        </w:tc>
      </w:tr>
      <w:tr>
        <w:trPr>
          <w:trHeight w:val="203"/>
        </w:trPr>
        <w:tc>
          <w:tcPr>
            <w:tcW w:w="5540" w:type="dxa"/>
            <w:vAlign w:val="bottom"/>
            <w:tcBorders>
              <w:left w:val="single" w:sz="8" w:color="auto"/>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or proceeding, whether civil, criminal or administrative, to which he</w:t>
            </w:r>
          </w:p>
        </w:tc>
        <w:tc>
          <w:tcPr>
            <w:tcW w:w="22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action, poursuite ou procédure imminente, pendante ou terminée,</w:t>
            </w:r>
          </w:p>
        </w:tc>
      </w:tr>
      <w:tr>
        <w:trPr>
          <w:trHeight w:val="203"/>
        </w:trPr>
        <w:tc>
          <w:tcPr>
            <w:tcW w:w="5540" w:type="dxa"/>
            <w:vAlign w:val="bottom"/>
            <w:tcBorders>
              <w:left w:val="single" w:sz="8" w:color="auto"/>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or she was, is, or is threatened to be made a party, or is otherwise</w:t>
            </w:r>
          </w:p>
        </w:tc>
        <w:tc>
          <w:tcPr>
            <w:tcW w:w="22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qu'elle soit civile, pénale ou administrative, à laquelle il ou elle a</w:t>
            </w:r>
          </w:p>
        </w:tc>
      </w:tr>
      <w:tr>
        <w:trPr>
          <w:trHeight w:val="203"/>
        </w:trPr>
        <w:tc>
          <w:tcPr>
            <w:tcW w:w="5540" w:type="dxa"/>
            <w:vAlign w:val="bottom"/>
            <w:tcBorders>
              <w:left w:val="single" w:sz="8" w:color="auto"/>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involved (a "Proceeding"). This provision shall not indemnify any</w:t>
            </w:r>
          </w:p>
        </w:tc>
        <w:tc>
          <w:tcPr>
            <w:tcW w:w="22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été, est, ou est menacé d'être partie, ou est impliqué de toute autre</w:t>
            </w:r>
          </w:p>
        </w:tc>
      </w:tr>
      <w:tr>
        <w:trPr>
          <w:trHeight w:val="203"/>
        </w:trPr>
        <w:tc>
          <w:tcPr>
            <w:tcW w:w="5540" w:type="dxa"/>
            <w:vAlign w:val="bottom"/>
            <w:tcBorders>
              <w:left w:val="single" w:sz="8" w:color="auto"/>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Covered Person against any liability arising out of (a) any fraud or</w:t>
            </w:r>
          </w:p>
        </w:tc>
        <w:tc>
          <w:tcPr>
            <w:tcW w:w="22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manière  (une  "Procédure").  Cette  disposition  ne  doit  pas</w:t>
            </w:r>
          </w:p>
        </w:tc>
      </w:tr>
      <w:tr>
        <w:trPr>
          <w:trHeight w:val="203"/>
        </w:trPr>
        <w:tc>
          <w:tcPr>
            <w:tcW w:w="5540" w:type="dxa"/>
            <w:vAlign w:val="bottom"/>
            <w:tcBorders>
              <w:left w:val="single" w:sz="8" w:color="auto"/>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dishonesty in the performance of such Covered Person's duty to</w:t>
            </w:r>
          </w:p>
        </w:tc>
        <w:tc>
          <w:tcPr>
            <w:tcW w:w="22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indemniser  une  Personne  Couverte  contre  une  responsabilité</w:t>
            </w:r>
          </w:p>
        </w:tc>
      </w:tr>
      <w:tr>
        <w:trPr>
          <w:trHeight w:val="203"/>
        </w:trPr>
        <w:tc>
          <w:tcPr>
            <w:tcW w:w="5540" w:type="dxa"/>
            <w:vAlign w:val="bottom"/>
            <w:tcBorders>
              <w:left w:val="single" w:sz="8" w:color="auto"/>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the Company, or (b) such Covered Party's conscious, intentional or</w:t>
            </w:r>
          </w:p>
        </w:tc>
        <w:tc>
          <w:tcPr>
            <w:tcW w:w="22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découlant  de  (a)  une  fraude  ou  une  malhonnêteté  de  cette</w:t>
            </w:r>
          </w:p>
        </w:tc>
      </w:tr>
      <w:tr>
        <w:trPr>
          <w:trHeight w:val="203"/>
        </w:trPr>
        <w:tc>
          <w:tcPr>
            <w:tcW w:w="5540" w:type="dxa"/>
            <w:vAlign w:val="bottom"/>
            <w:tcBorders>
              <w:left w:val="single" w:sz="8" w:color="auto"/>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willful or grossly negligent breach of the obligation to act honestly</w:t>
            </w:r>
          </w:p>
        </w:tc>
        <w:tc>
          <w:tcPr>
            <w:tcW w:w="22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Personne Couverte dans l'exercice de ses fonctions vis-à-vis de la</w:t>
            </w:r>
          </w:p>
        </w:tc>
      </w:tr>
      <w:tr>
        <w:trPr>
          <w:trHeight w:val="203"/>
        </w:trPr>
        <w:tc>
          <w:tcPr>
            <w:tcW w:w="5540" w:type="dxa"/>
            <w:vAlign w:val="bottom"/>
            <w:tcBorders>
              <w:left w:val="single" w:sz="8" w:color="auto"/>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and in good faith with a view to the best interests of the Company.</w:t>
            </w:r>
          </w:p>
        </w:tc>
        <w:tc>
          <w:tcPr>
            <w:tcW w:w="22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société,  ou  (b)  une  violation  consciente,  intentionnelle  ou</w:t>
            </w:r>
          </w:p>
        </w:tc>
      </w:tr>
      <w:tr>
        <w:trPr>
          <w:trHeight w:val="203"/>
        </w:trPr>
        <w:tc>
          <w:tcPr>
            <w:tcW w:w="5540" w:type="dxa"/>
            <w:vAlign w:val="bottom"/>
            <w:tcBorders>
              <w:left w:val="single" w:sz="8" w:color="auto"/>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Notwithstanding the preceding sentence, this section shall not</w:t>
            </w:r>
          </w:p>
        </w:tc>
        <w:tc>
          <w:tcPr>
            <w:tcW w:w="22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volontaire  ou  gravement  négligente  de  l'obligation  de  cette</w:t>
            </w:r>
          </w:p>
        </w:tc>
      </w:tr>
      <w:tr>
        <w:trPr>
          <w:trHeight w:val="202"/>
        </w:trPr>
        <w:tc>
          <w:tcPr>
            <w:tcW w:w="5540" w:type="dxa"/>
            <w:vAlign w:val="bottom"/>
            <w:tcBorders>
              <w:left w:val="single" w:sz="8" w:color="auto"/>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extend to any person holding the office of auditor or special auditor</w:t>
            </w:r>
          </w:p>
        </w:tc>
        <w:tc>
          <w:tcPr>
            <w:tcW w:w="22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Personne Couverte d'agir avec honnêteté en tenant compte du</w:t>
            </w:r>
          </w:p>
        </w:tc>
      </w:tr>
      <w:tr>
        <w:trPr>
          <w:trHeight w:val="203"/>
        </w:trPr>
        <w:tc>
          <w:tcPr>
            <w:tcW w:w="5540" w:type="dxa"/>
            <w:vAlign w:val="bottom"/>
            <w:tcBorders>
              <w:left w:val="single" w:sz="8" w:color="auto"/>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of the Company.</w:t>
            </w:r>
          </w:p>
        </w:tc>
        <w:tc>
          <w:tcPr>
            <w:tcW w:w="22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meilleur intérêt de la société. Nonobstant ce qui précède, cette</w:t>
            </w:r>
          </w:p>
        </w:tc>
      </w:tr>
      <w:tr>
        <w:trPr>
          <w:trHeight w:val="203"/>
        </w:trPr>
        <w:tc>
          <w:tcPr>
            <w:tcW w:w="5540" w:type="dxa"/>
            <w:vAlign w:val="bottom"/>
            <w:tcBorders>
              <w:left w:val="single" w:sz="8" w:color="auto"/>
              <w:right w:val="single" w:sz="8" w:color="auto"/>
            </w:tcBorders>
          </w:tcPr>
          <w:p>
            <w:pPr>
              <w:spacing w:after="0"/>
              <w:rPr>
                <w:sz w:val="17"/>
                <w:szCs w:val="17"/>
                <w:color w:val="auto"/>
              </w:rPr>
            </w:pPr>
          </w:p>
        </w:tc>
        <w:tc>
          <w:tcPr>
            <w:tcW w:w="22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disposition ne s'étend pas aux personnes qui occupent le poste de</w:t>
            </w:r>
          </w:p>
        </w:tc>
      </w:tr>
      <w:tr>
        <w:trPr>
          <w:trHeight w:val="217"/>
        </w:trPr>
        <w:tc>
          <w:tcPr>
            <w:tcW w:w="5540" w:type="dxa"/>
            <w:vAlign w:val="bottom"/>
            <w:tcBorders>
              <w:left w:val="single" w:sz="8" w:color="auto"/>
              <w:right w:val="single" w:sz="8" w:color="auto"/>
            </w:tcBorders>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548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réviseur ou de réviseur spécial de la société.</w:t>
            </w:r>
          </w:p>
        </w:tc>
      </w:tr>
      <w:tr>
        <w:trPr>
          <w:trHeight w:val="54"/>
        </w:trPr>
        <w:tc>
          <w:tcPr>
            <w:tcW w:w="5540" w:type="dxa"/>
            <w:vAlign w:val="bottom"/>
            <w:tcBorders>
              <w:left w:val="single" w:sz="8" w:color="auto"/>
              <w:bottom w:val="single" w:sz="8" w:color="auto"/>
              <w:right w:val="single" w:sz="8" w:color="auto"/>
            </w:tcBorders>
          </w:tcPr>
          <w:p>
            <w:pPr>
              <w:spacing w:after="0"/>
              <w:rPr>
                <w:sz w:val="4"/>
                <w:szCs w:val="4"/>
                <w:color w:val="auto"/>
              </w:rPr>
            </w:pPr>
          </w:p>
        </w:tc>
        <w:tc>
          <w:tcPr>
            <w:tcW w:w="220" w:type="dxa"/>
            <w:vAlign w:val="bottom"/>
            <w:tcBorders>
              <w:bottom w:val="single" w:sz="8" w:color="auto"/>
              <w:right w:val="single" w:sz="8" w:color="auto"/>
            </w:tcBorders>
          </w:tcPr>
          <w:p>
            <w:pPr>
              <w:spacing w:after="0"/>
              <w:rPr>
                <w:sz w:val="4"/>
                <w:szCs w:val="4"/>
                <w:color w:val="auto"/>
              </w:rPr>
            </w:pPr>
          </w:p>
        </w:tc>
        <w:tc>
          <w:tcPr>
            <w:tcW w:w="5480" w:type="dxa"/>
            <w:vAlign w:val="bottom"/>
            <w:tcBorders>
              <w:bottom w:val="single" w:sz="8" w:color="auto"/>
              <w:right w:val="single" w:sz="8" w:color="auto"/>
            </w:tcBorders>
          </w:tcPr>
          <w:p>
            <w:pPr>
              <w:spacing w:after="0"/>
              <w:rPr>
                <w:sz w:val="4"/>
                <w:szCs w:val="4"/>
                <w:color w:val="auto"/>
              </w:rPr>
            </w:pPr>
          </w:p>
        </w:tc>
      </w:tr>
      <w:tr>
        <w:trPr>
          <w:trHeight w:val="453"/>
        </w:trPr>
        <w:tc>
          <w:tcPr>
            <w:tcW w:w="55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54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249" w:right="339" w:bottom="1440" w:gutter="0" w:footer="0" w:header="0"/>
        </w:sectPr>
      </w:pPr>
    </w:p>
    <w:bookmarkStart w:id="60" w:name="page61"/>
    <w:bookmarkEnd w:id="60"/>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187"/>
        </w:trPr>
        <w:tc>
          <w:tcPr>
            <w:tcW w:w="7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38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5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w:t>
            </w:r>
          </w:p>
        </w:tc>
        <w:tc>
          <w:tcPr>
            <w:tcW w:w="0" w:type="dxa"/>
            <w:vAlign w:val="bottom"/>
          </w:tcPr>
          <w:p>
            <w:pPr>
              <w:spacing w:after="0"/>
              <w:rPr>
                <w:sz w:val="1"/>
                <w:szCs w:val="1"/>
                <w:color w:val="auto"/>
              </w:rPr>
            </w:pPr>
          </w:p>
        </w:tc>
      </w:tr>
      <w:tr>
        <w:trPr>
          <w:trHeight w:val="263"/>
        </w:trPr>
        <w:tc>
          <w:tcPr>
            <w:tcW w:w="5540" w:type="dxa"/>
            <w:vAlign w:val="bottom"/>
            <w:tcBorders>
              <w:left w:val="single" w:sz="8" w:color="auto"/>
              <w:right w:val="single" w:sz="8" w:color="auto"/>
            </w:tcBorders>
            <w:gridSpan w:val="3"/>
          </w:tcPr>
          <w:p>
            <w:pPr>
              <w:ind w:left="100"/>
              <w:spacing w:after="0"/>
              <w:rPr>
                <w:sz w:val="20"/>
                <w:szCs w:val="20"/>
                <w:color w:val="auto"/>
              </w:rPr>
            </w:pPr>
            <w:r>
              <w:rPr>
                <w:rFonts w:ascii="Arial" w:cs="Arial" w:eastAsia="Arial" w:hAnsi="Arial"/>
                <w:sz w:val="18"/>
                <w:szCs w:val="18"/>
                <w:color w:val="auto"/>
              </w:rPr>
              <w:t>In the case of any Proceeding by or in the name of the Company,</w:t>
            </w:r>
          </w:p>
        </w:tc>
        <w:tc>
          <w:tcPr>
            <w:tcW w:w="220" w:type="dxa"/>
            <w:vAlign w:val="bottom"/>
            <w:tcBorders>
              <w:right w:val="single" w:sz="8" w:color="auto"/>
            </w:tcBorders>
          </w:tcPr>
          <w:p>
            <w:pPr>
              <w:spacing w:after="0"/>
              <w:rPr>
                <w:sz w:val="22"/>
                <w:szCs w:val="22"/>
                <w:color w:val="auto"/>
              </w:rPr>
            </w:pPr>
          </w:p>
        </w:tc>
        <w:tc>
          <w:tcPr>
            <w:tcW w:w="54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Dans le cas de toute Procédure intentée par ou au nom de la</w:t>
            </w:r>
          </w:p>
        </w:tc>
        <w:tc>
          <w:tcPr>
            <w:tcW w:w="0" w:type="dxa"/>
            <w:vAlign w:val="bottom"/>
          </w:tcPr>
          <w:p>
            <w:pPr>
              <w:spacing w:after="0"/>
              <w:rPr>
                <w:sz w:val="1"/>
                <w:szCs w:val="1"/>
                <w:color w:val="auto"/>
              </w:rPr>
            </w:pPr>
          </w:p>
        </w:tc>
      </w:tr>
      <w:tr>
        <w:trPr>
          <w:trHeight w:val="203"/>
        </w:trPr>
        <w:tc>
          <w:tcPr>
            <w:tcW w:w="5540" w:type="dxa"/>
            <w:vAlign w:val="bottom"/>
            <w:tcBorders>
              <w:left w:val="single" w:sz="8" w:color="auto"/>
              <w:right w:val="single" w:sz="8" w:color="auto"/>
            </w:tcBorders>
            <w:gridSpan w:val="3"/>
          </w:tcPr>
          <w:p>
            <w:pPr>
              <w:ind w:left="100"/>
              <w:spacing w:after="0" w:line="202" w:lineRule="exact"/>
              <w:rPr>
                <w:sz w:val="20"/>
                <w:szCs w:val="20"/>
                <w:color w:val="auto"/>
              </w:rPr>
            </w:pPr>
            <w:r>
              <w:rPr>
                <w:rFonts w:ascii="Arial" w:cs="Arial" w:eastAsia="Arial" w:hAnsi="Arial"/>
                <w:sz w:val="18"/>
                <w:szCs w:val="18"/>
                <w:color w:val="auto"/>
              </w:rPr>
              <w:t>the  Company  shall  indemnify  each  Covered  Person  against</w:t>
            </w:r>
          </w:p>
        </w:tc>
        <w:tc>
          <w:tcPr>
            <w:tcW w:w="22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tcPr>
          <w:p>
            <w:pPr>
              <w:jc w:val="center"/>
              <w:spacing w:after="0" w:line="202" w:lineRule="exact"/>
              <w:rPr>
                <w:sz w:val="20"/>
                <w:szCs w:val="20"/>
                <w:color w:val="auto"/>
              </w:rPr>
            </w:pPr>
            <w:r>
              <w:rPr>
                <w:rFonts w:ascii="Arial" w:cs="Arial" w:eastAsia="Arial" w:hAnsi="Arial"/>
                <w:sz w:val="18"/>
                <w:szCs w:val="18"/>
                <w:color w:val="auto"/>
              </w:rPr>
              <w:t>société, la société doit indemniser chaque Personne Couverte</w:t>
            </w:r>
          </w:p>
        </w:tc>
        <w:tc>
          <w:tcPr>
            <w:tcW w:w="0" w:type="dxa"/>
            <w:vAlign w:val="bottom"/>
          </w:tcPr>
          <w:p>
            <w:pPr>
              <w:spacing w:after="0"/>
              <w:rPr>
                <w:sz w:val="1"/>
                <w:szCs w:val="1"/>
                <w:color w:val="auto"/>
              </w:rPr>
            </w:pPr>
          </w:p>
        </w:tc>
      </w:tr>
      <w:tr>
        <w:trPr>
          <w:trHeight w:val="203"/>
        </w:trPr>
        <w:tc>
          <w:tcPr>
            <w:tcW w:w="5540" w:type="dxa"/>
            <w:vAlign w:val="bottom"/>
            <w:tcBorders>
              <w:left w:val="single" w:sz="8" w:color="auto"/>
              <w:right w:val="single" w:sz="8" w:color="auto"/>
            </w:tcBorders>
            <w:gridSpan w:val="3"/>
          </w:tcPr>
          <w:p>
            <w:pPr>
              <w:ind w:left="100"/>
              <w:spacing w:after="0" w:line="202" w:lineRule="exact"/>
              <w:rPr>
                <w:sz w:val="20"/>
                <w:szCs w:val="20"/>
                <w:color w:val="auto"/>
              </w:rPr>
            </w:pPr>
            <w:r>
              <w:rPr>
                <w:rFonts w:ascii="Arial" w:cs="Arial" w:eastAsia="Arial" w:hAnsi="Arial"/>
                <w:sz w:val="18"/>
                <w:szCs w:val="18"/>
                <w:color w:val="auto"/>
              </w:rPr>
              <w:t>expenses,  including  attorneys'  fees,  actually  and  reasonably</w:t>
            </w:r>
          </w:p>
        </w:tc>
        <w:tc>
          <w:tcPr>
            <w:tcW w:w="22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tcPr>
          <w:p>
            <w:pPr>
              <w:jc w:val="center"/>
              <w:spacing w:after="0" w:line="202" w:lineRule="exact"/>
              <w:rPr>
                <w:sz w:val="20"/>
                <w:szCs w:val="20"/>
                <w:color w:val="auto"/>
              </w:rPr>
            </w:pPr>
            <w:r>
              <w:rPr>
                <w:rFonts w:ascii="Arial" w:cs="Arial" w:eastAsia="Arial" w:hAnsi="Arial"/>
                <w:sz w:val="18"/>
                <w:szCs w:val="18"/>
                <w:color w:val="auto"/>
              </w:rPr>
              <w:t>pour  les  dépenses,  y  compris  les  honoraires  d'avocat,</w:t>
            </w:r>
          </w:p>
        </w:tc>
        <w:tc>
          <w:tcPr>
            <w:tcW w:w="0" w:type="dxa"/>
            <w:vAlign w:val="bottom"/>
          </w:tcPr>
          <w:p>
            <w:pPr>
              <w:spacing w:after="0"/>
              <w:rPr>
                <w:sz w:val="1"/>
                <w:szCs w:val="1"/>
                <w:color w:val="auto"/>
              </w:rPr>
            </w:pPr>
          </w:p>
        </w:tc>
      </w:tr>
      <w:tr>
        <w:trPr>
          <w:trHeight w:val="203"/>
        </w:trPr>
        <w:tc>
          <w:tcPr>
            <w:tcW w:w="5540" w:type="dxa"/>
            <w:vAlign w:val="bottom"/>
            <w:tcBorders>
              <w:left w:val="single" w:sz="8" w:color="auto"/>
              <w:right w:val="single" w:sz="8" w:color="auto"/>
            </w:tcBorders>
            <w:gridSpan w:val="3"/>
          </w:tcPr>
          <w:p>
            <w:pPr>
              <w:ind w:left="100"/>
              <w:spacing w:after="0" w:line="202" w:lineRule="exact"/>
              <w:rPr>
                <w:sz w:val="20"/>
                <w:szCs w:val="20"/>
                <w:color w:val="auto"/>
              </w:rPr>
            </w:pPr>
            <w:r>
              <w:rPr>
                <w:rFonts w:ascii="Arial" w:cs="Arial" w:eastAsia="Arial" w:hAnsi="Arial"/>
                <w:sz w:val="18"/>
                <w:szCs w:val="18"/>
                <w:color w:val="auto"/>
              </w:rPr>
              <w:t>incurred in connection with the defense or settlement thereof,</w:t>
            </w:r>
          </w:p>
        </w:tc>
        <w:tc>
          <w:tcPr>
            <w:tcW w:w="22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tcPr>
          <w:p>
            <w:pPr>
              <w:jc w:val="center"/>
              <w:spacing w:after="0" w:line="202" w:lineRule="exact"/>
              <w:rPr>
                <w:sz w:val="20"/>
                <w:szCs w:val="20"/>
                <w:color w:val="auto"/>
              </w:rPr>
            </w:pPr>
            <w:r>
              <w:rPr>
                <w:rFonts w:ascii="Arial" w:cs="Arial" w:eastAsia="Arial" w:hAnsi="Arial"/>
                <w:sz w:val="18"/>
                <w:szCs w:val="18"/>
                <w:color w:val="auto"/>
              </w:rPr>
              <w:t>effectivement et raisonnablement encourus dans le cadre de la</w:t>
            </w:r>
          </w:p>
        </w:tc>
        <w:tc>
          <w:tcPr>
            <w:tcW w:w="0" w:type="dxa"/>
            <w:vAlign w:val="bottom"/>
          </w:tcPr>
          <w:p>
            <w:pPr>
              <w:spacing w:after="0"/>
              <w:rPr>
                <w:sz w:val="1"/>
                <w:szCs w:val="1"/>
                <w:color w:val="auto"/>
              </w:rPr>
            </w:pPr>
          </w:p>
        </w:tc>
      </w:tr>
      <w:tr>
        <w:trPr>
          <w:trHeight w:val="203"/>
        </w:trPr>
        <w:tc>
          <w:tcPr>
            <w:tcW w:w="5540" w:type="dxa"/>
            <w:vAlign w:val="bottom"/>
            <w:tcBorders>
              <w:left w:val="single" w:sz="8" w:color="auto"/>
              <w:right w:val="single" w:sz="8" w:color="auto"/>
            </w:tcBorders>
            <w:gridSpan w:val="3"/>
          </w:tcPr>
          <w:p>
            <w:pPr>
              <w:ind w:left="100"/>
              <w:spacing w:after="0" w:line="202" w:lineRule="exact"/>
              <w:rPr>
                <w:sz w:val="20"/>
                <w:szCs w:val="20"/>
                <w:color w:val="auto"/>
              </w:rPr>
            </w:pPr>
            <w:r>
              <w:rPr>
                <w:rFonts w:ascii="Arial" w:cs="Arial" w:eastAsia="Arial" w:hAnsi="Arial"/>
                <w:sz w:val="18"/>
                <w:szCs w:val="18"/>
                <w:color w:val="auto"/>
              </w:rPr>
              <w:t>except no indemnification shall be made in respect of any claim,</w:t>
            </w:r>
          </w:p>
        </w:tc>
        <w:tc>
          <w:tcPr>
            <w:tcW w:w="22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tcPr>
          <w:p>
            <w:pPr>
              <w:jc w:val="center"/>
              <w:spacing w:after="0" w:line="202" w:lineRule="exact"/>
              <w:rPr>
                <w:sz w:val="20"/>
                <w:szCs w:val="20"/>
                <w:color w:val="auto"/>
              </w:rPr>
            </w:pPr>
            <w:r>
              <w:rPr>
                <w:rFonts w:ascii="Arial" w:cs="Arial" w:eastAsia="Arial" w:hAnsi="Arial"/>
                <w:sz w:val="18"/>
                <w:szCs w:val="18"/>
                <w:color w:val="auto"/>
              </w:rPr>
              <w:t>défense ou du règlement dans le cadre de la Procédure. Aucune</w:t>
            </w:r>
          </w:p>
        </w:tc>
        <w:tc>
          <w:tcPr>
            <w:tcW w:w="0" w:type="dxa"/>
            <w:vAlign w:val="bottom"/>
          </w:tcPr>
          <w:p>
            <w:pPr>
              <w:spacing w:after="0"/>
              <w:rPr>
                <w:sz w:val="1"/>
                <w:szCs w:val="1"/>
                <w:color w:val="auto"/>
              </w:rPr>
            </w:pPr>
          </w:p>
        </w:tc>
      </w:tr>
      <w:tr>
        <w:trPr>
          <w:trHeight w:val="203"/>
        </w:trPr>
        <w:tc>
          <w:tcPr>
            <w:tcW w:w="5540" w:type="dxa"/>
            <w:vAlign w:val="bottom"/>
            <w:tcBorders>
              <w:left w:val="single" w:sz="8" w:color="auto"/>
              <w:right w:val="single" w:sz="8" w:color="auto"/>
            </w:tcBorders>
            <w:gridSpan w:val="3"/>
          </w:tcPr>
          <w:p>
            <w:pPr>
              <w:ind w:left="100"/>
              <w:spacing w:after="0" w:line="202" w:lineRule="exact"/>
              <w:rPr>
                <w:sz w:val="20"/>
                <w:szCs w:val="20"/>
                <w:color w:val="auto"/>
              </w:rPr>
            </w:pPr>
            <w:r>
              <w:rPr>
                <w:rFonts w:ascii="Arial" w:cs="Arial" w:eastAsia="Arial" w:hAnsi="Arial"/>
                <w:sz w:val="18"/>
                <w:szCs w:val="18"/>
                <w:color w:val="auto"/>
              </w:rPr>
              <w:t>issue or matter as to which a Covered Person shall have been</w:t>
            </w:r>
          </w:p>
        </w:tc>
        <w:tc>
          <w:tcPr>
            <w:tcW w:w="22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tcPr>
          <w:p>
            <w:pPr>
              <w:jc w:val="center"/>
              <w:spacing w:after="0" w:line="202" w:lineRule="exact"/>
              <w:rPr>
                <w:sz w:val="20"/>
                <w:szCs w:val="20"/>
                <w:color w:val="auto"/>
              </w:rPr>
            </w:pPr>
            <w:r>
              <w:rPr>
                <w:rFonts w:ascii="Arial" w:cs="Arial" w:eastAsia="Arial" w:hAnsi="Arial"/>
                <w:sz w:val="18"/>
                <w:szCs w:val="18"/>
                <w:color w:val="auto"/>
              </w:rPr>
              <w:t>indemnisation ne sera octroyée pour une réclamation, problème</w:t>
            </w:r>
          </w:p>
        </w:tc>
        <w:tc>
          <w:tcPr>
            <w:tcW w:w="0" w:type="dxa"/>
            <w:vAlign w:val="bottom"/>
          </w:tcPr>
          <w:p>
            <w:pPr>
              <w:spacing w:after="0"/>
              <w:rPr>
                <w:sz w:val="1"/>
                <w:szCs w:val="1"/>
                <w:color w:val="auto"/>
              </w:rPr>
            </w:pPr>
          </w:p>
        </w:tc>
      </w:tr>
      <w:tr>
        <w:trPr>
          <w:trHeight w:val="203"/>
        </w:trPr>
        <w:tc>
          <w:tcPr>
            <w:tcW w:w="5540" w:type="dxa"/>
            <w:vAlign w:val="bottom"/>
            <w:tcBorders>
              <w:left w:val="single" w:sz="8" w:color="auto"/>
              <w:right w:val="single" w:sz="8" w:color="auto"/>
            </w:tcBorders>
            <w:gridSpan w:val="3"/>
          </w:tcPr>
          <w:p>
            <w:pPr>
              <w:ind w:left="100"/>
              <w:spacing w:after="0" w:line="202" w:lineRule="exact"/>
              <w:rPr>
                <w:sz w:val="20"/>
                <w:szCs w:val="20"/>
                <w:color w:val="auto"/>
              </w:rPr>
            </w:pPr>
            <w:r>
              <w:rPr>
                <w:rFonts w:ascii="Arial" w:cs="Arial" w:eastAsia="Arial" w:hAnsi="Arial"/>
                <w:sz w:val="18"/>
                <w:szCs w:val="18"/>
                <w:color w:val="auto"/>
              </w:rPr>
              <w:t>adjudged to be liable for fraud or dishonesty in the performance of</w:t>
            </w:r>
          </w:p>
        </w:tc>
        <w:tc>
          <w:tcPr>
            <w:tcW w:w="22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tcPr>
          <w:p>
            <w:pPr>
              <w:jc w:val="center"/>
              <w:spacing w:after="0" w:line="202" w:lineRule="exact"/>
              <w:rPr>
                <w:sz w:val="20"/>
                <w:szCs w:val="20"/>
                <w:color w:val="auto"/>
              </w:rPr>
            </w:pPr>
            <w:r>
              <w:rPr>
                <w:rFonts w:ascii="Arial" w:cs="Arial" w:eastAsia="Arial" w:hAnsi="Arial"/>
                <w:sz w:val="18"/>
                <w:szCs w:val="18"/>
                <w:color w:val="auto"/>
              </w:rPr>
              <w:t>ou  affaire  pour  laquelle  une  Personne  Couverte  est  tenue</w:t>
            </w:r>
          </w:p>
        </w:tc>
        <w:tc>
          <w:tcPr>
            <w:tcW w:w="0" w:type="dxa"/>
            <w:vAlign w:val="bottom"/>
          </w:tcPr>
          <w:p>
            <w:pPr>
              <w:spacing w:after="0"/>
              <w:rPr>
                <w:sz w:val="1"/>
                <w:szCs w:val="1"/>
                <w:color w:val="auto"/>
              </w:rPr>
            </w:pPr>
          </w:p>
        </w:tc>
      </w:tr>
      <w:tr>
        <w:trPr>
          <w:trHeight w:val="203"/>
        </w:trPr>
        <w:tc>
          <w:tcPr>
            <w:tcW w:w="5540" w:type="dxa"/>
            <w:vAlign w:val="bottom"/>
            <w:tcBorders>
              <w:left w:val="single" w:sz="8" w:color="auto"/>
              <w:right w:val="single" w:sz="8" w:color="auto"/>
            </w:tcBorders>
            <w:gridSpan w:val="3"/>
          </w:tcPr>
          <w:p>
            <w:pPr>
              <w:ind w:left="100"/>
              <w:spacing w:after="0" w:line="202" w:lineRule="exact"/>
              <w:rPr>
                <w:sz w:val="20"/>
                <w:szCs w:val="20"/>
                <w:color w:val="auto"/>
              </w:rPr>
            </w:pPr>
            <w:r>
              <w:rPr>
                <w:rFonts w:ascii="Arial" w:cs="Arial" w:eastAsia="Arial" w:hAnsi="Arial"/>
                <w:sz w:val="18"/>
                <w:szCs w:val="18"/>
                <w:color w:val="auto"/>
              </w:rPr>
              <w:t>his or her duty to the Company, or for conscious, intentional or</w:t>
            </w:r>
          </w:p>
        </w:tc>
        <w:tc>
          <w:tcPr>
            <w:tcW w:w="22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tcPr>
          <w:p>
            <w:pPr>
              <w:jc w:val="center"/>
              <w:spacing w:after="0" w:line="202" w:lineRule="exact"/>
              <w:rPr>
                <w:sz w:val="20"/>
                <w:szCs w:val="20"/>
                <w:color w:val="auto"/>
              </w:rPr>
            </w:pPr>
            <w:r>
              <w:rPr>
                <w:rFonts w:ascii="Arial" w:cs="Arial" w:eastAsia="Arial" w:hAnsi="Arial"/>
                <w:sz w:val="18"/>
                <w:szCs w:val="18"/>
                <w:color w:val="auto"/>
              </w:rPr>
              <w:t>responsable  à  la  suite  de  fraude  ou  de  malhonnêteté  dans</w:t>
            </w:r>
          </w:p>
        </w:tc>
        <w:tc>
          <w:tcPr>
            <w:tcW w:w="0" w:type="dxa"/>
            <w:vAlign w:val="bottom"/>
          </w:tcPr>
          <w:p>
            <w:pPr>
              <w:spacing w:after="0"/>
              <w:rPr>
                <w:sz w:val="1"/>
                <w:szCs w:val="1"/>
                <w:color w:val="auto"/>
              </w:rPr>
            </w:pPr>
          </w:p>
        </w:tc>
      </w:tr>
      <w:tr>
        <w:trPr>
          <w:trHeight w:val="203"/>
        </w:trPr>
        <w:tc>
          <w:tcPr>
            <w:tcW w:w="5540" w:type="dxa"/>
            <w:vAlign w:val="bottom"/>
            <w:tcBorders>
              <w:left w:val="single" w:sz="8" w:color="auto"/>
              <w:right w:val="single" w:sz="8" w:color="auto"/>
            </w:tcBorders>
            <w:gridSpan w:val="3"/>
          </w:tcPr>
          <w:p>
            <w:pPr>
              <w:ind w:left="100"/>
              <w:spacing w:after="0" w:line="202" w:lineRule="exact"/>
              <w:rPr>
                <w:sz w:val="20"/>
                <w:szCs w:val="20"/>
                <w:color w:val="auto"/>
              </w:rPr>
            </w:pPr>
            <w:r>
              <w:rPr>
                <w:rFonts w:ascii="Arial" w:cs="Arial" w:eastAsia="Arial" w:hAnsi="Arial"/>
                <w:sz w:val="18"/>
                <w:szCs w:val="18"/>
                <w:color w:val="auto"/>
              </w:rPr>
              <w:t>willful or grossly negligent breach of his or her obligation to act</w:t>
            </w:r>
          </w:p>
        </w:tc>
        <w:tc>
          <w:tcPr>
            <w:tcW w:w="22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tcPr>
          <w:p>
            <w:pPr>
              <w:jc w:val="center"/>
              <w:spacing w:after="0" w:line="202" w:lineRule="exact"/>
              <w:rPr>
                <w:sz w:val="20"/>
                <w:szCs w:val="20"/>
                <w:color w:val="auto"/>
              </w:rPr>
            </w:pPr>
            <w:r>
              <w:rPr>
                <w:rFonts w:ascii="Arial" w:cs="Arial" w:eastAsia="Arial" w:hAnsi="Arial"/>
                <w:sz w:val="18"/>
                <w:szCs w:val="18"/>
                <w:color w:val="auto"/>
                <w:w w:val="99"/>
              </w:rPr>
              <w:t>l'exercice de ses fonctions vis-à-vis de la société, ou à cause d'une</w:t>
            </w:r>
          </w:p>
        </w:tc>
        <w:tc>
          <w:tcPr>
            <w:tcW w:w="0" w:type="dxa"/>
            <w:vAlign w:val="bottom"/>
          </w:tcPr>
          <w:p>
            <w:pPr>
              <w:spacing w:after="0"/>
              <w:rPr>
                <w:sz w:val="1"/>
                <w:szCs w:val="1"/>
                <w:color w:val="auto"/>
              </w:rPr>
            </w:pPr>
          </w:p>
        </w:tc>
      </w:tr>
      <w:tr>
        <w:trPr>
          <w:trHeight w:val="203"/>
        </w:trPr>
        <w:tc>
          <w:tcPr>
            <w:tcW w:w="5540" w:type="dxa"/>
            <w:vAlign w:val="bottom"/>
            <w:tcBorders>
              <w:left w:val="single" w:sz="8" w:color="auto"/>
              <w:right w:val="single" w:sz="8" w:color="auto"/>
            </w:tcBorders>
            <w:gridSpan w:val="3"/>
          </w:tcPr>
          <w:p>
            <w:pPr>
              <w:ind w:left="100"/>
              <w:spacing w:after="0" w:line="202" w:lineRule="exact"/>
              <w:rPr>
                <w:sz w:val="20"/>
                <w:szCs w:val="20"/>
                <w:color w:val="auto"/>
              </w:rPr>
            </w:pPr>
            <w:r>
              <w:rPr>
                <w:rFonts w:ascii="Arial" w:cs="Arial" w:eastAsia="Arial" w:hAnsi="Arial"/>
                <w:sz w:val="18"/>
                <w:szCs w:val="18"/>
                <w:color w:val="auto"/>
              </w:rPr>
              <w:t>honestly and in good faith with a view to the best interests of the</w:t>
            </w:r>
          </w:p>
        </w:tc>
        <w:tc>
          <w:tcPr>
            <w:tcW w:w="22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tcPr>
          <w:p>
            <w:pPr>
              <w:jc w:val="center"/>
              <w:spacing w:after="0" w:line="202" w:lineRule="exact"/>
              <w:rPr>
                <w:sz w:val="20"/>
                <w:szCs w:val="20"/>
                <w:color w:val="auto"/>
              </w:rPr>
            </w:pPr>
            <w:r>
              <w:rPr>
                <w:rFonts w:ascii="Arial" w:cs="Arial" w:eastAsia="Arial" w:hAnsi="Arial"/>
                <w:sz w:val="18"/>
                <w:szCs w:val="18"/>
                <w:color w:val="auto"/>
              </w:rPr>
              <w:t>violation consciente, intentionnelle ou volontaire ou gravement</w:t>
            </w:r>
          </w:p>
        </w:tc>
        <w:tc>
          <w:tcPr>
            <w:tcW w:w="0" w:type="dxa"/>
            <w:vAlign w:val="bottom"/>
          </w:tcPr>
          <w:p>
            <w:pPr>
              <w:spacing w:after="0"/>
              <w:rPr>
                <w:sz w:val="1"/>
                <w:szCs w:val="1"/>
                <w:color w:val="auto"/>
              </w:rPr>
            </w:pPr>
          </w:p>
        </w:tc>
      </w:tr>
      <w:tr>
        <w:trPr>
          <w:trHeight w:val="203"/>
        </w:trPr>
        <w:tc>
          <w:tcPr>
            <w:tcW w:w="5540" w:type="dxa"/>
            <w:vAlign w:val="bottom"/>
            <w:tcBorders>
              <w:left w:val="single" w:sz="8" w:color="auto"/>
              <w:right w:val="single" w:sz="8" w:color="auto"/>
            </w:tcBorders>
            <w:gridSpan w:val="3"/>
          </w:tcPr>
          <w:p>
            <w:pPr>
              <w:ind w:left="100"/>
              <w:spacing w:after="0" w:line="202" w:lineRule="exact"/>
              <w:rPr>
                <w:sz w:val="20"/>
                <w:szCs w:val="20"/>
                <w:color w:val="auto"/>
              </w:rPr>
            </w:pPr>
            <w:r>
              <w:rPr>
                <w:rFonts w:ascii="Arial" w:cs="Arial" w:eastAsia="Arial" w:hAnsi="Arial"/>
                <w:sz w:val="18"/>
                <w:szCs w:val="18"/>
                <w:color w:val="auto"/>
              </w:rPr>
              <w:t>Company, unless and only to the extent that a court in which such</w:t>
            </w:r>
          </w:p>
        </w:tc>
        <w:tc>
          <w:tcPr>
            <w:tcW w:w="22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tcPr>
          <w:p>
            <w:pPr>
              <w:jc w:val="center"/>
              <w:spacing w:after="0" w:line="202" w:lineRule="exact"/>
              <w:rPr>
                <w:sz w:val="20"/>
                <w:szCs w:val="20"/>
                <w:color w:val="auto"/>
              </w:rPr>
            </w:pPr>
            <w:r>
              <w:rPr>
                <w:rFonts w:ascii="Arial" w:cs="Arial" w:eastAsia="Arial" w:hAnsi="Arial"/>
                <w:sz w:val="18"/>
                <w:szCs w:val="18"/>
                <w:color w:val="auto"/>
              </w:rPr>
              <w:t>négligente de l'obligation de la Personne Couverte d'agir avec</w:t>
            </w:r>
          </w:p>
        </w:tc>
        <w:tc>
          <w:tcPr>
            <w:tcW w:w="0" w:type="dxa"/>
            <w:vAlign w:val="bottom"/>
          </w:tcPr>
          <w:p>
            <w:pPr>
              <w:spacing w:after="0"/>
              <w:rPr>
                <w:sz w:val="1"/>
                <w:szCs w:val="1"/>
                <w:color w:val="auto"/>
              </w:rPr>
            </w:pPr>
          </w:p>
        </w:tc>
      </w:tr>
      <w:tr>
        <w:trPr>
          <w:trHeight w:val="203"/>
        </w:trPr>
        <w:tc>
          <w:tcPr>
            <w:tcW w:w="5540" w:type="dxa"/>
            <w:vAlign w:val="bottom"/>
            <w:tcBorders>
              <w:left w:val="single" w:sz="8" w:color="auto"/>
              <w:right w:val="single" w:sz="8" w:color="auto"/>
            </w:tcBorders>
            <w:gridSpan w:val="3"/>
          </w:tcPr>
          <w:p>
            <w:pPr>
              <w:ind w:left="100"/>
              <w:spacing w:after="0" w:line="202" w:lineRule="exact"/>
              <w:rPr>
                <w:sz w:val="20"/>
                <w:szCs w:val="20"/>
                <w:color w:val="auto"/>
              </w:rPr>
            </w:pPr>
            <w:r>
              <w:rPr>
                <w:rFonts w:ascii="Arial" w:cs="Arial" w:eastAsia="Arial" w:hAnsi="Arial"/>
                <w:sz w:val="18"/>
                <w:szCs w:val="18"/>
                <w:color w:val="auto"/>
              </w:rPr>
              <w:t>action or suit was brought shall determine upon application that</w:t>
            </w:r>
          </w:p>
        </w:tc>
        <w:tc>
          <w:tcPr>
            <w:tcW w:w="22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tcPr>
          <w:p>
            <w:pPr>
              <w:jc w:val="center"/>
              <w:spacing w:after="0" w:line="202" w:lineRule="exact"/>
              <w:rPr>
                <w:sz w:val="20"/>
                <w:szCs w:val="20"/>
                <w:color w:val="auto"/>
              </w:rPr>
            </w:pPr>
            <w:r>
              <w:rPr>
                <w:rFonts w:ascii="Arial" w:cs="Arial" w:eastAsia="Arial" w:hAnsi="Arial"/>
                <w:sz w:val="18"/>
                <w:szCs w:val="18"/>
                <w:color w:val="auto"/>
              </w:rPr>
              <w:t>honnêteté en tenant compte du meilleur intérêt de la société, sauf</w:t>
            </w:r>
          </w:p>
        </w:tc>
        <w:tc>
          <w:tcPr>
            <w:tcW w:w="0" w:type="dxa"/>
            <w:vAlign w:val="bottom"/>
          </w:tcPr>
          <w:p>
            <w:pPr>
              <w:spacing w:after="0"/>
              <w:rPr>
                <w:sz w:val="1"/>
                <w:szCs w:val="1"/>
                <w:color w:val="auto"/>
              </w:rPr>
            </w:pPr>
          </w:p>
        </w:tc>
      </w:tr>
      <w:tr>
        <w:trPr>
          <w:trHeight w:val="203"/>
        </w:trPr>
        <w:tc>
          <w:tcPr>
            <w:tcW w:w="5540" w:type="dxa"/>
            <w:vAlign w:val="bottom"/>
            <w:tcBorders>
              <w:left w:val="single" w:sz="8" w:color="auto"/>
              <w:right w:val="single" w:sz="8" w:color="auto"/>
            </w:tcBorders>
            <w:gridSpan w:val="3"/>
          </w:tcPr>
          <w:p>
            <w:pPr>
              <w:ind w:left="100"/>
              <w:spacing w:after="0" w:line="202" w:lineRule="exact"/>
              <w:rPr>
                <w:sz w:val="20"/>
                <w:szCs w:val="20"/>
                <w:color w:val="auto"/>
              </w:rPr>
            </w:pPr>
            <w:r>
              <w:rPr>
                <w:rFonts w:ascii="Arial" w:cs="Arial" w:eastAsia="Arial" w:hAnsi="Arial"/>
                <w:sz w:val="18"/>
                <w:szCs w:val="18"/>
                <w:color w:val="auto"/>
              </w:rPr>
              <w:t>despite  the  adjudication  of  liability,  but  in  view  of  all  the</w:t>
            </w:r>
          </w:p>
        </w:tc>
        <w:tc>
          <w:tcPr>
            <w:tcW w:w="22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tcPr>
          <w:p>
            <w:pPr>
              <w:jc w:val="center"/>
              <w:spacing w:after="0" w:line="202" w:lineRule="exact"/>
              <w:rPr>
                <w:sz w:val="20"/>
                <w:szCs w:val="20"/>
                <w:color w:val="auto"/>
              </w:rPr>
            </w:pPr>
            <w:r>
              <w:rPr>
                <w:rFonts w:ascii="Arial" w:cs="Arial" w:eastAsia="Arial" w:hAnsi="Arial"/>
                <w:sz w:val="18"/>
                <w:szCs w:val="18"/>
                <w:color w:val="auto"/>
              </w:rPr>
              <w:t>et uniquement si un tribunal auquel une telle action ou poursuite a</w:t>
            </w:r>
          </w:p>
        </w:tc>
        <w:tc>
          <w:tcPr>
            <w:tcW w:w="0" w:type="dxa"/>
            <w:vAlign w:val="bottom"/>
          </w:tcPr>
          <w:p>
            <w:pPr>
              <w:spacing w:after="0"/>
              <w:rPr>
                <w:sz w:val="1"/>
                <w:szCs w:val="1"/>
                <w:color w:val="auto"/>
              </w:rPr>
            </w:pPr>
          </w:p>
        </w:tc>
      </w:tr>
      <w:tr>
        <w:trPr>
          <w:trHeight w:val="203"/>
        </w:trPr>
        <w:tc>
          <w:tcPr>
            <w:tcW w:w="5540" w:type="dxa"/>
            <w:vAlign w:val="bottom"/>
            <w:tcBorders>
              <w:left w:val="single" w:sz="8" w:color="auto"/>
              <w:right w:val="single" w:sz="8" w:color="auto"/>
            </w:tcBorders>
            <w:gridSpan w:val="3"/>
          </w:tcPr>
          <w:p>
            <w:pPr>
              <w:ind w:left="100"/>
              <w:spacing w:after="0" w:line="202" w:lineRule="exact"/>
              <w:rPr>
                <w:sz w:val="20"/>
                <w:szCs w:val="20"/>
                <w:color w:val="auto"/>
              </w:rPr>
            </w:pPr>
            <w:r>
              <w:rPr>
                <w:rFonts w:ascii="Arial" w:cs="Arial" w:eastAsia="Arial" w:hAnsi="Arial"/>
                <w:sz w:val="18"/>
                <w:szCs w:val="18"/>
                <w:color w:val="auto"/>
              </w:rPr>
              <w:t>circumstances of the case, such Covered Person is fairly and</w:t>
            </w:r>
          </w:p>
        </w:tc>
        <w:tc>
          <w:tcPr>
            <w:tcW w:w="22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tcPr>
          <w:p>
            <w:pPr>
              <w:jc w:val="center"/>
              <w:spacing w:after="0" w:line="202" w:lineRule="exact"/>
              <w:rPr>
                <w:sz w:val="20"/>
                <w:szCs w:val="20"/>
                <w:color w:val="auto"/>
              </w:rPr>
            </w:pPr>
            <w:r>
              <w:rPr>
                <w:rFonts w:ascii="Arial" w:cs="Arial" w:eastAsia="Arial" w:hAnsi="Arial"/>
                <w:sz w:val="18"/>
                <w:szCs w:val="18"/>
                <w:color w:val="auto"/>
              </w:rPr>
              <w:t>été  porté  détermine  que,  malgré  la  reconnaissance  de  la</w:t>
            </w:r>
          </w:p>
        </w:tc>
        <w:tc>
          <w:tcPr>
            <w:tcW w:w="0" w:type="dxa"/>
            <w:vAlign w:val="bottom"/>
          </w:tcPr>
          <w:p>
            <w:pPr>
              <w:spacing w:after="0"/>
              <w:rPr>
                <w:sz w:val="1"/>
                <w:szCs w:val="1"/>
                <w:color w:val="auto"/>
              </w:rPr>
            </w:pPr>
          </w:p>
        </w:tc>
      </w:tr>
      <w:tr>
        <w:trPr>
          <w:trHeight w:val="203"/>
        </w:trPr>
        <w:tc>
          <w:tcPr>
            <w:tcW w:w="5540" w:type="dxa"/>
            <w:vAlign w:val="bottom"/>
            <w:tcBorders>
              <w:left w:val="single" w:sz="8" w:color="auto"/>
              <w:right w:val="single" w:sz="8" w:color="auto"/>
            </w:tcBorders>
            <w:gridSpan w:val="3"/>
          </w:tcPr>
          <w:p>
            <w:pPr>
              <w:ind w:left="100"/>
              <w:spacing w:after="0" w:line="202" w:lineRule="exact"/>
              <w:rPr>
                <w:sz w:val="20"/>
                <w:szCs w:val="20"/>
                <w:color w:val="auto"/>
              </w:rPr>
            </w:pPr>
            <w:r>
              <w:rPr>
                <w:rFonts w:ascii="Arial" w:cs="Arial" w:eastAsia="Arial" w:hAnsi="Arial"/>
                <w:sz w:val="18"/>
                <w:szCs w:val="18"/>
                <w:color w:val="auto"/>
              </w:rPr>
              <w:t>reasonably entitled to indemnity for such expenses as the court</w:t>
            </w:r>
          </w:p>
        </w:tc>
        <w:tc>
          <w:tcPr>
            <w:tcW w:w="22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tcPr>
          <w:p>
            <w:pPr>
              <w:jc w:val="center"/>
              <w:spacing w:after="0" w:line="202" w:lineRule="exact"/>
              <w:rPr>
                <w:sz w:val="20"/>
                <w:szCs w:val="20"/>
                <w:color w:val="auto"/>
              </w:rPr>
            </w:pPr>
            <w:r>
              <w:rPr>
                <w:rFonts w:ascii="Arial" w:cs="Arial" w:eastAsia="Arial" w:hAnsi="Arial"/>
                <w:sz w:val="18"/>
                <w:szCs w:val="18"/>
                <w:color w:val="auto"/>
              </w:rPr>
              <w:t>responsabilité, mais compte tenu de toutes les circonstances du</w:t>
            </w:r>
          </w:p>
        </w:tc>
        <w:tc>
          <w:tcPr>
            <w:tcW w:w="0" w:type="dxa"/>
            <w:vAlign w:val="bottom"/>
          </w:tcPr>
          <w:p>
            <w:pPr>
              <w:spacing w:after="0"/>
              <w:rPr>
                <w:sz w:val="1"/>
                <w:szCs w:val="1"/>
                <w:color w:val="auto"/>
              </w:rPr>
            </w:pPr>
          </w:p>
        </w:tc>
      </w:tr>
      <w:tr>
        <w:trPr>
          <w:trHeight w:val="203"/>
        </w:trPr>
        <w:tc>
          <w:tcPr>
            <w:tcW w:w="5540" w:type="dxa"/>
            <w:vAlign w:val="bottom"/>
            <w:tcBorders>
              <w:left w:val="single" w:sz="8" w:color="auto"/>
              <w:right w:val="single" w:sz="8" w:color="auto"/>
            </w:tcBorders>
            <w:gridSpan w:val="3"/>
          </w:tcPr>
          <w:p>
            <w:pPr>
              <w:ind w:left="100"/>
              <w:spacing w:after="0" w:line="202" w:lineRule="exact"/>
              <w:rPr>
                <w:sz w:val="20"/>
                <w:szCs w:val="20"/>
                <w:color w:val="auto"/>
              </w:rPr>
            </w:pPr>
            <w:r>
              <w:rPr>
                <w:rFonts w:ascii="Arial" w:cs="Arial" w:eastAsia="Arial" w:hAnsi="Arial"/>
                <w:sz w:val="18"/>
                <w:szCs w:val="18"/>
                <w:color w:val="auto"/>
              </w:rPr>
              <w:t>shall deem proper. Notwithstanding the preceding sentence, this</w:t>
            </w:r>
          </w:p>
        </w:tc>
        <w:tc>
          <w:tcPr>
            <w:tcW w:w="22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tcPr>
          <w:p>
            <w:pPr>
              <w:jc w:val="center"/>
              <w:spacing w:after="0" w:line="202" w:lineRule="exact"/>
              <w:rPr>
                <w:sz w:val="20"/>
                <w:szCs w:val="20"/>
                <w:color w:val="auto"/>
              </w:rPr>
            </w:pPr>
            <w:r>
              <w:rPr>
                <w:rFonts w:ascii="Arial" w:cs="Arial" w:eastAsia="Arial" w:hAnsi="Arial"/>
                <w:sz w:val="18"/>
                <w:szCs w:val="18"/>
                <w:color w:val="auto"/>
              </w:rPr>
              <w:t>cas  d'espèce,  cette  Personne  Couverte  a  équitablement  et</w:t>
            </w:r>
          </w:p>
        </w:tc>
        <w:tc>
          <w:tcPr>
            <w:tcW w:w="0" w:type="dxa"/>
            <w:vAlign w:val="bottom"/>
          </w:tcPr>
          <w:p>
            <w:pPr>
              <w:spacing w:after="0"/>
              <w:rPr>
                <w:sz w:val="1"/>
                <w:szCs w:val="1"/>
                <w:color w:val="auto"/>
              </w:rPr>
            </w:pPr>
          </w:p>
        </w:tc>
      </w:tr>
      <w:tr>
        <w:trPr>
          <w:trHeight w:val="203"/>
        </w:trPr>
        <w:tc>
          <w:tcPr>
            <w:tcW w:w="5540" w:type="dxa"/>
            <w:vAlign w:val="bottom"/>
            <w:tcBorders>
              <w:left w:val="single" w:sz="8" w:color="auto"/>
              <w:right w:val="single" w:sz="8" w:color="auto"/>
            </w:tcBorders>
            <w:gridSpan w:val="3"/>
          </w:tcPr>
          <w:p>
            <w:pPr>
              <w:ind w:left="100"/>
              <w:spacing w:after="0" w:line="202" w:lineRule="exact"/>
              <w:rPr>
                <w:sz w:val="20"/>
                <w:szCs w:val="20"/>
                <w:color w:val="auto"/>
              </w:rPr>
            </w:pPr>
            <w:r>
              <w:rPr>
                <w:rFonts w:ascii="Arial" w:cs="Arial" w:eastAsia="Arial" w:hAnsi="Arial"/>
                <w:sz w:val="18"/>
                <w:szCs w:val="18"/>
                <w:color w:val="auto"/>
              </w:rPr>
              <w:t>section shall not extend to any person holding the office of auditor</w:t>
            </w:r>
          </w:p>
        </w:tc>
        <w:tc>
          <w:tcPr>
            <w:tcW w:w="22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tcPr>
          <w:p>
            <w:pPr>
              <w:jc w:val="center"/>
              <w:spacing w:after="0" w:line="202" w:lineRule="exact"/>
              <w:rPr>
                <w:sz w:val="20"/>
                <w:szCs w:val="20"/>
                <w:color w:val="auto"/>
              </w:rPr>
            </w:pPr>
            <w:r>
              <w:rPr>
                <w:rFonts w:ascii="Arial" w:cs="Arial" w:eastAsia="Arial" w:hAnsi="Arial"/>
                <w:sz w:val="18"/>
                <w:szCs w:val="18"/>
                <w:color w:val="auto"/>
              </w:rPr>
              <w:t>raisonnablement droit à une indemnisation de ces dépenses, mais</w:t>
            </w:r>
          </w:p>
        </w:tc>
        <w:tc>
          <w:tcPr>
            <w:tcW w:w="0" w:type="dxa"/>
            <w:vAlign w:val="bottom"/>
          </w:tcPr>
          <w:p>
            <w:pPr>
              <w:spacing w:after="0"/>
              <w:rPr>
                <w:sz w:val="1"/>
                <w:szCs w:val="1"/>
                <w:color w:val="auto"/>
              </w:rPr>
            </w:pPr>
          </w:p>
        </w:tc>
      </w:tr>
      <w:tr>
        <w:trPr>
          <w:trHeight w:val="203"/>
        </w:trPr>
        <w:tc>
          <w:tcPr>
            <w:tcW w:w="5540" w:type="dxa"/>
            <w:vAlign w:val="bottom"/>
            <w:tcBorders>
              <w:left w:val="single" w:sz="8" w:color="auto"/>
              <w:right w:val="single" w:sz="8" w:color="auto"/>
            </w:tcBorders>
            <w:gridSpan w:val="3"/>
          </w:tcPr>
          <w:p>
            <w:pPr>
              <w:ind w:left="100"/>
              <w:spacing w:after="0" w:line="202" w:lineRule="exact"/>
              <w:rPr>
                <w:sz w:val="20"/>
                <w:szCs w:val="20"/>
                <w:color w:val="auto"/>
              </w:rPr>
            </w:pPr>
            <w:r>
              <w:rPr>
                <w:rFonts w:ascii="Arial" w:cs="Arial" w:eastAsia="Arial" w:hAnsi="Arial"/>
                <w:sz w:val="18"/>
                <w:szCs w:val="18"/>
                <w:color w:val="auto"/>
              </w:rPr>
              <w:t>or special auditor of the Company.</w:t>
            </w:r>
          </w:p>
        </w:tc>
        <w:tc>
          <w:tcPr>
            <w:tcW w:w="22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tcPr>
          <w:p>
            <w:pPr>
              <w:jc w:val="center"/>
              <w:spacing w:after="0" w:line="202" w:lineRule="exact"/>
              <w:rPr>
                <w:sz w:val="20"/>
                <w:szCs w:val="20"/>
                <w:color w:val="auto"/>
              </w:rPr>
            </w:pPr>
            <w:r>
              <w:rPr>
                <w:rFonts w:ascii="Arial" w:cs="Arial" w:eastAsia="Arial" w:hAnsi="Arial"/>
                <w:sz w:val="18"/>
                <w:szCs w:val="18"/>
                <w:color w:val="auto"/>
              </w:rPr>
              <w:t>uniquement  à  hauteur  du  montant  que  le  tribunal  jugera</w:t>
            </w:r>
          </w:p>
        </w:tc>
        <w:tc>
          <w:tcPr>
            <w:tcW w:w="0" w:type="dxa"/>
            <w:vAlign w:val="bottom"/>
          </w:tcPr>
          <w:p>
            <w:pPr>
              <w:spacing w:after="0"/>
              <w:rPr>
                <w:sz w:val="1"/>
                <w:szCs w:val="1"/>
                <w:color w:val="auto"/>
              </w:rPr>
            </w:pPr>
          </w:p>
        </w:tc>
      </w:tr>
      <w:tr>
        <w:trPr>
          <w:trHeight w:val="203"/>
        </w:trPr>
        <w:tc>
          <w:tcPr>
            <w:tcW w:w="780" w:type="dxa"/>
            <w:vAlign w:val="bottom"/>
            <w:tcBorders>
              <w:left w:val="single" w:sz="8" w:color="auto"/>
            </w:tcBorders>
          </w:tcPr>
          <w:p>
            <w:pPr>
              <w:spacing w:after="0"/>
              <w:rPr>
                <w:sz w:val="17"/>
                <w:szCs w:val="17"/>
                <w:color w:val="auto"/>
              </w:rPr>
            </w:pPr>
          </w:p>
        </w:tc>
        <w:tc>
          <w:tcPr>
            <w:tcW w:w="960" w:type="dxa"/>
            <w:vAlign w:val="bottom"/>
          </w:tcPr>
          <w:p>
            <w:pPr>
              <w:spacing w:after="0"/>
              <w:rPr>
                <w:sz w:val="17"/>
                <w:szCs w:val="17"/>
                <w:color w:val="auto"/>
              </w:rPr>
            </w:pPr>
          </w:p>
        </w:tc>
        <w:tc>
          <w:tcPr>
            <w:tcW w:w="3800" w:type="dxa"/>
            <w:vAlign w:val="bottom"/>
            <w:tcBorders>
              <w:right w:val="single" w:sz="8" w:color="auto"/>
            </w:tcBorders>
          </w:tcPr>
          <w:p>
            <w:pPr>
              <w:spacing w:after="0"/>
              <w:rPr>
                <w:sz w:val="17"/>
                <w:szCs w:val="17"/>
                <w:color w:val="auto"/>
              </w:rPr>
            </w:pPr>
          </w:p>
        </w:tc>
        <w:tc>
          <w:tcPr>
            <w:tcW w:w="22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tcPr>
          <w:p>
            <w:pPr>
              <w:jc w:val="center"/>
              <w:spacing w:after="0" w:line="202" w:lineRule="exact"/>
              <w:rPr>
                <w:sz w:val="20"/>
                <w:szCs w:val="20"/>
                <w:color w:val="auto"/>
              </w:rPr>
            </w:pPr>
            <w:r>
              <w:rPr>
                <w:rFonts w:ascii="Arial" w:cs="Arial" w:eastAsia="Arial" w:hAnsi="Arial"/>
                <w:sz w:val="18"/>
                <w:szCs w:val="18"/>
                <w:color w:val="auto"/>
              </w:rPr>
              <w:t>convenable. Nonobstant la phrase précédente, cette disposition ne</w:t>
            </w:r>
          </w:p>
        </w:tc>
        <w:tc>
          <w:tcPr>
            <w:tcW w:w="0" w:type="dxa"/>
            <w:vAlign w:val="bottom"/>
          </w:tcPr>
          <w:p>
            <w:pPr>
              <w:spacing w:after="0"/>
              <w:rPr>
                <w:sz w:val="1"/>
                <w:szCs w:val="1"/>
                <w:color w:val="auto"/>
              </w:rPr>
            </w:pPr>
          </w:p>
        </w:tc>
      </w:tr>
      <w:tr>
        <w:trPr>
          <w:trHeight w:val="203"/>
        </w:trPr>
        <w:tc>
          <w:tcPr>
            <w:tcW w:w="780" w:type="dxa"/>
            <w:vAlign w:val="bottom"/>
            <w:tcBorders>
              <w:left w:val="single" w:sz="8" w:color="auto"/>
            </w:tcBorders>
          </w:tcPr>
          <w:p>
            <w:pPr>
              <w:spacing w:after="0"/>
              <w:rPr>
                <w:sz w:val="17"/>
                <w:szCs w:val="17"/>
                <w:color w:val="auto"/>
              </w:rPr>
            </w:pPr>
          </w:p>
        </w:tc>
        <w:tc>
          <w:tcPr>
            <w:tcW w:w="960" w:type="dxa"/>
            <w:vAlign w:val="bottom"/>
          </w:tcPr>
          <w:p>
            <w:pPr>
              <w:spacing w:after="0"/>
              <w:rPr>
                <w:sz w:val="17"/>
                <w:szCs w:val="17"/>
                <w:color w:val="auto"/>
              </w:rPr>
            </w:pPr>
          </w:p>
        </w:tc>
        <w:tc>
          <w:tcPr>
            <w:tcW w:w="3800" w:type="dxa"/>
            <w:vAlign w:val="bottom"/>
            <w:tcBorders>
              <w:right w:val="single" w:sz="8" w:color="auto"/>
            </w:tcBorders>
          </w:tcPr>
          <w:p>
            <w:pPr>
              <w:spacing w:after="0"/>
              <w:rPr>
                <w:sz w:val="17"/>
                <w:szCs w:val="17"/>
                <w:color w:val="auto"/>
              </w:rPr>
            </w:pPr>
          </w:p>
        </w:tc>
        <w:tc>
          <w:tcPr>
            <w:tcW w:w="22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tcPr>
          <w:p>
            <w:pPr>
              <w:jc w:val="center"/>
              <w:spacing w:after="0" w:line="202" w:lineRule="exact"/>
              <w:rPr>
                <w:sz w:val="20"/>
                <w:szCs w:val="20"/>
                <w:color w:val="auto"/>
              </w:rPr>
            </w:pPr>
            <w:r>
              <w:rPr>
                <w:rFonts w:ascii="Arial" w:cs="Arial" w:eastAsia="Arial" w:hAnsi="Arial"/>
                <w:sz w:val="18"/>
                <w:szCs w:val="18"/>
                <w:color w:val="auto"/>
              </w:rPr>
              <w:t>s'étend pas aux personnes qui occupent le poste de réviseur ou de</w:t>
            </w:r>
          </w:p>
        </w:tc>
        <w:tc>
          <w:tcPr>
            <w:tcW w:w="0" w:type="dxa"/>
            <w:vAlign w:val="bottom"/>
          </w:tcPr>
          <w:p>
            <w:pPr>
              <w:spacing w:after="0"/>
              <w:rPr>
                <w:sz w:val="1"/>
                <w:szCs w:val="1"/>
                <w:color w:val="auto"/>
              </w:rPr>
            </w:pPr>
          </w:p>
        </w:tc>
      </w:tr>
      <w:tr>
        <w:trPr>
          <w:trHeight w:val="217"/>
        </w:trPr>
        <w:tc>
          <w:tcPr>
            <w:tcW w:w="780" w:type="dxa"/>
            <w:vAlign w:val="bottom"/>
            <w:tcBorders>
              <w:left w:val="single" w:sz="8" w:color="auto"/>
            </w:tcBorders>
          </w:tcPr>
          <w:p>
            <w:pPr>
              <w:spacing w:after="0"/>
              <w:rPr>
                <w:sz w:val="18"/>
                <w:szCs w:val="18"/>
                <w:color w:val="auto"/>
              </w:rPr>
            </w:pPr>
          </w:p>
        </w:tc>
        <w:tc>
          <w:tcPr>
            <w:tcW w:w="960" w:type="dxa"/>
            <w:vAlign w:val="bottom"/>
          </w:tcPr>
          <w:p>
            <w:pPr>
              <w:spacing w:after="0"/>
              <w:rPr>
                <w:sz w:val="18"/>
                <w:szCs w:val="18"/>
                <w:color w:val="auto"/>
              </w:rPr>
            </w:pPr>
          </w:p>
        </w:tc>
        <w:tc>
          <w:tcPr>
            <w:tcW w:w="3800" w:type="dxa"/>
            <w:vAlign w:val="bottom"/>
            <w:tcBorders>
              <w:right w:val="single" w:sz="8" w:color="auto"/>
            </w:tcBorders>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5480" w:type="dxa"/>
            <w:vAlign w:val="bottom"/>
            <w:tcBorders>
              <w:right w:val="single" w:sz="8" w:color="auto"/>
            </w:tcBorders>
          </w:tcPr>
          <w:p>
            <w:pPr>
              <w:jc w:val="right"/>
              <w:ind w:right="2970"/>
              <w:spacing w:after="0"/>
              <w:rPr>
                <w:sz w:val="20"/>
                <w:szCs w:val="20"/>
                <w:color w:val="auto"/>
              </w:rPr>
            </w:pPr>
            <w:r>
              <w:rPr>
                <w:rFonts w:ascii="Arial" w:cs="Arial" w:eastAsia="Arial" w:hAnsi="Arial"/>
                <w:sz w:val="18"/>
                <w:szCs w:val="18"/>
                <w:color w:val="auto"/>
              </w:rPr>
              <w:t>réviseur spécial de la société.</w:t>
            </w:r>
          </w:p>
        </w:tc>
        <w:tc>
          <w:tcPr>
            <w:tcW w:w="0" w:type="dxa"/>
            <w:vAlign w:val="bottom"/>
          </w:tcPr>
          <w:p>
            <w:pPr>
              <w:spacing w:after="0"/>
              <w:rPr>
                <w:sz w:val="1"/>
                <w:szCs w:val="1"/>
                <w:color w:val="auto"/>
              </w:rPr>
            </w:pPr>
          </w:p>
        </w:tc>
      </w:tr>
      <w:tr>
        <w:trPr>
          <w:trHeight w:val="54"/>
        </w:trPr>
        <w:tc>
          <w:tcPr>
            <w:tcW w:w="780" w:type="dxa"/>
            <w:vAlign w:val="bottom"/>
            <w:tcBorders>
              <w:left w:val="single" w:sz="8" w:color="auto"/>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3800" w:type="dxa"/>
            <w:vAlign w:val="bottom"/>
            <w:tcBorders>
              <w:bottom w:val="single" w:sz="8" w:color="auto"/>
              <w:right w:val="single" w:sz="8" w:color="auto"/>
            </w:tcBorders>
          </w:tcPr>
          <w:p>
            <w:pPr>
              <w:spacing w:after="0"/>
              <w:rPr>
                <w:sz w:val="4"/>
                <w:szCs w:val="4"/>
                <w:color w:val="auto"/>
              </w:rPr>
            </w:pPr>
          </w:p>
        </w:tc>
        <w:tc>
          <w:tcPr>
            <w:tcW w:w="220" w:type="dxa"/>
            <w:vAlign w:val="bottom"/>
            <w:tcBorders>
              <w:bottom w:val="single" w:sz="8" w:color="auto"/>
              <w:right w:val="single" w:sz="8" w:color="auto"/>
            </w:tcBorders>
          </w:tcPr>
          <w:p>
            <w:pPr>
              <w:spacing w:after="0"/>
              <w:rPr>
                <w:sz w:val="4"/>
                <w:szCs w:val="4"/>
                <w:color w:val="auto"/>
              </w:rPr>
            </w:pPr>
          </w:p>
        </w:tc>
        <w:tc>
          <w:tcPr>
            <w:tcW w:w="548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95"/>
        </w:trPr>
        <w:tc>
          <w:tcPr>
            <w:tcW w:w="1740" w:type="dxa"/>
            <w:vAlign w:val="bottom"/>
            <w:tcBorders>
              <w:left w:val="single" w:sz="8" w:color="auto"/>
            </w:tcBorders>
            <w:gridSpan w:val="2"/>
            <w:vMerge w:val="restart"/>
          </w:tcPr>
          <w:p>
            <w:pPr>
              <w:ind w:left="100"/>
              <w:spacing w:after="0"/>
              <w:rPr>
                <w:sz w:val="20"/>
                <w:szCs w:val="20"/>
                <w:color w:val="auto"/>
              </w:rPr>
            </w:pPr>
            <w:r>
              <w:rPr>
                <w:rFonts w:ascii="Arial" w:cs="Arial" w:eastAsia="Arial" w:hAnsi="Arial"/>
                <w:sz w:val="18"/>
                <w:szCs w:val="18"/>
                <w:color w:val="auto"/>
              </w:rPr>
              <w:t>Any indemnification</w:t>
            </w:r>
          </w:p>
        </w:tc>
        <w:tc>
          <w:tcPr>
            <w:tcW w:w="3800" w:type="dxa"/>
            <w:vAlign w:val="bottom"/>
            <w:tcBorders>
              <w:right w:val="single" w:sz="8" w:color="auto"/>
            </w:tcBorders>
            <w:vMerge w:val="restart"/>
          </w:tcPr>
          <w:p>
            <w:pPr>
              <w:jc w:val="right"/>
              <w:ind w:right="10"/>
              <w:spacing w:after="0"/>
              <w:rPr>
                <w:sz w:val="20"/>
                <w:szCs w:val="20"/>
                <w:color w:val="auto"/>
              </w:rPr>
            </w:pPr>
            <w:r>
              <w:rPr>
                <w:rFonts w:ascii="Arial" w:cs="Arial" w:eastAsia="Arial" w:hAnsi="Arial"/>
                <w:sz w:val="18"/>
                <w:szCs w:val="18"/>
                <w:color w:val="auto"/>
              </w:rPr>
              <w:t>under this Article 29 (unless ordered by a</w:t>
            </w:r>
          </w:p>
        </w:tc>
        <w:tc>
          <w:tcPr>
            <w:tcW w:w="220" w:type="dxa"/>
            <w:vAlign w:val="bottom"/>
            <w:tcBorders>
              <w:right w:val="single" w:sz="8" w:color="auto"/>
            </w:tcBorders>
          </w:tcPr>
          <w:p>
            <w:pPr>
              <w:spacing w:after="0"/>
              <w:rPr>
                <w:sz w:val="16"/>
                <w:szCs w:val="16"/>
                <w:color w:val="auto"/>
              </w:rPr>
            </w:pPr>
          </w:p>
        </w:tc>
        <w:tc>
          <w:tcPr>
            <w:tcW w:w="548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rPr>
              <w:t>Toute indemnisation en vertu du présent article 29 (sauf si ordonnée</w:t>
            </w:r>
          </w:p>
        </w:tc>
        <w:tc>
          <w:tcPr>
            <w:tcW w:w="0" w:type="dxa"/>
            <w:vAlign w:val="bottom"/>
          </w:tcPr>
          <w:p>
            <w:pPr>
              <w:spacing w:after="0"/>
              <w:rPr>
                <w:sz w:val="1"/>
                <w:szCs w:val="1"/>
                <w:color w:val="auto"/>
              </w:rPr>
            </w:pPr>
          </w:p>
        </w:tc>
      </w:tr>
      <w:tr>
        <w:trPr>
          <w:trHeight w:val="68"/>
        </w:trPr>
        <w:tc>
          <w:tcPr>
            <w:tcW w:w="1740" w:type="dxa"/>
            <w:vAlign w:val="bottom"/>
            <w:tcBorders>
              <w:left w:val="single" w:sz="8" w:color="auto"/>
            </w:tcBorders>
            <w:gridSpan w:val="2"/>
            <w:vMerge w:val="continue"/>
          </w:tcPr>
          <w:p>
            <w:pPr>
              <w:spacing w:after="0"/>
              <w:rPr>
                <w:sz w:val="5"/>
                <w:szCs w:val="5"/>
                <w:color w:val="auto"/>
              </w:rPr>
            </w:pPr>
          </w:p>
        </w:tc>
        <w:tc>
          <w:tcPr>
            <w:tcW w:w="3800" w:type="dxa"/>
            <w:vAlign w:val="bottom"/>
            <w:tcBorders>
              <w:right w:val="single" w:sz="8" w:color="auto"/>
            </w:tcBorders>
            <w:vMerge w:val="continue"/>
          </w:tcPr>
          <w:p>
            <w:pPr>
              <w:spacing w:after="0"/>
              <w:rPr>
                <w:sz w:val="5"/>
                <w:szCs w:val="5"/>
                <w:color w:val="auto"/>
              </w:rPr>
            </w:pPr>
          </w:p>
        </w:tc>
        <w:tc>
          <w:tcPr>
            <w:tcW w:w="220" w:type="dxa"/>
            <w:vAlign w:val="bottom"/>
            <w:tcBorders>
              <w:right w:val="single" w:sz="8" w:color="auto"/>
            </w:tcBorders>
          </w:tcPr>
          <w:p>
            <w:pPr>
              <w:spacing w:after="0"/>
              <w:rPr>
                <w:sz w:val="5"/>
                <w:szCs w:val="5"/>
                <w:color w:val="auto"/>
              </w:rPr>
            </w:pPr>
          </w:p>
        </w:tc>
        <w:tc>
          <w:tcPr>
            <w:tcW w:w="5480" w:type="dxa"/>
            <w:vAlign w:val="bottom"/>
            <w:tcBorders>
              <w:right w:val="single" w:sz="8" w:color="auto"/>
            </w:tcBorders>
            <w:vMerge w:val="restart"/>
          </w:tcPr>
          <w:p>
            <w:pPr>
              <w:jc w:val="center"/>
              <w:spacing w:after="0" w:line="202" w:lineRule="exact"/>
              <w:rPr>
                <w:sz w:val="20"/>
                <w:szCs w:val="20"/>
                <w:color w:val="auto"/>
              </w:rPr>
            </w:pPr>
            <w:r>
              <w:rPr>
                <w:rFonts w:ascii="Arial" w:cs="Arial" w:eastAsia="Arial" w:hAnsi="Arial"/>
                <w:sz w:val="18"/>
                <w:szCs w:val="18"/>
                <w:color w:val="auto"/>
              </w:rPr>
              <w:t>par un tribunal) doit être octroyée par la société dans chaque cas</w:t>
            </w:r>
          </w:p>
        </w:tc>
        <w:tc>
          <w:tcPr>
            <w:tcW w:w="0" w:type="dxa"/>
            <w:vAlign w:val="bottom"/>
          </w:tcPr>
          <w:p>
            <w:pPr>
              <w:spacing w:after="0"/>
              <w:rPr>
                <w:sz w:val="1"/>
                <w:szCs w:val="1"/>
                <w:color w:val="auto"/>
              </w:rPr>
            </w:pPr>
          </w:p>
        </w:tc>
      </w:tr>
      <w:tr>
        <w:trPr>
          <w:trHeight w:val="135"/>
        </w:trPr>
        <w:tc>
          <w:tcPr>
            <w:tcW w:w="5540" w:type="dxa"/>
            <w:vAlign w:val="bottom"/>
            <w:tcBorders>
              <w:left w:val="single" w:sz="8" w:color="auto"/>
              <w:right w:val="single" w:sz="8" w:color="auto"/>
            </w:tcBorders>
            <w:gridSpan w:val="3"/>
            <w:vMerge w:val="restart"/>
          </w:tcPr>
          <w:p>
            <w:pPr>
              <w:ind w:left="100"/>
              <w:spacing w:after="0" w:line="202" w:lineRule="exact"/>
              <w:rPr>
                <w:sz w:val="20"/>
                <w:szCs w:val="20"/>
                <w:color w:val="auto"/>
              </w:rPr>
            </w:pPr>
            <w:r>
              <w:rPr>
                <w:rFonts w:ascii="Arial" w:cs="Arial" w:eastAsia="Arial" w:hAnsi="Arial"/>
                <w:sz w:val="18"/>
                <w:szCs w:val="18"/>
                <w:color w:val="auto"/>
              </w:rPr>
              <w:t>court) shall be made by the Company only as authorized in the</w:t>
            </w:r>
          </w:p>
        </w:tc>
        <w:tc>
          <w:tcPr>
            <w:tcW w:w="220" w:type="dxa"/>
            <w:vAlign w:val="bottom"/>
            <w:tcBorders>
              <w:right w:val="single" w:sz="8" w:color="auto"/>
            </w:tcBorders>
          </w:tcPr>
          <w:p>
            <w:pPr>
              <w:spacing w:after="0"/>
              <w:rPr>
                <w:sz w:val="11"/>
                <w:szCs w:val="11"/>
                <w:color w:val="auto"/>
              </w:rPr>
            </w:pPr>
          </w:p>
        </w:tc>
        <w:tc>
          <w:tcPr>
            <w:tcW w:w="5480" w:type="dxa"/>
            <w:vAlign w:val="bottom"/>
            <w:tcBorders>
              <w:right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68"/>
        </w:trPr>
        <w:tc>
          <w:tcPr>
            <w:tcW w:w="5540" w:type="dxa"/>
            <w:vAlign w:val="bottom"/>
            <w:tcBorders>
              <w:left w:val="single" w:sz="8" w:color="auto"/>
              <w:right w:val="single" w:sz="8" w:color="auto"/>
            </w:tcBorders>
            <w:gridSpan w:val="3"/>
            <w:vMerge w:val="continue"/>
          </w:tcPr>
          <w:p>
            <w:pPr>
              <w:spacing w:after="0"/>
              <w:rPr>
                <w:sz w:val="5"/>
                <w:szCs w:val="5"/>
                <w:color w:val="auto"/>
              </w:rPr>
            </w:pPr>
          </w:p>
        </w:tc>
        <w:tc>
          <w:tcPr>
            <w:tcW w:w="220" w:type="dxa"/>
            <w:vAlign w:val="bottom"/>
            <w:tcBorders>
              <w:right w:val="single" w:sz="8" w:color="auto"/>
            </w:tcBorders>
          </w:tcPr>
          <w:p>
            <w:pPr>
              <w:spacing w:after="0"/>
              <w:rPr>
                <w:sz w:val="5"/>
                <w:szCs w:val="5"/>
                <w:color w:val="auto"/>
              </w:rPr>
            </w:pPr>
          </w:p>
        </w:tc>
        <w:tc>
          <w:tcPr>
            <w:tcW w:w="5480" w:type="dxa"/>
            <w:vAlign w:val="bottom"/>
            <w:tcBorders>
              <w:right w:val="single" w:sz="8" w:color="auto"/>
            </w:tcBorders>
            <w:vMerge w:val="restart"/>
          </w:tcPr>
          <w:p>
            <w:pPr>
              <w:jc w:val="center"/>
              <w:spacing w:after="0" w:line="202" w:lineRule="exact"/>
              <w:rPr>
                <w:sz w:val="20"/>
                <w:szCs w:val="20"/>
                <w:color w:val="auto"/>
              </w:rPr>
            </w:pPr>
            <w:r>
              <w:rPr>
                <w:rFonts w:ascii="Arial" w:cs="Arial" w:eastAsia="Arial" w:hAnsi="Arial"/>
                <w:sz w:val="18"/>
                <w:szCs w:val="18"/>
                <w:color w:val="auto"/>
              </w:rPr>
              <w:t>dans les limites de l'autorisation sur la base d'une détermination que</w:t>
            </w:r>
          </w:p>
        </w:tc>
        <w:tc>
          <w:tcPr>
            <w:tcW w:w="0" w:type="dxa"/>
            <w:vAlign w:val="bottom"/>
          </w:tcPr>
          <w:p>
            <w:pPr>
              <w:spacing w:after="0"/>
              <w:rPr>
                <w:sz w:val="1"/>
                <w:szCs w:val="1"/>
                <w:color w:val="auto"/>
              </w:rPr>
            </w:pPr>
          </w:p>
        </w:tc>
      </w:tr>
      <w:tr>
        <w:trPr>
          <w:trHeight w:val="135"/>
        </w:trPr>
        <w:tc>
          <w:tcPr>
            <w:tcW w:w="780" w:type="dxa"/>
            <w:vAlign w:val="bottom"/>
            <w:tcBorders>
              <w:left w:val="single" w:sz="8" w:color="auto"/>
            </w:tcBorders>
            <w:vMerge w:val="restart"/>
          </w:tcPr>
          <w:p>
            <w:pPr>
              <w:ind w:left="100"/>
              <w:spacing w:after="0" w:line="202" w:lineRule="exact"/>
              <w:rPr>
                <w:sz w:val="20"/>
                <w:szCs w:val="20"/>
                <w:color w:val="auto"/>
              </w:rPr>
            </w:pPr>
            <w:r>
              <w:rPr>
                <w:rFonts w:ascii="Arial" w:cs="Arial" w:eastAsia="Arial" w:hAnsi="Arial"/>
                <w:sz w:val="18"/>
                <w:szCs w:val="18"/>
                <w:color w:val="auto"/>
              </w:rPr>
              <w:t>specific</w:t>
            </w:r>
          </w:p>
        </w:tc>
        <w:tc>
          <w:tcPr>
            <w:tcW w:w="960" w:type="dxa"/>
            <w:vAlign w:val="bottom"/>
            <w:vMerge w:val="restart"/>
          </w:tcPr>
          <w:p>
            <w:pPr>
              <w:jc w:val="right"/>
              <w:spacing w:after="0" w:line="202" w:lineRule="exact"/>
              <w:rPr>
                <w:sz w:val="20"/>
                <w:szCs w:val="20"/>
                <w:color w:val="auto"/>
              </w:rPr>
            </w:pPr>
            <w:r>
              <w:rPr>
                <w:rFonts w:ascii="Arial" w:cs="Arial" w:eastAsia="Arial" w:hAnsi="Arial"/>
                <w:sz w:val="18"/>
                <w:szCs w:val="18"/>
                <w:color w:val="auto"/>
              </w:rPr>
              <w:t>case upon</w:t>
            </w:r>
          </w:p>
        </w:tc>
        <w:tc>
          <w:tcPr>
            <w:tcW w:w="3800" w:type="dxa"/>
            <w:vAlign w:val="bottom"/>
            <w:tcBorders>
              <w:right w:val="single" w:sz="8" w:color="auto"/>
            </w:tcBorders>
            <w:vMerge w:val="restart"/>
          </w:tcPr>
          <w:p>
            <w:pPr>
              <w:jc w:val="right"/>
              <w:ind w:right="10"/>
              <w:spacing w:after="0" w:line="202" w:lineRule="exact"/>
              <w:rPr>
                <w:sz w:val="20"/>
                <w:szCs w:val="20"/>
                <w:color w:val="auto"/>
              </w:rPr>
            </w:pPr>
            <w:r>
              <w:rPr>
                <w:rFonts w:ascii="Arial" w:cs="Arial" w:eastAsia="Arial" w:hAnsi="Arial"/>
                <w:sz w:val="18"/>
                <w:szCs w:val="18"/>
                <w:color w:val="auto"/>
              </w:rPr>
              <w:t>a determination that indemnification of the</w:t>
            </w:r>
          </w:p>
        </w:tc>
        <w:tc>
          <w:tcPr>
            <w:tcW w:w="220" w:type="dxa"/>
            <w:vAlign w:val="bottom"/>
            <w:tcBorders>
              <w:right w:val="single" w:sz="8" w:color="auto"/>
            </w:tcBorders>
          </w:tcPr>
          <w:p>
            <w:pPr>
              <w:spacing w:after="0"/>
              <w:rPr>
                <w:sz w:val="11"/>
                <w:szCs w:val="11"/>
                <w:color w:val="auto"/>
              </w:rPr>
            </w:pPr>
          </w:p>
        </w:tc>
        <w:tc>
          <w:tcPr>
            <w:tcW w:w="5480" w:type="dxa"/>
            <w:vAlign w:val="bottom"/>
            <w:tcBorders>
              <w:right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68"/>
        </w:trPr>
        <w:tc>
          <w:tcPr>
            <w:tcW w:w="780" w:type="dxa"/>
            <w:vAlign w:val="bottom"/>
            <w:tcBorders>
              <w:left w:val="single" w:sz="8" w:color="auto"/>
            </w:tcBorders>
            <w:vMerge w:val="continue"/>
          </w:tcPr>
          <w:p>
            <w:pPr>
              <w:spacing w:after="0"/>
              <w:rPr>
                <w:sz w:val="5"/>
                <w:szCs w:val="5"/>
                <w:color w:val="auto"/>
              </w:rPr>
            </w:pPr>
          </w:p>
        </w:tc>
        <w:tc>
          <w:tcPr>
            <w:tcW w:w="960" w:type="dxa"/>
            <w:vAlign w:val="bottom"/>
            <w:vMerge w:val="continue"/>
          </w:tcPr>
          <w:p>
            <w:pPr>
              <w:spacing w:after="0"/>
              <w:rPr>
                <w:sz w:val="5"/>
                <w:szCs w:val="5"/>
                <w:color w:val="auto"/>
              </w:rPr>
            </w:pPr>
          </w:p>
        </w:tc>
        <w:tc>
          <w:tcPr>
            <w:tcW w:w="3800" w:type="dxa"/>
            <w:vAlign w:val="bottom"/>
            <w:tcBorders>
              <w:right w:val="single" w:sz="8" w:color="auto"/>
            </w:tcBorders>
            <w:vMerge w:val="continue"/>
          </w:tcPr>
          <w:p>
            <w:pPr>
              <w:spacing w:after="0"/>
              <w:rPr>
                <w:sz w:val="5"/>
                <w:szCs w:val="5"/>
                <w:color w:val="auto"/>
              </w:rPr>
            </w:pPr>
          </w:p>
        </w:tc>
        <w:tc>
          <w:tcPr>
            <w:tcW w:w="220" w:type="dxa"/>
            <w:vAlign w:val="bottom"/>
            <w:tcBorders>
              <w:right w:val="single" w:sz="8" w:color="auto"/>
            </w:tcBorders>
          </w:tcPr>
          <w:p>
            <w:pPr>
              <w:spacing w:after="0"/>
              <w:rPr>
                <w:sz w:val="5"/>
                <w:szCs w:val="5"/>
                <w:color w:val="auto"/>
              </w:rPr>
            </w:pPr>
          </w:p>
        </w:tc>
        <w:tc>
          <w:tcPr>
            <w:tcW w:w="5480" w:type="dxa"/>
            <w:vAlign w:val="bottom"/>
            <w:tcBorders>
              <w:right w:val="single" w:sz="8" w:color="auto"/>
            </w:tcBorders>
            <w:vMerge w:val="restart"/>
          </w:tcPr>
          <w:p>
            <w:pPr>
              <w:jc w:val="center"/>
              <w:spacing w:after="0" w:line="202" w:lineRule="exact"/>
              <w:rPr>
                <w:sz w:val="20"/>
                <w:szCs w:val="20"/>
                <w:color w:val="auto"/>
              </w:rPr>
            </w:pPr>
            <w:r>
              <w:rPr>
                <w:rFonts w:ascii="Arial" w:cs="Arial" w:eastAsia="Arial" w:hAnsi="Arial"/>
                <w:sz w:val="18"/>
                <w:szCs w:val="18"/>
                <w:color w:val="auto"/>
              </w:rPr>
              <w:t>l'indemnisation de la Personne Couverte est appropriée dans les</w:t>
            </w:r>
          </w:p>
        </w:tc>
        <w:tc>
          <w:tcPr>
            <w:tcW w:w="0" w:type="dxa"/>
            <w:vAlign w:val="bottom"/>
          </w:tcPr>
          <w:p>
            <w:pPr>
              <w:spacing w:after="0"/>
              <w:rPr>
                <w:sz w:val="1"/>
                <w:szCs w:val="1"/>
                <w:color w:val="auto"/>
              </w:rPr>
            </w:pPr>
          </w:p>
        </w:tc>
      </w:tr>
      <w:tr>
        <w:trPr>
          <w:trHeight w:val="135"/>
        </w:trPr>
        <w:tc>
          <w:tcPr>
            <w:tcW w:w="780" w:type="dxa"/>
            <w:vAlign w:val="bottom"/>
            <w:tcBorders>
              <w:left w:val="single" w:sz="8" w:color="auto"/>
            </w:tcBorders>
            <w:vMerge w:val="restart"/>
          </w:tcPr>
          <w:p>
            <w:pPr>
              <w:ind w:left="100"/>
              <w:spacing w:after="0" w:line="202" w:lineRule="exact"/>
              <w:rPr>
                <w:sz w:val="20"/>
                <w:szCs w:val="20"/>
                <w:color w:val="auto"/>
              </w:rPr>
            </w:pPr>
            <w:r>
              <w:rPr>
                <w:rFonts w:ascii="Arial" w:cs="Arial" w:eastAsia="Arial" w:hAnsi="Arial"/>
                <w:sz w:val="18"/>
                <w:szCs w:val="18"/>
                <w:color w:val="auto"/>
                <w:w w:val="96"/>
              </w:rPr>
              <w:t>Covered</w:t>
            </w:r>
          </w:p>
        </w:tc>
        <w:tc>
          <w:tcPr>
            <w:tcW w:w="960" w:type="dxa"/>
            <w:vAlign w:val="bottom"/>
            <w:vMerge w:val="restart"/>
          </w:tcPr>
          <w:p>
            <w:pPr>
              <w:jc w:val="right"/>
              <w:spacing w:after="0" w:line="202" w:lineRule="exact"/>
              <w:rPr>
                <w:sz w:val="20"/>
                <w:szCs w:val="20"/>
                <w:color w:val="auto"/>
              </w:rPr>
            </w:pPr>
            <w:r>
              <w:rPr>
                <w:rFonts w:ascii="Arial" w:cs="Arial" w:eastAsia="Arial" w:hAnsi="Arial"/>
                <w:sz w:val="18"/>
                <w:szCs w:val="18"/>
                <w:color w:val="auto"/>
              </w:rPr>
              <w:t>Person is</w:t>
            </w:r>
          </w:p>
        </w:tc>
        <w:tc>
          <w:tcPr>
            <w:tcW w:w="3800" w:type="dxa"/>
            <w:vAlign w:val="bottom"/>
            <w:tcBorders>
              <w:right w:val="single" w:sz="8" w:color="auto"/>
            </w:tcBorders>
            <w:vMerge w:val="restart"/>
          </w:tcPr>
          <w:p>
            <w:pPr>
              <w:jc w:val="right"/>
              <w:ind w:right="10"/>
              <w:spacing w:after="0" w:line="202" w:lineRule="exact"/>
              <w:rPr>
                <w:sz w:val="20"/>
                <w:szCs w:val="20"/>
                <w:color w:val="auto"/>
              </w:rPr>
            </w:pPr>
            <w:r>
              <w:rPr>
                <w:rFonts w:ascii="Arial" w:cs="Arial" w:eastAsia="Arial" w:hAnsi="Arial"/>
                <w:sz w:val="18"/>
                <w:szCs w:val="18"/>
                <w:color w:val="auto"/>
              </w:rPr>
              <w:t>proper in the circumstances because such</w:t>
            </w:r>
          </w:p>
        </w:tc>
        <w:tc>
          <w:tcPr>
            <w:tcW w:w="220" w:type="dxa"/>
            <w:vAlign w:val="bottom"/>
            <w:tcBorders>
              <w:right w:val="single" w:sz="8" w:color="auto"/>
            </w:tcBorders>
          </w:tcPr>
          <w:p>
            <w:pPr>
              <w:spacing w:after="0"/>
              <w:rPr>
                <w:sz w:val="11"/>
                <w:szCs w:val="11"/>
                <w:color w:val="auto"/>
              </w:rPr>
            </w:pPr>
          </w:p>
        </w:tc>
        <w:tc>
          <w:tcPr>
            <w:tcW w:w="5480" w:type="dxa"/>
            <w:vAlign w:val="bottom"/>
            <w:tcBorders>
              <w:right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68"/>
        </w:trPr>
        <w:tc>
          <w:tcPr>
            <w:tcW w:w="780" w:type="dxa"/>
            <w:vAlign w:val="bottom"/>
            <w:tcBorders>
              <w:left w:val="single" w:sz="8" w:color="auto"/>
            </w:tcBorders>
            <w:vMerge w:val="continue"/>
          </w:tcPr>
          <w:p>
            <w:pPr>
              <w:spacing w:after="0"/>
              <w:rPr>
                <w:sz w:val="5"/>
                <w:szCs w:val="5"/>
                <w:color w:val="auto"/>
              </w:rPr>
            </w:pPr>
          </w:p>
        </w:tc>
        <w:tc>
          <w:tcPr>
            <w:tcW w:w="960" w:type="dxa"/>
            <w:vAlign w:val="bottom"/>
            <w:vMerge w:val="continue"/>
          </w:tcPr>
          <w:p>
            <w:pPr>
              <w:spacing w:after="0"/>
              <w:rPr>
                <w:sz w:val="5"/>
                <w:szCs w:val="5"/>
                <w:color w:val="auto"/>
              </w:rPr>
            </w:pPr>
          </w:p>
        </w:tc>
        <w:tc>
          <w:tcPr>
            <w:tcW w:w="3800" w:type="dxa"/>
            <w:vAlign w:val="bottom"/>
            <w:tcBorders>
              <w:right w:val="single" w:sz="8" w:color="auto"/>
            </w:tcBorders>
            <w:vMerge w:val="continue"/>
          </w:tcPr>
          <w:p>
            <w:pPr>
              <w:spacing w:after="0"/>
              <w:rPr>
                <w:sz w:val="5"/>
                <w:szCs w:val="5"/>
                <w:color w:val="auto"/>
              </w:rPr>
            </w:pPr>
          </w:p>
        </w:tc>
        <w:tc>
          <w:tcPr>
            <w:tcW w:w="220" w:type="dxa"/>
            <w:vAlign w:val="bottom"/>
            <w:tcBorders>
              <w:right w:val="single" w:sz="8" w:color="auto"/>
            </w:tcBorders>
          </w:tcPr>
          <w:p>
            <w:pPr>
              <w:spacing w:after="0"/>
              <w:rPr>
                <w:sz w:val="5"/>
                <w:szCs w:val="5"/>
                <w:color w:val="auto"/>
              </w:rPr>
            </w:pPr>
          </w:p>
        </w:tc>
        <w:tc>
          <w:tcPr>
            <w:tcW w:w="5480" w:type="dxa"/>
            <w:vAlign w:val="bottom"/>
            <w:tcBorders>
              <w:right w:val="single" w:sz="8" w:color="auto"/>
            </w:tcBorders>
            <w:vMerge w:val="restart"/>
          </w:tcPr>
          <w:p>
            <w:pPr>
              <w:jc w:val="center"/>
              <w:spacing w:after="0" w:line="202" w:lineRule="exact"/>
              <w:rPr>
                <w:sz w:val="20"/>
                <w:szCs w:val="20"/>
                <w:color w:val="auto"/>
              </w:rPr>
            </w:pPr>
            <w:r>
              <w:rPr>
                <w:rFonts w:ascii="Arial" w:cs="Arial" w:eastAsia="Arial" w:hAnsi="Arial"/>
                <w:sz w:val="18"/>
                <w:szCs w:val="18"/>
                <w:color w:val="auto"/>
              </w:rPr>
              <w:t>circonstances parce que cette personne a satisfait au standard de</w:t>
            </w:r>
          </w:p>
        </w:tc>
        <w:tc>
          <w:tcPr>
            <w:tcW w:w="0" w:type="dxa"/>
            <w:vAlign w:val="bottom"/>
          </w:tcPr>
          <w:p>
            <w:pPr>
              <w:spacing w:after="0"/>
              <w:rPr>
                <w:sz w:val="1"/>
                <w:szCs w:val="1"/>
                <w:color w:val="auto"/>
              </w:rPr>
            </w:pPr>
          </w:p>
        </w:tc>
      </w:tr>
      <w:tr>
        <w:trPr>
          <w:trHeight w:val="135"/>
        </w:trPr>
        <w:tc>
          <w:tcPr>
            <w:tcW w:w="5540" w:type="dxa"/>
            <w:vAlign w:val="bottom"/>
            <w:tcBorders>
              <w:left w:val="single" w:sz="8" w:color="auto"/>
              <w:right w:val="single" w:sz="8" w:color="auto"/>
            </w:tcBorders>
            <w:gridSpan w:val="3"/>
            <w:vMerge w:val="restart"/>
          </w:tcPr>
          <w:p>
            <w:pPr>
              <w:ind w:left="100"/>
              <w:spacing w:after="0" w:line="202" w:lineRule="exact"/>
              <w:rPr>
                <w:sz w:val="20"/>
                <w:szCs w:val="20"/>
                <w:color w:val="auto"/>
              </w:rPr>
            </w:pPr>
            <w:r>
              <w:rPr>
                <w:rFonts w:ascii="Arial" w:cs="Arial" w:eastAsia="Arial" w:hAnsi="Arial"/>
                <w:sz w:val="18"/>
                <w:szCs w:val="18"/>
                <w:color w:val="auto"/>
              </w:rPr>
              <w:t>person has met the applicable Standard of conduct set forth in this</w:t>
            </w:r>
          </w:p>
        </w:tc>
        <w:tc>
          <w:tcPr>
            <w:tcW w:w="220" w:type="dxa"/>
            <w:vAlign w:val="bottom"/>
            <w:tcBorders>
              <w:right w:val="single" w:sz="8" w:color="auto"/>
            </w:tcBorders>
          </w:tcPr>
          <w:p>
            <w:pPr>
              <w:spacing w:after="0"/>
              <w:rPr>
                <w:sz w:val="11"/>
                <w:szCs w:val="11"/>
                <w:color w:val="auto"/>
              </w:rPr>
            </w:pPr>
          </w:p>
        </w:tc>
        <w:tc>
          <w:tcPr>
            <w:tcW w:w="5480" w:type="dxa"/>
            <w:vAlign w:val="bottom"/>
            <w:tcBorders>
              <w:right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68"/>
        </w:trPr>
        <w:tc>
          <w:tcPr>
            <w:tcW w:w="5540" w:type="dxa"/>
            <w:vAlign w:val="bottom"/>
            <w:tcBorders>
              <w:left w:val="single" w:sz="8" w:color="auto"/>
              <w:right w:val="single" w:sz="8" w:color="auto"/>
            </w:tcBorders>
            <w:gridSpan w:val="3"/>
            <w:vMerge w:val="continue"/>
          </w:tcPr>
          <w:p>
            <w:pPr>
              <w:spacing w:after="0"/>
              <w:rPr>
                <w:sz w:val="5"/>
                <w:szCs w:val="5"/>
                <w:color w:val="auto"/>
              </w:rPr>
            </w:pPr>
          </w:p>
        </w:tc>
        <w:tc>
          <w:tcPr>
            <w:tcW w:w="220" w:type="dxa"/>
            <w:vAlign w:val="bottom"/>
            <w:tcBorders>
              <w:right w:val="single" w:sz="8" w:color="auto"/>
            </w:tcBorders>
          </w:tcPr>
          <w:p>
            <w:pPr>
              <w:spacing w:after="0"/>
              <w:rPr>
                <w:sz w:val="5"/>
                <w:szCs w:val="5"/>
                <w:color w:val="auto"/>
              </w:rPr>
            </w:pPr>
          </w:p>
        </w:tc>
        <w:tc>
          <w:tcPr>
            <w:tcW w:w="5480" w:type="dxa"/>
            <w:vAlign w:val="bottom"/>
            <w:tcBorders>
              <w:right w:val="single" w:sz="8" w:color="auto"/>
            </w:tcBorders>
            <w:vMerge w:val="restart"/>
          </w:tcPr>
          <w:p>
            <w:pPr>
              <w:jc w:val="center"/>
              <w:spacing w:after="0" w:line="202" w:lineRule="exact"/>
              <w:rPr>
                <w:sz w:val="20"/>
                <w:szCs w:val="20"/>
                <w:color w:val="auto"/>
              </w:rPr>
            </w:pPr>
            <w:r>
              <w:rPr>
                <w:rFonts w:ascii="Arial" w:cs="Arial" w:eastAsia="Arial" w:hAnsi="Arial"/>
                <w:sz w:val="18"/>
                <w:szCs w:val="18"/>
                <w:color w:val="auto"/>
              </w:rPr>
              <w:t>conduite applicable énoncé dans le présent article 29. Une telle</w:t>
            </w:r>
          </w:p>
        </w:tc>
        <w:tc>
          <w:tcPr>
            <w:tcW w:w="0" w:type="dxa"/>
            <w:vAlign w:val="bottom"/>
          </w:tcPr>
          <w:p>
            <w:pPr>
              <w:spacing w:after="0"/>
              <w:rPr>
                <w:sz w:val="1"/>
                <w:szCs w:val="1"/>
                <w:color w:val="auto"/>
              </w:rPr>
            </w:pPr>
          </w:p>
        </w:tc>
      </w:tr>
      <w:tr>
        <w:trPr>
          <w:trHeight w:val="135"/>
        </w:trPr>
        <w:tc>
          <w:tcPr>
            <w:tcW w:w="5540" w:type="dxa"/>
            <w:vAlign w:val="bottom"/>
            <w:tcBorders>
              <w:left w:val="single" w:sz="8" w:color="auto"/>
              <w:right w:val="single" w:sz="8" w:color="auto"/>
            </w:tcBorders>
            <w:gridSpan w:val="3"/>
            <w:vMerge w:val="restart"/>
          </w:tcPr>
          <w:p>
            <w:pPr>
              <w:ind w:left="100"/>
              <w:spacing w:after="0" w:line="202" w:lineRule="exact"/>
              <w:rPr>
                <w:sz w:val="20"/>
                <w:szCs w:val="20"/>
                <w:color w:val="auto"/>
              </w:rPr>
            </w:pPr>
            <w:r>
              <w:rPr>
                <w:rFonts w:ascii="Arial" w:cs="Arial" w:eastAsia="Arial" w:hAnsi="Arial"/>
                <w:sz w:val="18"/>
                <w:szCs w:val="18"/>
                <w:color w:val="auto"/>
              </w:rPr>
              <w:t>Article 29. Such determination shall be made, with respect to a</w:t>
            </w:r>
          </w:p>
        </w:tc>
        <w:tc>
          <w:tcPr>
            <w:tcW w:w="220" w:type="dxa"/>
            <w:vAlign w:val="bottom"/>
            <w:tcBorders>
              <w:right w:val="single" w:sz="8" w:color="auto"/>
            </w:tcBorders>
          </w:tcPr>
          <w:p>
            <w:pPr>
              <w:spacing w:after="0"/>
              <w:rPr>
                <w:sz w:val="11"/>
                <w:szCs w:val="11"/>
                <w:color w:val="auto"/>
              </w:rPr>
            </w:pPr>
          </w:p>
        </w:tc>
        <w:tc>
          <w:tcPr>
            <w:tcW w:w="5480" w:type="dxa"/>
            <w:vAlign w:val="bottom"/>
            <w:tcBorders>
              <w:right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68"/>
        </w:trPr>
        <w:tc>
          <w:tcPr>
            <w:tcW w:w="5540" w:type="dxa"/>
            <w:vAlign w:val="bottom"/>
            <w:tcBorders>
              <w:left w:val="single" w:sz="8" w:color="auto"/>
              <w:right w:val="single" w:sz="8" w:color="auto"/>
            </w:tcBorders>
            <w:gridSpan w:val="3"/>
            <w:vMerge w:val="continue"/>
          </w:tcPr>
          <w:p>
            <w:pPr>
              <w:spacing w:after="0"/>
              <w:rPr>
                <w:sz w:val="5"/>
                <w:szCs w:val="5"/>
                <w:color w:val="auto"/>
              </w:rPr>
            </w:pPr>
          </w:p>
        </w:tc>
        <w:tc>
          <w:tcPr>
            <w:tcW w:w="220" w:type="dxa"/>
            <w:vAlign w:val="bottom"/>
            <w:tcBorders>
              <w:right w:val="single" w:sz="8" w:color="auto"/>
            </w:tcBorders>
          </w:tcPr>
          <w:p>
            <w:pPr>
              <w:spacing w:after="0"/>
              <w:rPr>
                <w:sz w:val="5"/>
                <w:szCs w:val="5"/>
                <w:color w:val="auto"/>
              </w:rPr>
            </w:pPr>
          </w:p>
        </w:tc>
        <w:tc>
          <w:tcPr>
            <w:tcW w:w="5480" w:type="dxa"/>
            <w:vAlign w:val="bottom"/>
            <w:tcBorders>
              <w:right w:val="single" w:sz="8" w:color="auto"/>
            </w:tcBorders>
            <w:vMerge w:val="restart"/>
          </w:tcPr>
          <w:p>
            <w:pPr>
              <w:jc w:val="center"/>
              <w:spacing w:after="0" w:line="202" w:lineRule="exact"/>
              <w:rPr>
                <w:sz w:val="20"/>
                <w:szCs w:val="20"/>
                <w:color w:val="auto"/>
              </w:rPr>
            </w:pPr>
            <w:r>
              <w:rPr>
                <w:rFonts w:ascii="Arial" w:cs="Arial" w:eastAsia="Arial" w:hAnsi="Arial"/>
                <w:sz w:val="18"/>
                <w:szCs w:val="18"/>
                <w:color w:val="auto"/>
                <w:w w:val="99"/>
              </w:rPr>
              <w:t>décision concernant une Personne Couverte doit être prise (a) par la</w:t>
            </w:r>
          </w:p>
        </w:tc>
        <w:tc>
          <w:tcPr>
            <w:tcW w:w="0" w:type="dxa"/>
            <w:vAlign w:val="bottom"/>
          </w:tcPr>
          <w:p>
            <w:pPr>
              <w:spacing w:after="0"/>
              <w:rPr>
                <w:sz w:val="1"/>
                <w:szCs w:val="1"/>
                <w:color w:val="auto"/>
              </w:rPr>
            </w:pPr>
          </w:p>
        </w:tc>
      </w:tr>
      <w:tr>
        <w:trPr>
          <w:trHeight w:val="135"/>
        </w:trPr>
        <w:tc>
          <w:tcPr>
            <w:tcW w:w="5540" w:type="dxa"/>
            <w:vAlign w:val="bottom"/>
            <w:tcBorders>
              <w:left w:val="single" w:sz="8" w:color="auto"/>
              <w:right w:val="single" w:sz="8" w:color="auto"/>
            </w:tcBorders>
            <w:gridSpan w:val="3"/>
            <w:vMerge w:val="restart"/>
          </w:tcPr>
          <w:p>
            <w:pPr>
              <w:ind w:left="100"/>
              <w:spacing w:after="0" w:line="202" w:lineRule="exact"/>
              <w:rPr>
                <w:sz w:val="20"/>
                <w:szCs w:val="20"/>
                <w:color w:val="auto"/>
              </w:rPr>
            </w:pPr>
            <w:r>
              <w:rPr>
                <w:rFonts w:ascii="Arial" w:cs="Arial" w:eastAsia="Arial" w:hAnsi="Arial"/>
                <w:sz w:val="18"/>
                <w:szCs w:val="18"/>
                <w:color w:val="auto"/>
              </w:rPr>
              <w:t>Covered Person (a) by a majority vote of the members of the</w:t>
            </w:r>
          </w:p>
        </w:tc>
        <w:tc>
          <w:tcPr>
            <w:tcW w:w="220" w:type="dxa"/>
            <w:vAlign w:val="bottom"/>
            <w:tcBorders>
              <w:right w:val="single" w:sz="8" w:color="auto"/>
            </w:tcBorders>
          </w:tcPr>
          <w:p>
            <w:pPr>
              <w:spacing w:after="0"/>
              <w:rPr>
                <w:sz w:val="11"/>
                <w:szCs w:val="11"/>
                <w:color w:val="auto"/>
              </w:rPr>
            </w:pPr>
          </w:p>
        </w:tc>
        <w:tc>
          <w:tcPr>
            <w:tcW w:w="5480" w:type="dxa"/>
            <w:vAlign w:val="bottom"/>
            <w:tcBorders>
              <w:right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68"/>
        </w:trPr>
        <w:tc>
          <w:tcPr>
            <w:tcW w:w="5540" w:type="dxa"/>
            <w:vAlign w:val="bottom"/>
            <w:tcBorders>
              <w:left w:val="single" w:sz="8" w:color="auto"/>
              <w:right w:val="single" w:sz="8" w:color="auto"/>
            </w:tcBorders>
            <w:gridSpan w:val="3"/>
            <w:vMerge w:val="continue"/>
          </w:tcPr>
          <w:p>
            <w:pPr>
              <w:spacing w:after="0"/>
              <w:rPr>
                <w:sz w:val="5"/>
                <w:szCs w:val="5"/>
                <w:color w:val="auto"/>
              </w:rPr>
            </w:pPr>
          </w:p>
        </w:tc>
        <w:tc>
          <w:tcPr>
            <w:tcW w:w="220" w:type="dxa"/>
            <w:vAlign w:val="bottom"/>
            <w:tcBorders>
              <w:right w:val="single" w:sz="8" w:color="auto"/>
            </w:tcBorders>
          </w:tcPr>
          <w:p>
            <w:pPr>
              <w:spacing w:after="0"/>
              <w:rPr>
                <w:sz w:val="5"/>
                <w:szCs w:val="5"/>
                <w:color w:val="auto"/>
              </w:rPr>
            </w:pPr>
          </w:p>
        </w:tc>
        <w:tc>
          <w:tcPr>
            <w:tcW w:w="5480" w:type="dxa"/>
            <w:vAlign w:val="bottom"/>
            <w:tcBorders>
              <w:right w:val="single" w:sz="8" w:color="auto"/>
            </w:tcBorders>
            <w:vMerge w:val="restart"/>
          </w:tcPr>
          <w:p>
            <w:pPr>
              <w:jc w:val="center"/>
              <w:spacing w:after="0" w:line="202" w:lineRule="exact"/>
              <w:rPr>
                <w:sz w:val="20"/>
                <w:szCs w:val="20"/>
                <w:color w:val="auto"/>
              </w:rPr>
            </w:pPr>
            <w:r>
              <w:rPr>
                <w:rFonts w:ascii="Arial" w:cs="Arial" w:eastAsia="Arial" w:hAnsi="Arial"/>
                <w:sz w:val="18"/>
                <w:szCs w:val="18"/>
                <w:color w:val="auto"/>
              </w:rPr>
              <w:t>majorité des votes des membres du conseil d'administration qui ne</w:t>
            </w:r>
          </w:p>
        </w:tc>
        <w:tc>
          <w:tcPr>
            <w:tcW w:w="0" w:type="dxa"/>
            <w:vAlign w:val="bottom"/>
          </w:tcPr>
          <w:p>
            <w:pPr>
              <w:spacing w:after="0"/>
              <w:rPr>
                <w:sz w:val="1"/>
                <w:szCs w:val="1"/>
                <w:color w:val="auto"/>
              </w:rPr>
            </w:pPr>
          </w:p>
        </w:tc>
      </w:tr>
      <w:tr>
        <w:trPr>
          <w:trHeight w:val="135"/>
        </w:trPr>
        <w:tc>
          <w:tcPr>
            <w:tcW w:w="5540" w:type="dxa"/>
            <w:vAlign w:val="bottom"/>
            <w:tcBorders>
              <w:left w:val="single" w:sz="8" w:color="auto"/>
              <w:right w:val="single" w:sz="8" w:color="auto"/>
            </w:tcBorders>
            <w:gridSpan w:val="3"/>
            <w:vMerge w:val="restart"/>
          </w:tcPr>
          <w:p>
            <w:pPr>
              <w:ind w:left="100"/>
              <w:spacing w:after="0" w:line="202" w:lineRule="exact"/>
              <w:rPr>
                <w:sz w:val="20"/>
                <w:szCs w:val="20"/>
                <w:color w:val="auto"/>
              </w:rPr>
            </w:pPr>
            <w:r>
              <w:rPr>
                <w:rFonts w:ascii="Arial" w:cs="Arial" w:eastAsia="Arial" w:hAnsi="Arial"/>
                <w:sz w:val="18"/>
                <w:szCs w:val="18"/>
                <w:color w:val="auto"/>
              </w:rPr>
              <w:t>Board of Directors who are not parties to such proceeding, even</w:t>
            </w:r>
          </w:p>
        </w:tc>
        <w:tc>
          <w:tcPr>
            <w:tcW w:w="220" w:type="dxa"/>
            <w:vAlign w:val="bottom"/>
            <w:tcBorders>
              <w:right w:val="single" w:sz="8" w:color="auto"/>
            </w:tcBorders>
          </w:tcPr>
          <w:p>
            <w:pPr>
              <w:spacing w:after="0"/>
              <w:rPr>
                <w:sz w:val="11"/>
                <w:szCs w:val="11"/>
                <w:color w:val="auto"/>
              </w:rPr>
            </w:pPr>
          </w:p>
        </w:tc>
        <w:tc>
          <w:tcPr>
            <w:tcW w:w="5480" w:type="dxa"/>
            <w:vAlign w:val="bottom"/>
            <w:tcBorders>
              <w:right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68"/>
        </w:trPr>
        <w:tc>
          <w:tcPr>
            <w:tcW w:w="5540" w:type="dxa"/>
            <w:vAlign w:val="bottom"/>
            <w:tcBorders>
              <w:left w:val="single" w:sz="8" w:color="auto"/>
              <w:right w:val="single" w:sz="8" w:color="auto"/>
            </w:tcBorders>
            <w:gridSpan w:val="3"/>
            <w:vMerge w:val="continue"/>
          </w:tcPr>
          <w:p>
            <w:pPr>
              <w:spacing w:after="0"/>
              <w:rPr>
                <w:sz w:val="5"/>
                <w:szCs w:val="5"/>
                <w:color w:val="auto"/>
              </w:rPr>
            </w:pPr>
          </w:p>
        </w:tc>
        <w:tc>
          <w:tcPr>
            <w:tcW w:w="220" w:type="dxa"/>
            <w:vAlign w:val="bottom"/>
            <w:tcBorders>
              <w:right w:val="single" w:sz="8" w:color="auto"/>
            </w:tcBorders>
          </w:tcPr>
          <w:p>
            <w:pPr>
              <w:spacing w:after="0"/>
              <w:rPr>
                <w:sz w:val="5"/>
                <w:szCs w:val="5"/>
                <w:color w:val="auto"/>
              </w:rPr>
            </w:pPr>
          </w:p>
        </w:tc>
        <w:tc>
          <w:tcPr>
            <w:tcW w:w="5480" w:type="dxa"/>
            <w:vAlign w:val="bottom"/>
            <w:tcBorders>
              <w:right w:val="single" w:sz="8" w:color="auto"/>
            </w:tcBorders>
            <w:vMerge w:val="restart"/>
          </w:tcPr>
          <w:p>
            <w:pPr>
              <w:jc w:val="center"/>
              <w:spacing w:after="0" w:line="202" w:lineRule="exact"/>
              <w:rPr>
                <w:sz w:val="20"/>
                <w:szCs w:val="20"/>
                <w:color w:val="auto"/>
              </w:rPr>
            </w:pPr>
            <w:r>
              <w:rPr>
                <w:rFonts w:ascii="Arial" w:cs="Arial" w:eastAsia="Arial" w:hAnsi="Arial"/>
                <w:sz w:val="18"/>
                <w:szCs w:val="18"/>
                <w:color w:val="auto"/>
              </w:rPr>
              <w:t>sont pas parties à cette procédure, même si le quorum requis n'est</w:t>
            </w:r>
          </w:p>
        </w:tc>
        <w:tc>
          <w:tcPr>
            <w:tcW w:w="0" w:type="dxa"/>
            <w:vAlign w:val="bottom"/>
          </w:tcPr>
          <w:p>
            <w:pPr>
              <w:spacing w:after="0"/>
              <w:rPr>
                <w:sz w:val="1"/>
                <w:szCs w:val="1"/>
                <w:color w:val="auto"/>
              </w:rPr>
            </w:pPr>
          </w:p>
        </w:tc>
      </w:tr>
      <w:tr>
        <w:trPr>
          <w:trHeight w:val="135"/>
        </w:trPr>
        <w:tc>
          <w:tcPr>
            <w:tcW w:w="5540" w:type="dxa"/>
            <w:vAlign w:val="bottom"/>
            <w:tcBorders>
              <w:left w:val="single" w:sz="8" w:color="auto"/>
              <w:right w:val="single" w:sz="8" w:color="auto"/>
            </w:tcBorders>
            <w:gridSpan w:val="3"/>
            <w:vMerge w:val="restart"/>
          </w:tcPr>
          <w:p>
            <w:pPr>
              <w:ind w:left="100"/>
              <w:spacing w:after="0" w:line="202" w:lineRule="exact"/>
              <w:rPr>
                <w:sz w:val="20"/>
                <w:szCs w:val="20"/>
                <w:color w:val="auto"/>
              </w:rPr>
            </w:pPr>
            <w:r>
              <w:rPr>
                <w:rFonts w:ascii="Arial" w:cs="Arial" w:eastAsia="Arial" w:hAnsi="Arial"/>
                <w:sz w:val="18"/>
                <w:szCs w:val="18"/>
                <w:color w:val="auto"/>
              </w:rPr>
              <w:t>though less than a quorum; (b) by a committee of such members of</w:t>
            </w:r>
          </w:p>
        </w:tc>
        <w:tc>
          <w:tcPr>
            <w:tcW w:w="220" w:type="dxa"/>
            <w:vAlign w:val="bottom"/>
            <w:tcBorders>
              <w:right w:val="single" w:sz="8" w:color="auto"/>
            </w:tcBorders>
          </w:tcPr>
          <w:p>
            <w:pPr>
              <w:spacing w:after="0"/>
              <w:rPr>
                <w:sz w:val="11"/>
                <w:szCs w:val="11"/>
                <w:color w:val="auto"/>
              </w:rPr>
            </w:pPr>
          </w:p>
        </w:tc>
        <w:tc>
          <w:tcPr>
            <w:tcW w:w="5480" w:type="dxa"/>
            <w:vAlign w:val="bottom"/>
            <w:tcBorders>
              <w:right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68"/>
        </w:trPr>
        <w:tc>
          <w:tcPr>
            <w:tcW w:w="5540" w:type="dxa"/>
            <w:vAlign w:val="bottom"/>
            <w:tcBorders>
              <w:left w:val="single" w:sz="8" w:color="auto"/>
              <w:right w:val="single" w:sz="8" w:color="auto"/>
            </w:tcBorders>
            <w:gridSpan w:val="3"/>
            <w:vMerge w:val="continue"/>
          </w:tcPr>
          <w:p>
            <w:pPr>
              <w:spacing w:after="0"/>
              <w:rPr>
                <w:sz w:val="5"/>
                <w:szCs w:val="5"/>
                <w:color w:val="auto"/>
              </w:rPr>
            </w:pPr>
          </w:p>
        </w:tc>
        <w:tc>
          <w:tcPr>
            <w:tcW w:w="220" w:type="dxa"/>
            <w:vAlign w:val="bottom"/>
            <w:tcBorders>
              <w:right w:val="single" w:sz="8" w:color="auto"/>
            </w:tcBorders>
          </w:tcPr>
          <w:p>
            <w:pPr>
              <w:spacing w:after="0"/>
              <w:rPr>
                <w:sz w:val="5"/>
                <w:szCs w:val="5"/>
                <w:color w:val="auto"/>
              </w:rPr>
            </w:pPr>
          </w:p>
        </w:tc>
        <w:tc>
          <w:tcPr>
            <w:tcW w:w="5480" w:type="dxa"/>
            <w:vAlign w:val="bottom"/>
            <w:tcBorders>
              <w:right w:val="single" w:sz="8" w:color="auto"/>
            </w:tcBorders>
            <w:vMerge w:val="restart"/>
          </w:tcPr>
          <w:p>
            <w:pPr>
              <w:jc w:val="center"/>
              <w:spacing w:after="0" w:line="202" w:lineRule="exact"/>
              <w:rPr>
                <w:sz w:val="20"/>
                <w:szCs w:val="20"/>
                <w:color w:val="auto"/>
              </w:rPr>
            </w:pPr>
            <w:r>
              <w:rPr>
                <w:rFonts w:ascii="Arial" w:cs="Arial" w:eastAsia="Arial" w:hAnsi="Arial"/>
                <w:sz w:val="18"/>
                <w:szCs w:val="18"/>
                <w:color w:val="auto"/>
              </w:rPr>
              <w:t>pas réuni; (b) par un comité de membres du conseil d'administration</w:t>
            </w:r>
          </w:p>
        </w:tc>
        <w:tc>
          <w:tcPr>
            <w:tcW w:w="0" w:type="dxa"/>
            <w:vAlign w:val="bottom"/>
          </w:tcPr>
          <w:p>
            <w:pPr>
              <w:spacing w:after="0"/>
              <w:rPr>
                <w:sz w:val="1"/>
                <w:szCs w:val="1"/>
                <w:color w:val="auto"/>
              </w:rPr>
            </w:pPr>
          </w:p>
        </w:tc>
      </w:tr>
      <w:tr>
        <w:trPr>
          <w:trHeight w:val="135"/>
        </w:trPr>
        <w:tc>
          <w:tcPr>
            <w:tcW w:w="5540" w:type="dxa"/>
            <w:vAlign w:val="bottom"/>
            <w:tcBorders>
              <w:left w:val="single" w:sz="8" w:color="auto"/>
              <w:right w:val="single" w:sz="8" w:color="auto"/>
            </w:tcBorders>
            <w:gridSpan w:val="3"/>
            <w:vMerge w:val="restart"/>
          </w:tcPr>
          <w:p>
            <w:pPr>
              <w:ind w:left="100"/>
              <w:spacing w:after="0" w:line="202" w:lineRule="exact"/>
              <w:rPr>
                <w:sz w:val="20"/>
                <w:szCs w:val="20"/>
                <w:color w:val="auto"/>
              </w:rPr>
            </w:pPr>
            <w:r>
              <w:rPr>
                <w:rFonts w:ascii="Arial" w:cs="Arial" w:eastAsia="Arial" w:hAnsi="Arial"/>
                <w:sz w:val="18"/>
                <w:szCs w:val="18"/>
                <w:color w:val="auto"/>
              </w:rPr>
              <w:t>the Board of Directors designated by a majority vote of such the</w:t>
            </w:r>
          </w:p>
        </w:tc>
        <w:tc>
          <w:tcPr>
            <w:tcW w:w="220" w:type="dxa"/>
            <w:vAlign w:val="bottom"/>
            <w:tcBorders>
              <w:right w:val="single" w:sz="8" w:color="auto"/>
            </w:tcBorders>
          </w:tcPr>
          <w:p>
            <w:pPr>
              <w:spacing w:after="0"/>
              <w:rPr>
                <w:sz w:val="11"/>
                <w:szCs w:val="11"/>
                <w:color w:val="auto"/>
              </w:rPr>
            </w:pPr>
          </w:p>
        </w:tc>
        <w:tc>
          <w:tcPr>
            <w:tcW w:w="5480" w:type="dxa"/>
            <w:vAlign w:val="bottom"/>
            <w:tcBorders>
              <w:right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68"/>
        </w:trPr>
        <w:tc>
          <w:tcPr>
            <w:tcW w:w="5540" w:type="dxa"/>
            <w:vAlign w:val="bottom"/>
            <w:tcBorders>
              <w:left w:val="single" w:sz="8" w:color="auto"/>
              <w:right w:val="single" w:sz="8" w:color="auto"/>
            </w:tcBorders>
            <w:gridSpan w:val="3"/>
            <w:vMerge w:val="continue"/>
          </w:tcPr>
          <w:p>
            <w:pPr>
              <w:spacing w:after="0"/>
              <w:rPr>
                <w:sz w:val="5"/>
                <w:szCs w:val="5"/>
                <w:color w:val="auto"/>
              </w:rPr>
            </w:pPr>
          </w:p>
        </w:tc>
        <w:tc>
          <w:tcPr>
            <w:tcW w:w="220" w:type="dxa"/>
            <w:vAlign w:val="bottom"/>
            <w:tcBorders>
              <w:right w:val="single" w:sz="8" w:color="auto"/>
            </w:tcBorders>
          </w:tcPr>
          <w:p>
            <w:pPr>
              <w:spacing w:after="0"/>
              <w:rPr>
                <w:sz w:val="5"/>
                <w:szCs w:val="5"/>
                <w:color w:val="auto"/>
              </w:rPr>
            </w:pPr>
          </w:p>
        </w:tc>
        <w:tc>
          <w:tcPr>
            <w:tcW w:w="5480" w:type="dxa"/>
            <w:vAlign w:val="bottom"/>
            <w:tcBorders>
              <w:right w:val="single" w:sz="8" w:color="auto"/>
            </w:tcBorders>
            <w:vMerge w:val="restart"/>
          </w:tcPr>
          <w:p>
            <w:pPr>
              <w:jc w:val="center"/>
              <w:spacing w:after="0" w:line="202" w:lineRule="exact"/>
              <w:rPr>
                <w:sz w:val="20"/>
                <w:szCs w:val="20"/>
                <w:color w:val="auto"/>
              </w:rPr>
            </w:pPr>
            <w:r>
              <w:rPr>
                <w:rFonts w:ascii="Arial" w:cs="Arial" w:eastAsia="Arial" w:hAnsi="Arial"/>
                <w:sz w:val="18"/>
                <w:szCs w:val="18"/>
                <w:color w:val="auto"/>
              </w:rPr>
              <w:t>désignés par une majorité des votes du conseil d'administration,</w:t>
            </w:r>
          </w:p>
        </w:tc>
        <w:tc>
          <w:tcPr>
            <w:tcW w:w="0" w:type="dxa"/>
            <w:vAlign w:val="bottom"/>
          </w:tcPr>
          <w:p>
            <w:pPr>
              <w:spacing w:after="0"/>
              <w:rPr>
                <w:sz w:val="1"/>
                <w:szCs w:val="1"/>
                <w:color w:val="auto"/>
              </w:rPr>
            </w:pPr>
          </w:p>
        </w:tc>
      </w:tr>
      <w:tr>
        <w:trPr>
          <w:trHeight w:val="135"/>
        </w:trPr>
        <w:tc>
          <w:tcPr>
            <w:tcW w:w="5540" w:type="dxa"/>
            <w:vAlign w:val="bottom"/>
            <w:tcBorders>
              <w:left w:val="single" w:sz="8" w:color="auto"/>
              <w:right w:val="single" w:sz="8" w:color="auto"/>
            </w:tcBorders>
            <w:gridSpan w:val="3"/>
            <w:vMerge w:val="restart"/>
          </w:tcPr>
          <w:p>
            <w:pPr>
              <w:ind w:left="100"/>
              <w:spacing w:after="0" w:line="202" w:lineRule="exact"/>
              <w:rPr>
                <w:sz w:val="20"/>
                <w:szCs w:val="20"/>
                <w:color w:val="auto"/>
              </w:rPr>
            </w:pPr>
            <w:r>
              <w:rPr>
                <w:rFonts w:ascii="Arial" w:cs="Arial" w:eastAsia="Arial" w:hAnsi="Arial"/>
                <w:sz w:val="18"/>
                <w:szCs w:val="18"/>
                <w:color w:val="auto"/>
              </w:rPr>
              <w:t>Board of Directors, even though less than a quorum; (c) if there are</w:t>
            </w:r>
          </w:p>
        </w:tc>
        <w:tc>
          <w:tcPr>
            <w:tcW w:w="220" w:type="dxa"/>
            <w:vAlign w:val="bottom"/>
            <w:tcBorders>
              <w:right w:val="single" w:sz="8" w:color="auto"/>
            </w:tcBorders>
          </w:tcPr>
          <w:p>
            <w:pPr>
              <w:spacing w:after="0"/>
              <w:rPr>
                <w:sz w:val="11"/>
                <w:szCs w:val="11"/>
                <w:color w:val="auto"/>
              </w:rPr>
            </w:pPr>
          </w:p>
        </w:tc>
        <w:tc>
          <w:tcPr>
            <w:tcW w:w="5480" w:type="dxa"/>
            <w:vAlign w:val="bottom"/>
            <w:tcBorders>
              <w:right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68"/>
        </w:trPr>
        <w:tc>
          <w:tcPr>
            <w:tcW w:w="5540" w:type="dxa"/>
            <w:vAlign w:val="bottom"/>
            <w:tcBorders>
              <w:left w:val="single" w:sz="8" w:color="auto"/>
              <w:right w:val="single" w:sz="8" w:color="auto"/>
            </w:tcBorders>
            <w:gridSpan w:val="3"/>
            <w:vMerge w:val="continue"/>
          </w:tcPr>
          <w:p>
            <w:pPr>
              <w:spacing w:after="0"/>
              <w:rPr>
                <w:sz w:val="5"/>
                <w:szCs w:val="5"/>
                <w:color w:val="auto"/>
              </w:rPr>
            </w:pPr>
          </w:p>
        </w:tc>
        <w:tc>
          <w:tcPr>
            <w:tcW w:w="220" w:type="dxa"/>
            <w:vAlign w:val="bottom"/>
            <w:tcBorders>
              <w:right w:val="single" w:sz="8" w:color="auto"/>
            </w:tcBorders>
          </w:tcPr>
          <w:p>
            <w:pPr>
              <w:spacing w:after="0"/>
              <w:rPr>
                <w:sz w:val="5"/>
                <w:szCs w:val="5"/>
                <w:color w:val="auto"/>
              </w:rPr>
            </w:pPr>
          </w:p>
        </w:tc>
        <w:tc>
          <w:tcPr>
            <w:tcW w:w="5480" w:type="dxa"/>
            <w:vAlign w:val="bottom"/>
            <w:tcBorders>
              <w:right w:val="single" w:sz="8" w:color="auto"/>
            </w:tcBorders>
            <w:vMerge w:val="restart"/>
          </w:tcPr>
          <w:p>
            <w:pPr>
              <w:jc w:val="right"/>
              <w:ind w:right="4910"/>
              <w:spacing w:after="0"/>
              <w:rPr>
                <w:sz w:val="20"/>
                <w:szCs w:val="20"/>
                <w:color w:val="auto"/>
              </w:rPr>
            </w:pPr>
            <w:r>
              <w:rPr>
                <w:rFonts w:ascii="Arial" w:cs="Arial" w:eastAsia="Arial" w:hAnsi="Arial"/>
                <w:sz w:val="18"/>
                <w:szCs w:val="18"/>
                <w:color w:val="auto"/>
                <w:w w:val="91"/>
              </w:rPr>
              <w:t>même</w:t>
            </w:r>
          </w:p>
        </w:tc>
        <w:tc>
          <w:tcPr>
            <w:tcW w:w="0" w:type="dxa"/>
            <w:vAlign w:val="bottom"/>
          </w:tcPr>
          <w:p>
            <w:pPr>
              <w:spacing w:after="0"/>
              <w:rPr>
                <w:sz w:val="1"/>
                <w:szCs w:val="1"/>
                <w:color w:val="auto"/>
              </w:rPr>
            </w:pPr>
          </w:p>
        </w:tc>
      </w:tr>
      <w:tr>
        <w:trPr>
          <w:trHeight w:val="149"/>
        </w:trPr>
        <w:tc>
          <w:tcPr>
            <w:tcW w:w="780" w:type="dxa"/>
            <w:vAlign w:val="bottom"/>
            <w:tcBorders>
              <w:left w:val="single" w:sz="8" w:color="auto"/>
            </w:tcBorders>
            <w:vMerge w:val="restart"/>
          </w:tcPr>
          <w:p>
            <w:pPr>
              <w:ind w:left="100"/>
              <w:spacing w:after="0"/>
              <w:rPr>
                <w:sz w:val="20"/>
                <w:szCs w:val="20"/>
                <w:color w:val="auto"/>
              </w:rPr>
            </w:pPr>
            <w:r>
              <w:rPr>
                <w:rFonts w:ascii="Arial" w:cs="Arial" w:eastAsia="Arial" w:hAnsi="Arial"/>
                <w:sz w:val="18"/>
                <w:szCs w:val="18"/>
                <w:color w:val="auto"/>
              </w:rPr>
              <w:t>no such</w:t>
            </w:r>
          </w:p>
        </w:tc>
        <w:tc>
          <w:tcPr>
            <w:tcW w:w="960" w:type="dxa"/>
            <w:vAlign w:val="bottom"/>
          </w:tcPr>
          <w:p>
            <w:pPr>
              <w:spacing w:after="0"/>
              <w:rPr>
                <w:sz w:val="12"/>
                <w:szCs w:val="12"/>
                <w:color w:val="auto"/>
              </w:rPr>
            </w:pPr>
          </w:p>
        </w:tc>
        <w:tc>
          <w:tcPr>
            <w:tcW w:w="3800" w:type="dxa"/>
            <w:vAlign w:val="bottom"/>
            <w:tcBorders>
              <w:right w:val="single" w:sz="8" w:color="auto"/>
            </w:tcBorders>
          </w:tcPr>
          <w:p>
            <w:pPr>
              <w:spacing w:after="0"/>
              <w:rPr>
                <w:sz w:val="12"/>
                <w:szCs w:val="12"/>
                <w:color w:val="auto"/>
              </w:rPr>
            </w:pPr>
          </w:p>
        </w:tc>
        <w:tc>
          <w:tcPr>
            <w:tcW w:w="220" w:type="dxa"/>
            <w:vAlign w:val="bottom"/>
            <w:tcBorders>
              <w:right w:val="single" w:sz="8" w:color="auto"/>
            </w:tcBorders>
          </w:tcPr>
          <w:p>
            <w:pPr>
              <w:spacing w:after="0"/>
              <w:rPr>
                <w:sz w:val="12"/>
                <w:szCs w:val="12"/>
                <w:color w:val="auto"/>
              </w:rPr>
            </w:pPr>
          </w:p>
        </w:tc>
        <w:tc>
          <w:tcPr>
            <w:tcW w:w="5480" w:type="dxa"/>
            <w:vAlign w:val="bottom"/>
            <w:tcBorders>
              <w:right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68"/>
        </w:trPr>
        <w:tc>
          <w:tcPr>
            <w:tcW w:w="780" w:type="dxa"/>
            <w:vAlign w:val="bottom"/>
            <w:tcBorders>
              <w:left w:val="single" w:sz="8" w:color="auto"/>
            </w:tcBorders>
            <w:vMerge w:val="continue"/>
          </w:tcPr>
          <w:p>
            <w:pPr>
              <w:spacing w:after="0"/>
              <w:rPr>
                <w:sz w:val="5"/>
                <w:szCs w:val="5"/>
                <w:color w:val="auto"/>
              </w:rPr>
            </w:pPr>
          </w:p>
        </w:tc>
        <w:tc>
          <w:tcPr>
            <w:tcW w:w="960" w:type="dxa"/>
            <w:vAlign w:val="bottom"/>
          </w:tcPr>
          <w:p>
            <w:pPr>
              <w:spacing w:after="0"/>
              <w:rPr>
                <w:sz w:val="5"/>
                <w:szCs w:val="5"/>
                <w:color w:val="auto"/>
              </w:rPr>
            </w:pPr>
          </w:p>
        </w:tc>
        <w:tc>
          <w:tcPr>
            <w:tcW w:w="3800" w:type="dxa"/>
            <w:vAlign w:val="bottom"/>
            <w:tcBorders>
              <w:right w:val="single" w:sz="8" w:color="auto"/>
            </w:tcBorders>
          </w:tcPr>
          <w:p>
            <w:pPr>
              <w:spacing w:after="0"/>
              <w:rPr>
                <w:sz w:val="5"/>
                <w:szCs w:val="5"/>
                <w:color w:val="auto"/>
              </w:rPr>
            </w:pPr>
          </w:p>
        </w:tc>
        <w:tc>
          <w:tcPr>
            <w:tcW w:w="220" w:type="dxa"/>
            <w:vAlign w:val="bottom"/>
            <w:tcBorders>
              <w:right w:val="single" w:sz="8" w:color="auto"/>
            </w:tcBorders>
          </w:tcPr>
          <w:p>
            <w:pPr>
              <w:spacing w:after="0"/>
              <w:rPr>
                <w:sz w:val="5"/>
                <w:szCs w:val="5"/>
                <w:color w:val="auto"/>
              </w:rPr>
            </w:pPr>
          </w:p>
        </w:tc>
        <w:tc>
          <w:tcPr>
            <w:tcW w:w="548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54"/>
        </w:trPr>
        <w:tc>
          <w:tcPr>
            <w:tcW w:w="780" w:type="dxa"/>
            <w:vAlign w:val="bottom"/>
            <w:tcBorders>
              <w:left w:val="single" w:sz="8" w:color="auto"/>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3800" w:type="dxa"/>
            <w:vAlign w:val="bottom"/>
            <w:tcBorders>
              <w:bottom w:val="single" w:sz="8" w:color="auto"/>
              <w:right w:val="single" w:sz="8" w:color="auto"/>
            </w:tcBorders>
          </w:tcPr>
          <w:p>
            <w:pPr>
              <w:spacing w:after="0"/>
              <w:rPr>
                <w:sz w:val="4"/>
                <w:szCs w:val="4"/>
                <w:color w:val="auto"/>
              </w:rPr>
            </w:pPr>
          </w:p>
        </w:tc>
        <w:tc>
          <w:tcPr>
            <w:tcW w:w="220" w:type="dxa"/>
            <w:vAlign w:val="bottom"/>
            <w:tcBorders>
              <w:bottom w:val="single" w:sz="8" w:color="auto"/>
              <w:right w:val="single" w:sz="8" w:color="auto"/>
            </w:tcBorders>
          </w:tcPr>
          <w:p>
            <w:pPr>
              <w:spacing w:after="0"/>
              <w:rPr>
                <w:sz w:val="4"/>
                <w:szCs w:val="4"/>
                <w:color w:val="auto"/>
              </w:rPr>
            </w:pPr>
          </w:p>
        </w:tc>
        <w:tc>
          <w:tcPr>
            <w:tcW w:w="548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453"/>
        </w:trPr>
        <w:tc>
          <w:tcPr>
            <w:tcW w:w="7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38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54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249" w:right="339" w:bottom="1440" w:gutter="0" w:footer="0" w:header="0"/>
        </w:sectPr>
      </w:pPr>
    </w:p>
    <w:bookmarkStart w:id="61" w:name="page62"/>
    <w:bookmarkEnd w:id="61"/>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187"/>
        </w:trPr>
        <w:tc>
          <w:tcPr>
            <w:tcW w:w="554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5480" w:type="dxa"/>
            <w:vAlign w:val="bottom"/>
            <w:tcBorders>
              <w:bottom w:val="single" w:sz="8" w:color="auto"/>
            </w:tcBorders>
          </w:tcPr>
          <w:p>
            <w:pPr>
              <w:ind w:left="5260"/>
              <w:spacing w:after="0"/>
              <w:rPr>
                <w:sz w:val="20"/>
                <w:szCs w:val="20"/>
                <w:color w:val="auto"/>
              </w:rPr>
            </w:pPr>
            <w:r>
              <w:rPr>
                <w:rFonts w:ascii="Arial" w:cs="Arial" w:eastAsia="Arial" w:hAnsi="Arial"/>
                <w:sz w:val="16"/>
                <w:szCs w:val="16"/>
                <w:color w:val="auto"/>
              </w:rPr>
              <w:t>23</w:t>
            </w:r>
          </w:p>
        </w:tc>
      </w:tr>
      <w:tr>
        <w:trPr>
          <w:trHeight w:val="263"/>
        </w:trPr>
        <w:tc>
          <w:tcPr>
            <w:tcW w:w="554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member of the Board of Directors, or if such member of the Board</w:t>
            </w:r>
          </w:p>
        </w:tc>
        <w:tc>
          <w:tcPr>
            <w:tcW w:w="220" w:type="dxa"/>
            <w:vAlign w:val="bottom"/>
            <w:tcBorders>
              <w:right w:val="single" w:sz="8" w:color="auto"/>
            </w:tcBorders>
          </w:tcPr>
          <w:p>
            <w:pPr>
              <w:spacing w:after="0"/>
              <w:rPr>
                <w:sz w:val="22"/>
                <w:szCs w:val="22"/>
                <w:color w:val="auto"/>
              </w:rPr>
            </w:pPr>
          </w:p>
        </w:tc>
        <w:tc>
          <w:tcPr>
            <w:tcW w:w="548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si le quorum requis n'est pas réuni; (c) s'il n'y a pas de tel membre</w:t>
            </w:r>
          </w:p>
        </w:tc>
      </w:tr>
      <w:tr>
        <w:trPr>
          <w:trHeight w:val="202"/>
        </w:trPr>
        <w:tc>
          <w:tcPr>
            <w:tcW w:w="5540" w:type="dxa"/>
            <w:vAlign w:val="bottom"/>
            <w:tcBorders>
              <w:left w:val="single" w:sz="8" w:color="auto"/>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of Directors so direct, by independent legal counsel in a written</w:t>
            </w:r>
          </w:p>
        </w:tc>
        <w:tc>
          <w:tcPr>
            <w:tcW w:w="22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du  conseil  d'administration,  ou  si  ce  membre  du  conseil</w:t>
            </w:r>
          </w:p>
        </w:tc>
      </w:tr>
      <w:tr>
        <w:trPr>
          <w:trHeight w:val="203"/>
        </w:trPr>
        <w:tc>
          <w:tcPr>
            <w:tcW w:w="5540" w:type="dxa"/>
            <w:vAlign w:val="bottom"/>
            <w:tcBorders>
              <w:left w:val="single" w:sz="8" w:color="auto"/>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opinion; or (d) by the General Meeting of Shareholders. Such</w:t>
            </w:r>
          </w:p>
        </w:tc>
        <w:tc>
          <w:tcPr>
            <w:tcW w:w="22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d'administration l'ordonne, par un conseiller juridique indépendant</w:t>
            </w:r>
          </w:p>
        </w:tc>
      </w:tr>
      <w:tr>
        <w:trPr>
          <w:trHeight w:val="203"/>
        </w:trPr>
        <w:tc>
          <w:tcPr>
            <w:tcW w:w="5540" w:type="dxa"/>
            <w:vAlign w:val="bottom"/>
            <w:tcBorders>
              <w:left w:val="single" w:sz="8" w:color="auto"/>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determination shall be made, with respect to any other Covered</w:t>
            </w:r>
          </w:p>
        </w:tc>
        <w:tc>
          <w:tcPr>
            <w:tcW w:w="22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dans  un  avis  écrit;  ou  (d)  par  l'assemblée  générale  des</w:t>
            </w:r>
          </w:p>
        </w:tc>
      </w:tr>
      <w:tr>
        <w:trPr>
          <w:trHeight w:val="203"/>
        </w:trPr>
        <w:tc>
          <w:tcPr>
            <w:tcW w:w="5540" w:type="dxa"/>
            <w:vAlign w:val="bottom"/>
            <w:tcBorders>
              <w:left w:val="single" w:sz="8" w:color="auto"/>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Person, by any person or persons having the authority to act on</w:t>
            </w:r>
          </w:p>
        </w:tc>
        <w:tc>
          <w:tcPr>
            <w:tcW w:w="22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actionnaires.  Une  telle  décision  concernant  une  Personne</w:t>
            </w:r>
          </w:p>
        </w:tc>
      </w:tr>
      <w:tr>
        <w:trPr>
          <w:trHeight w:val="203"/>
        </w:trPr>
        <w:tc>
          <w:tcPr>
            <w:tcW w:w="5540" w:type="dxa"/>
            <w:vAlign w:val="bottom"/>
            <w:tcBorders>
              <w:left w:val="single" w:sz="8" w:color="auto"/>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the matter on behalf of the Company. To the extent, however, that</w:t>
            </w:r>
          </w:p>
        </w:tc>
        <w:tc>
          <w:tcPr>
            <w:tcW w:w="22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Couverte doit être prise par une personne ou des personnes ayant</w:t>
            </w:r>
          </w:p>
        </w:tc>
      </w:tr>
      <w:tr>
        <w:trPr>
          <w:trHeight w:val="203"/>
        </w:trPr>
        <w:tc>
          <w:tcPr>
            <w:tcW w:w="5540" w:type="dxa"/>
            <w:vAlign w:val="bottom"/>
            <w:tcBorders>
              <w:left w:val="single" w:sz="8" w:color="auto"/>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any  Covered  Person  has  been  successful  on  the  merits  or</w:t>
            </w:r>
          </w:p>
        </w:tc>
        <w:tc>
          <w:tcPr>
            <w:tcW w:w="22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le pouvoir d'agir dans cet affaire au nom de la société. Dans la</w:t>
            </w:r>
          </w:p>
        </w:tc>
      </w:tr>
      <w:tr>
        <w:trPr>
          <w:trHeight w:val="203"/>
        </w:trPr>
        <w:tc>
          <w:tcPr>
            <w:tcW w:w="5540" w:type="dxa"/>
            <w:vAlign w:val="bottom"/>
            <w:tcBorders>
              <w:left w:val="single" w:sz="8" w:color="auto"/>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otherwise in defense of any proceeding, or in defense of any claim,</w:t>
            </w:r>
          </w:p>
        </w:tc>
        <w:tc>
          <w:tcPr>
            <w:tcW w:w="22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mesure, cependant, où une Personne Couverte a gagné sur le</w:t>
            </w:r>
          </w:p>
        </w:tc>
      </w:tr>
      <w:tr>
        <w:trPr>
          <w:trHeight w:val="203"/>
        </w:trPr>
        <w:tc>
          <w:tcPr>
            <w:tcW w:w="5540" w:type="dxa"/>
            <w:vAlign w:val="bottom"/>
            <w:tcBorders>
              <w:left w:val="single" w:sz="8" w:color="auto"/>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issue or matter therein, such Covered Person shall be indemnified</w:t>
            </w:r>
          </w:p>
        </w:tc>
        <w:tc>
          <w:tcPr>
            <w:tcW w:w="22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fond ou autrement dans la défense d'une procédure, ou dans la</w:t>
            </w:r>
          </w:p>
        </w:tc>
      </w:tr>
      <w:tr>
        <w:trPr>
          <w:trHeight w:val="203"/>
        </w:trPr>
        <w:tc>
          <w:tcPr>
            <w:tcW w:w="5540" w:type="dxa"/>
            <w:vAlign w:val="bottom"/>
            <w:tcBorders>
              <w:left w:val="single" w:sz="8" w:color="auto"/>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against  expenses  (including  attorneys'  fees)  actually  and</w:t>
            </w:r>
          </w:p>
        </w:tc>
        <w:tc>
          <w:tcPr>
            <w:tcW w:w="22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défense de toute réclamation, problème ou affaire dans cette</w:t>
            </w:r>
          </w:p>
        </w:tc>
      </w:tr>
      <w:tr>
        <w:trPr>
          <w:trHeight w:val="203"/>
        </w:trPr>
        <w:tc>
          <w:tcPr>
            <w:tcW w:w="5540" w:type="dxa"/>
            <w:vAlign w:val="bottom"/>
            <w:tcBorders>
              <w:left w:val="single" w:sz="8" w:color="auto"/>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reasonably  incurred  by  such  person  in  connection  therewith,</w:t>
            </w:r>
          </w:p>
        </w:tc>
        <w:tc>
          <w:tcPr>
            <w:tcW w:w="22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procédure, cette Personne Couverte doit être indemnisée pour les</w:t>
            </w:r>
          </w:p>
        </w:tc>
      </w:tr>
      <w:tr>
        <w:trPr>
          <w:trHeight w:val="203"/>
        </w:trPr>
        <w:tc>
          <w:tcPr>
            <w:tcW w:w="5540" w:type="dxa"/>
            <w:vAlign w:val="bottom"/>
            <w:tcBorders>
              <w:left w:val="single" w:sz="8" w:color="auto"/>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without the necessity of authorization in the specific case.</w:t>
            </w:r>
          </w:p>
        </w:tc>
        <w:tc>
          <w:tcPr>
            <w:tcW w:w="22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dépenses (y compris les honoraires d'avocat) effectivement et</w:t>
            </w:r>
          </w:p>
        </w:tc>
      </w:tr>
      <w:tr>
        <w:trPr>
          <w:trHeight w:val="203"/>
        </w:trPr>
        <w:tc>
          <w:tcPr>
            <w:tcW w:w="5540" w:type="dxa"/>
            <w:vAlign w:val="bottom"/>
            <w:tcBorders>
              <w:left w:val="single" w:sz="8" w:color="auto"/>
              <w:right w:val="single" w:sz="8" w:color="auto"/>
            </w:tcBorders>
          </w:tcPr>
          <w:p>
            <w:pPr>
              <w:spacing w:after="0"/>
              <w:rPr>
                <w:sz w:val="17"/>
                <w:szCs w:val="17"/>
                <w:color w:val="auto"/>
              </w:rPr>
            </w:pPr>
          </w:p>
        </w:tc>
        <w:tc>
          <w:tcPr>
            <w:tcW w:w="22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raisonnablement encourus dans le cadre de l'affaire en question</w:t>
            </w:r>
          </w:p>
        </w:tc>
      </w:tr>
      <w:tr>
        <w:trPr>
          <w:trHeight w:val="203"/>
        </w:trPr>
        <w:tc>
          <w:tcPr>
            <w:tcW w:w="5540" w:type="dxa"/>
            <w:vAlign w:val="bottom"/>
            <w:tcBorders>
              <w:left w:val="single" w:sz="8" w:color="auto"/>
              <w:right w:val="single" w:sz="8" w:color="auto"/>
            </w:tcBorders>
          </w:tcPr>
          <w:p>
            <w:pPr>
              <w:spacing w:after="0"/>
              <w:rPr>
                <w:sz w:val="17"/>
                <w:szCs w:val="17"/>
                <w:color w:val="auto"/>
              </w:rPr>
            </w:pPr>
          </w:p>
        </w:tc>
        <w:tc>
          <w:tcPr>
            <w:tcW w:w="22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sans qu'il soit nécessaire d'avoir une autorisation dans le cas</w:t>
            </w:r>
          </w:p>
        </w:tc>
      </w:tr>
      <w:tr>
        <w:trPr>
          <w:trHeight w:val="217"/>
        </w:trPr>
        <w:tc>
          <w:tcPr>
            <w:tcW w:w="5540" w:type="dxa"/>
            <w:vAlign w:val="bottom"/>
            <w:tcBorders>
              <w:left w:val="single" w:sz="8" w:color="auto"/>
              <w:right w:val="single" w:sz="8" w:color="auto"/>
            </w:tcBorders>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548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spécifique.</w:t>
            </w:r>
          </w:p>
        </w:tc>
      </w:tr>
      <w:tr>
        <w:trPr>
          <w:trHeight w:val="54"/>
        </w:trPr>
        <w:tc>
          <w:tcPr>
            <w:tcW w:w="5540" w:type="dxa"/>
            <w:vAlign w:val="bottom"/>
            <w:tcBorders>
              <w:left w:val="single" w:sz="8" w:color="auto"/>
              <w:bottom w:val="single" w:sz="8" w:color="auto"/>
              <w:right w:val="single" w:sz="8" w:color="auto"/>
            </w:tcBorders>
          </w:tcPr>
          <w:p>
            <w:pPr>
              <w:spacing w:after="0"/>
              <w:rPr>
                <w:sz w:val="4"/>
                <w:szCs w:val="4"/>
                <w:color w:val="auto"/>
              </w:rPr>
            </w:pPr>
          </w:p>
        </w:tc>
        <w:tc>
          <w:tcPr>
            <w:tcW w:w="220" w:type="dxa"/>
            <w:vAlign w:val="bottom"/>
            <w:tcBorders>
              <w:bottom w:val="single" w:sz="8" w:color="auto"/>
              <w:right w:val="single" w:sz="8" w:color="auto"/>
            </w:tcBorders>
          </w:tcPr>
          <w:p>
            <w:pPr>
              <w:spacing w:after="0"/>
              <w:rPr>
                <w:sz w:val="4"/>
                <w:szCs w:val="4"/>
                <w:color w:val="auto"/>
              </w:rPr>
            </w:pPr>
          </w:p>
        </w:tc>
        <w:tc>
          <w:tcPr>
            <w:tcW w:w="5480" w:type="dxa"/>
            <w:vAlign w:val="bottom"/>
            <w:tcBorders>
              <w:bottom w:val="single" w:sz="8" w:color="auto"/>
              <w:right w:val="single" w:sz="8" w:color="auto"/>
            </w:tcBorders>
          </w:tcPr>
          <w:p>
            <w:pPr>
              <w:spacing w:after="0"/>
              <w:rPr>
                <w:sz w:val="4"/>
                <w:szCs w:val="4"/>
                <w:color w:val="auto"/>
              </w:rPr>
            </w:pPr>
          </w:p>
        </w:tc>
      </w:tr>
      <w:tr>
        <w:trPr>
          <w:trHeight w:val="263"/>
        </w:trPr>
        <w:tc>
          <w:tcPr>
            <w:tcW w:w="554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As far as is permissible under applicable law, expenses, including</w:t>
            </w:r>
          </w:p>
        </w:tc>
        <w:tc>
          <w:tcPr>
            <w:tcW w:w="220" w:type="dxa"/>
            <w:vAlign w:val="bottom"/>
            <w:tcBorders>
              <w:right w:val="single" w:sz="8" w:color="auto"/>
            </w:tcBorders>
          </w:tcPr>
          <w:p>
            <w:pPr>
              <w:spacing w:after="0"/>
              <w:rPr>
                <w:sz w:val="22"/>
                <w:szCs w:val="22"/>
                <w:color w:val="auto"/>
              </w:rPr>
            </w:pPr>
          </w:p>
        </w:tc>
        <w:tc>
          <w:tcPr>
            <w:tcW w:w="548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Dans la mesure permise par la loi applicable, les dépenses, y</w:t>
            </w:r>
          </w:p>
        </w:tc>
      </w:tr>
      <w:tr>
        <w:trPr>
          <w:trHeight w:val="203"/>
        </w:trPr>
        <w:tc>
          <w:tcPr>
            <w:tcW w:w="5540" w:type="dxa"/>
            <w:vAlign w:val="bottom"/>
            <w:tcBorders>
              <w:left w:val="single" w:sz="8" w:color="auto"/>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attorneys' fees, incurred in defending any proceeding for which</w:t>
            </w:r>
          </w:p>
        </w:tc>
        <w:tc>
          <w:tcPr>
            <w:tcW w:w="22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compris les honoraires d'avocats, encourus dans la défense de</w:t>
            </w:r>
          </w:p>
        </w:tc>
      </w:tr>
      <w:tr>
        <w:trPr>
          <w:trHeight w:val="203"/>
        </w:trPr>
        <w:tc>
          <w:tcPr>
            <w:tcW w:w="5540" w:type="dxa"/>
            <w:vAlign w:val="bottom"/>
            <w:tcBorders>
              <w:left w:val="single" w:sz="8" w:color="auto"/>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indemnification is permitted pursuant to this Article 29 shall be paid</w:t>
            </w:r>
          </w:p>
        </w:tc>
        <w:tc>
          <w:tcPr>
            <w:tcW w:w="22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toute procédure pour laquelle l'indemnisation est permise en vertu</w:t>
            </w:r>
          </w:p>
        </w:tc>
      </w:tr>
      <w:tr>
        <w:trPr>
          <w:trHeight w:val="203"/>
        </w:trPr>
        <w:tc>
          <w:tcPr>
            <w:tcW w:w="5540" w:type="dxa"/>
            <w:vAlign w:val="bottom"/>
            <w:tcBorders>
              <w:left w:val="single" w:sz="8" w:color="auto"/>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by the Company in advance of the final disposition of such</w:t>
            </w:r>
          </w:p>
        </w:tc>
        <w:tc>
          <w:tcPr>
            <w:tcW w:w="22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du présent article 29, doivent être payées par la société avant la</w:t>
            </w:r>
          </w:p>
        </w:tc>
      </w:tr>
      <w:tr>
        <w:trPr>
          <w:trHeight w:val="203"/>
        </w:trPr>
        <w:tc>
          <w:tcPr>
            <w:tcW w:w="5540" w:type="dxa"/>
            <w:vAlign w:val="bottom"/>
            <w:tcBorders>
              <w:left w:val="single" w:sz="8" w:color="auto"/>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proceeding  upon  receipt  by  the  Board  of  Directors  of  an</w:t>
            </w:r>
          </w:p>
        </w:tc>
        <w:tc>
          <w:tcPr>
            <w:tcW w:w="22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décision finale dans cette procédure à réception par le conseil</w:t>
            </w:r>
          </w:p>
        </w:tc>
      </w:tr>
      <w:tr>
        <w:trPr>
          <w:trHeight w:val="203"/>
        </w:trPr>
        <w:tc>
          <w:tcPr>
            <w:tcW w:w="5540" w:type="dxa"/>
            <w:vAlign w:val="bottom"/>
            <w:tcBorders>
              <w:left w:val="single" w:sz="8" w:color="auto"/>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undertaking by or on behalf of the Covered Person to repay such</w:t>
            </w:r>
          </w:p>
        </w:tc>
        <w:tc>
          <w:tcPr>
            <w:tcW w:w="22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d'administration  d'une  promesse  faite  par  ou  au  nom  de  la</w:t>
            </w:r>
          </w:p>
        </w:tc>
      </w:tr>
      <w:tr>
        <w:trPr>
          <w:trHeight w:val="203"/>
        </w:trPr>
        <w:tc>
          <w:tcPr>
            <w:tcW w:w="5540" w:type="dxa"/>
            <w:vAlign w:val="bottom"/>
            <w:tcBorders>
              <w:left w:val="single" w:sz="8" w:color="auto"/>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amount if it shall ultimately be determined that he or she is not</w:t>
            </w:r>
          </w:p>
        </w:tc>
        <w:tc>
          <w:tcPr>
            <w:tcW w:w="22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Personne  Couverte  de  rembourser  ce  montant  s'il  s'avère</w:t>
            </w:r>
          </w:p>
        </w:tc>
      </w:tr>
      <w:tr>
        <w:trPr>
          <w:trHeight w:val="203"/>
        </w:trPr>
        <w:tc>
          <w:tcPr>
            <w:tcW w:w="5540" w:type="dxa"/>
            <w:vAlign w:val="bottom"/>
            <w:tcBorders>
              <w:left w:val="single" w:sz="8" w:color="auto"/>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entitled to be indemnified by the Company under these Articles of</w:t>
            </w:r>
          </w:p>
        </w:tc>
        <w:tc>
          <w:tcPr>
            <w:tcW w:w="22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finalement  que  cette  Personne  Couverte  n'a  pas  droit  à</w:t>
            </w:r>
          </w:p>
        </w:tc>
      </w:tr>
      <w:tr>
        <w:trPr>
          <w:trHeight w:val="217"/>
        </w:trPr>
        <w:tc>
          <w:tcPr>
            <w:tcW w:w="554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Association.</w:t>
            </w:r>
          </w:p>
        </w:tc>
        <w:tc>
          <w:tcPr>
            <w:tcW w:w="220" w:type="dxa"/>
            <w:vAlign w:val="bottom"/>
            <w:tcBorders>
              <w:right w:val="single" w:sz="8" w:color="auto"/>
            </w:tcBorders>
          </w:tcPr>
          <w:p>
            <w:pPr>
              <w:spacing w:after="0"/>
              <w:rPr>
                <w:sz w:val="18"/>
                <w:szCs w:val="18"/>
                <w:color w:val="auto"/>
              </w:rPr>
            </w:pPr>
          </w:p>
        </w:tc>
        <w:tc>
          <w:tcPr>
            <w:tcW w:w="548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l'indemnisation par la société en vertu de ces statuts.</w:t>
            </w:r>
          </w:p>
        </w:tc>
      </w:tr>
      <w:tr>
        <w:trPr>
          <w:trHeight w:val="54"/>
        </w:trPr>
        <w:tc>
          <w:tcPr>
            <w:tcW w:w="5540" w:type="dxa"/>
            <w:vAlign w:val="bottom"/>
            <w:tcBorders>
              <w:left w:val="single" w:sz="8" w:color="auto"/>
              <w:bottom w:val="single" w:sz="8" w:color="auto"/>
              <w:right w:val="single" w:sz="8" w:color="auto"/>
            </w:tcBorders>
          </w:tcPr>
          <w:p>
            <w:pPr>
              <w:spacing w:after="0"/>
              <w:rPr>
                <w:sz w:val="4"/>
                <w:szCs w:val="4"/>
                <w:color w:val="auto"/>
              </w:rPr>
            </w:pPr>
          </w:p>
        </w:tc>
        <w:tc>
          <w:tcPr>
            <w:tcW w:w="220" w:type="dxa"/>
            <w:vAlign w:val="bottom"/>
            <w:tcBorders>
              <w:bottom w:val="single" w:sz="8" w:color="auto"/>
              <w:right w:val="single" w:sz="8" w:color="auto"/>
            </w:tcBorders>
          </w:tcPr>
          <w:p>
            <w:pPr>
              <w:spacing w:after="0"/>
              <w:rPr>
                <w:sz w:val="4"/>
                <w:szCs w:val="4"/>
                <w:color w:val="auto"/>
              </w:rPr>
            </w:pPr>
          </w:p>
        </w:tc>
        <w:tc>
          <w:tcPr>
            <w:tcW w:w="5480" w:type="dxa"/>
            <w:vAlign w:val="bottom"/>
            <w:tcBorders>
              <w:bottom w:val="single" w:sz="8" w:color="auto"/>
              <w:right w:val="single" w:sz="8" w:color="auto"/>
            </w:tcBorders>
          </w:tcPr>
          <w:p>
            <w:pPr>
              <w:spacing w:after="0"/>
              <w:rPr>
                <w:sz w:val="4"/>
                <w:szCs w:val="4"/>
                <w:color w:val="auto"/>
              </w:rPr>
            </w:pPr>
          </w:p>
        </w:tc>
      </w:tr>
      <w:tr>
        <w:trPr>
          <w:trHeight w:val="263"/>
        </w:trPr>
        <w:tc>
          <w:tcPr>
            <w:tcW w:w="554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It being the policy of the Company that indemnification of the</w:t>
            </w:r>
          </w:p>
        </w:tc>
        <w:tc>
          <w:tcPr>
            <w:tcW w:w="220" w:type="dxa"/>
            <w:vAlign w:val="bottom"/>
            <w:tcBorders>
              <w:right w:val="single" w:sz="8" w:color="auto"/>
            </w:tcBorders>
          </w:tcPr>
          <w:p>
            <w:pPr>
              <w:spacing w:after="0"/>
              <w:rPr>
                <w:sz w:val="22"/>
                <w:szCs w:val="22"/>
                <w:color w:val="auto"/>
              </w:rPr>
            </w:pPr>
          </w:p>
        </w:tc>
        <w:tc>
          <w:tcPr>
            <w:tcW w:w="548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La  politique  de  la  société  prévoit  que  l'indemnisation  des</w:t>
            </w:r>
          </w:p>
        </w:tc>
      </w:tr>
      <w:tr>
        <w:trPr>
          <w:trHeight w:val="203"/>
        </w:trPr>
        <w:tc>
          <w:tcPr>
            <w:tcW w:w="5540" w:type="dxa"/>
            <w:vAlign w:val="bottom"/>
            <w:tcBorders>
              <w:left w:val="single" w:sz="8" w:color="auto"/>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persons specified in this Article 29 shall be made to the fullest</w:t>
            </w:r>
          </w:p>
        </w:tc>
        <w:tc>
          <w:tcPr>
            <w:tcW w:w="22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personnes visées au présent article 29 doit être payée dans toute</w:t>
            </w:r>
          </w:p>
        </w:tc>
      </w:tr>
      <w:tr>
        <w:trPr>
          <w:trHeight w:val="203"/>
        </w:trPr>
        <w:tc>
          <w:tcPr>
            <w:tcW w:w="5540" w:type="dxa"/>
            <w:vAlign w:val="bottom"/>
            <w:tcBorders>
              <w:left w:val="single" w:sz="8" w:color="auto"/>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extent permitted by law and the indemnification provided by this</w:t>
            </w:r>
          </w:p>
        </w:tc>
        <w:tc>
          <w:tcPr>
            <w:tcW w:w="22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la mesure autorisée par la loi et l'indemnisation prévue par cet</w:t>
            </w:r>
          </w:p>
        </w:tc>
      </w:tr>
      <w:tr>
        <w:trPr>
          <w:trHeight w:val="203"/>
        </w:trPr>
        <w:tc>
          <w:tcPr>
            <w:tcW w:w="5540" w:type="dxa"/>
            <w:vAlign w:val="bottom"/>
            <w:tcBorders>
              <w:left w:val="single" w:sz="8" w:color="auto"/>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Article 29 shall not be deemed exclusive (a) of any other rights to</w:t>
            </w:r>
          </w:p>
        </w:tc>
        <w:tc>
          <w:tcPr>
            <w:tcW w:w="22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article 29 ne sera pas considérée comme exclusive (a) d'autres</w:t>
            </w:r>
          </w:p>
        </w:tc>
      </w:tr>
      <w:tr>
        <w:trPr>
          <w:trHeight w:val="203"/>
        </w:trPr>
        <w:tc>
          <w:tcPr>
            <w:tcW w:w="5540" w:type="dxa"/>
            <w:vAlign w:val="bottom"/>
            <w:tcBorders>
              <w:left w:val="single" w:sz="8" w:color="auto"/>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which those seeking indemnification or advancement of expenses</w:t>
            </w:r>
          </w:p>
        </w:tc>
        <w:tc>
          <w:tcPr>
            <w:tcW w:w="22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droits auxquels les personnes demandant une indemnisation ou</w:t>
            </w:r>
          </w:p>
        </w:tc>
      </w:tr>
      <w:tr>
        <w:trPr>
          <w:trHeight w:val="203"/>
        </w:trPr>
        <w:tc>
          <w:tcPr>
            <w:tcW w:w="5540" w:type="dxa"/>
            <w:vAlign w:val="bottom"/>
            <w:tcBorders>
              <w:left w:val="single" w:sz="8" w:color="auto"/>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may  be  entitled  under  these  Articles  of  Association,  any</w:t>
            </w:r>
          </w:p>
        </w:tc>
        <w:tc>
          <w:tcPr>
            <w:tcW w:w="22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une avance des dépenses ont droit en vertu de ces statuts, d'un</w:t>
            </w:r>
          </w:p>
        </w:tc>
      </w:tr>
      <w:tr>
        <w:trPr>
          <w:trHeight w:val="203"/>
        </w:trPr>
        <w:tc>
          <w:tcPr>
            <w:tcW w:w="5540" w:type="dxa"/>
            <w:vAlign w:val="bottom"/>
            <w:tcBorders>
              <w:left w:val="single" w:sz="8" w:color="auto"/>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agreement, any insurance purchased by the Company, vote of</w:t>
            </w:r>
          </w:p>
        </w:tc>
        <w:tc>
          <w:tcPr>
            <w:tcW w:w="22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accord,  d'une  assurance  souscrite  par  la  société,  d'un  vote</w:t>
            </w:r>
          </w:p>
        </w:tc>
      </w:tr>
      <w:tr>
        <w:trPr>
          <w:trHeight w:val="203"/>
        </w:trPr>
        <w:tc>
          <w:tcPr>
            <w:tcW w:w="5540" w:type="dxa"/>
            <w:vAlign w:val="bottom"/>
            <w:tcBorders>
              <w:left w:val="single" w:sz="8" w:color="auto"/>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shareholders or disinterested members of the Board of Directors,</w:t>
            </w:r>
          </w:p>
        </w:tc>
        <w:tc>
          <w:tcPr>
            <w:tcW w:w="22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d'actionnaires ou de membres du conseil d'administration n'ayant</w:t>
            </w:r>
          </w:p>
        </w:tc>
      </w:tr>
      <w:tr>
        <w:trPr>
          <w:trHeight w:val="203"/>
        </w:trPr>
        <w:tc>
          <w:tcPr>
            <w:tcW w:w="5540" w:type="dxa"/>
            <w:vAlign w:val="bottom"/>
            <w:tcBorders>
              <w:left w:val="single" w:sz="8" w:color="auto"/>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or pursuant to the decision of any court of competent jurisdiction,</w:t>
            </w:r>
          </w:p>
        </w:tc>
        <w:tc>
          <w:tcPr>
            <w:tcW w:w="22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pas d'intérêt direct, ou en vertu d'une décision d'un tribunal</w:t>
            </w:r>
          </w:p>
        </w:tc>
      </w:tr>
      <w:tr>
        <w:trPr>
          <w:trHeight w:val="217"/>
        </w:trPr>
        <w:tc>
          <w:tcPr>
            <w:tcW w:w="554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or otherwise,</w:t>
            </w:r>
          </w:p>
        </w:tc>
        <w:tc>
          <w:tcPr>
            <w:tcW w:w="220" w:type="dxa"/>
            <w:vAlign w:val="bottom"/>
            <w:tcBorders>
              <w:right w:val="single" w:sz="8" w:color="auto"/>
            </w:tcBorders>
          </w:tcPr>
          <w:p>
            <w:pPr>
              <w:spacing w:after="0"/>
              <w:rPr>
                <w:sz w:val="18"/>
                <w:szCs w:val="18"/>
                <w:color w:val="auto"/>
              </w:rPr>
            </w:pPr>
          </w:p>
        </w:tc>
        <w:tc>
          <w:tcPr>
            <w:tcW w:w="5480" w:type="dxa"/>
            <w:vAlign w:val="bottom"/>
            <w:tcBorders>
              <w:right w:val="single" w:sz="8" w:color="auto"/>
            </w:tcBorders>
          </w:tcPr>
          <w:p>
            <w:pPr>
              <w:spacing w:after="0"/>
              <w:rPr>
                <w:sz w:val="18"/>
                <w:szCs w:val="18"/>
                <w:color w:val="auto"/>
              </w:rPr>
            </w:pPr>
          </w:p>
        </w:tc>
      </w:tr>
      <w:tr>
        <w:trPr>
          <w:trHeight w:val="54"/>
        </w:trPr>
        <w:tc>
          <w:tcPr>
            <w:tcW w:w="5540" w:type="dxa"/>
            <w:vAlign w:val="bottom"/>
            <w:tcBorders>
              <w:left w:val="single" w:sz="8" w:color="auto"/>
              <w:bottom w:val="single" w:sz="8" w:color="auto"/>
              <w:right w:val="single" w:sz="8" w:color="auto"/>
            </w:tcBorders>
          </w:tcPr>
          <w:p>
            <w:pPr>
              <w:spacing w:after="0"/>
              <w:rPr>
                <w:sz w:val="4"/>
                <w:szCs w:val="4"/>
                <w:color w:val="auto"/>
              </w:rPr>
            </w:pPr>
          </w:p>
        </w:tc>
        <w:tc>
          <w:tcPr>
            <w:tcW w:w="220" w:type="dxa"/>
            <w:vAlign w:val="bottom"/>
            <w:tcBorders>
              <w:bottom w:val="single" w:sz="8" w:color="auto"/>
              <w:right w:val="single" w:sz="8" w:color="auto"/>
            </w:tcBorders>
          </w:tcPr>
          <w:p>
            <w:pPr>
              <w:spacing w:after="0"/>
              <w:rPr>
                <w:sz w:val="4"/>
                <w:szCs w:val="4"/>
                <w:color w:val="auto"/>
              </w:rPr>
            </w:pPr>
          </w:p>
        </w:tc>
        <w:tc>
          <w:tcPr>
            <w:tcW w:w="5480" w:type="dxa"/>
            <w:vAlign w:val="bottom"/>
            <w:tcBorders>
              <w:bottom w:val="single" w:sz="8" w:color="auto"/>
              <w:right w:val="single" w:sz="8" w:color="auto"/>
            </w:tcBorders>
          </w:tcPr>
          <w:p>
            <w:pPr>
              <w:spacing w:after="0"/>
              <w:rPr>
                <w:sz w:val="4"/>
                <w:szCs w:val="4"/>
                <w:color w:val="auto"/>
              </w:rPr>
            </w:pPr>
          </w:p>
        </w:tc>
      </w:tr>
      <w:tr>
        <w:trPr>
          <w:trHeight w:val="453"/>
        </w:trPr>
        <w:tc>
          <w:tcPr>
            <w:tcW w:w="55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54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249" w:right="339" w:bottom="1440" w:gutter="0" w:footer="0" w:header="0"/>
        </w:sectPr>
      </w:pPr>
    </w:p>
    <w:bookmarkStart w:id="62" w:name="page63"/>
    <w:bookmarkEnd w:id="62"/>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187"/>
        </w:trPr>
        <w:tc>
          <w:tcPr>
            <w:tcW w:w="554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5480" w:type="dxa"/>
            <w:vAlign w:val="bottom"/>
            <w:tcBorders>
              <w:bottom w:val="single" w:sz="8" w:color="auto"/>
            </w:tcBorders>
          </w:tcPr>
          <w:p>
            <w:pPr>
              <w:ind w:left="5260"/>
              <w:spacing w:after="0"/>
              <w:rPr>
                <w:sz w:val="20"/>
                <w:szCs w:val="20"/>
                <w:color w:val="auto"/>
              </w:rPr>
            </w:pPr>
            <w:r>
              <w:rPr>
                <w:rFonts w:ascii="Arial" w:cs="Arial" w:eastAsia="Arial" w:hAnsi="Arial"/>
                <w:sz w:val="16"/>
                <w:szCs w:val="16"/>
                <w:color w:val="auto"/>
              </w:rPr>
              <w:t>24</w:t>
            </w:r>
          </w:p>
        </w:tc>
      </w:tr>
      <w:tr>
        <w:trPr>
          <w:trHeight w:val="263"/>
        </w:trPr>
        <w:tc>
          <w:tcPr>
            <w:tcW w:w="554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both as to action in his or her official capacity and as to action in</w:t>
            </w:r>
          </w:p>
        </w:tc>
        <w:tc>
          <w:tcPr>
            <w:tcW w:w="220" w:type="dxa"/>
            <w:vAlign w:val="bottom"/>
            <w:tcBorders>
              <w:right w:val="single" w:sz="8" w:color="auto"/>
            </w:tcBorders>
          </w:tcPr>
          <w:p>
            <w:pPr>
              <w:spacing w:after="0"/>
              <w:rPr>
                <w:sz w:val="22"/>
                <w:szCs w:val="22"/>
                <w:color w:val="auto"/>
              </w:rPr>
            </w:pPr>
          </w:p>
        </w:tc>
        <w:tc>
          <w:tcPr>
            <w:tcW w:w="548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compétent, ou autrement, soit à l'égard d'actions faites en sa</w:t>
            </w:r>
          </w:p>
        </w:tc>
      </w:tr>
      <w:tr>
        <w:trPr>
          <w:trHeight w:val="203"/>
        </w:trPr>
        <w:tc>
          <w:tcPr>
            <w:tcW w:w="5540" w:type="dxa"/>
            <w:vAlign w:val="bottom"/>
            <w:tcBorders>
              <w:left w:val="single" w:sz="8" w:color="auto"/>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another capacity while holding such office, or (b) of the power of</w:t>
            </w:r>
          </w:p>
        </w:tc>
        <w:tc>
          <w:tcPr>
            <w:tcW w:w="22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capacité officielle, soit à l'égard d'actions faites à un autre titre tout</w:t>
            </w:r>
          </w:p>
        </w:tc>
      </w:tr>
      <w:tr>
        <w:trPr>
          <w:trHeight w:val="203"/>
        </w:trPr>
        <w:tc>
          <w:tcPr>
            <w:tcW w:w="5540" w:type="dxa"/>
            <w:vAlign w:val="bottom"/>
            <w:tcBorders>
              <w:left w:val="single" w:sz="8" w:color="auto"/>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the Company to indemnify any person who is or was an employee</w:t>
            </w:r>
          </w:p>
        </w:tc>
        <w:tc>
          <w:tcPr>
            <w:tcW w:w="22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en ayant une telle fonction, ou (b) du pouvoir de la société</w:t>
            </w:r>
          </w:p>
        </w:tc>
      </w:tr>
      <w:tr>
        <w:trPr>
          <w:trHeight w:val="202"/>
        </w:trPr>
        <w:tc>
          <w:tcPr>
            <w:tcW w:w="5540" w:type="dxa"/>
            <w:vAlign w:val="bottom"/>
            <w:tcBorders>
              <w:left w:val="single" w:sz="8" w:color="auto"/>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or agent of the Company or of another corporation, joint venture,</w:t>
            </w:r>
          </w:p>
        </w:tc>
        <w:tc>
          <w:tcPr>
            <w:tcW w:w="22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d'indemniser toute personne qui est ou était un employé ou un</w:t>
            </w:r>
          </w:p>
        </w:tc>
      </w:tr>
      <w:tr>
        <w:trPr>
          <w:trHeight w:val="203"/>
        </w:trPr>
        <w:tc>
          <w:tcPr>
            <w:tcW w:w="5540" w:type="dxa"/>
            <w:vAlign w:val="bottom"/>
            <w:tcBorders>
              <w:left w:val="single" w:sz="8" w:color="auto"/>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trust or other enterprise which he or she is serving or has served at</w:t>
            </w:r>
          </w:p>
        </w:tc>
        <w:tc>
          <w:tcPr>
            <w:tcW w:w="22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mandataire de la société ou d'une autre société, d'une joint</w:t>
            </w:r>
          </w:p>
        </w:tc>
      </w:tr>
      <w:tr>
        <w:trPr>
          <w:trHeight w:val="203"/>
        </w:trPr>
        <w:tc>
          <w:tcPr>
            <w:tcW w:w="5540" w:type="dxa"/>
            <w:vAlign w:val="bottom"/>
            <w:tcBorders>
              <w:left w:val="single" w:sz="8" w:color="auto"/>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the request of the Company, to the same extent and in the same</w:t>
            </w:r>
          </w:p>
        </w:tc>
        <w:tc>
          <w:tcPr>
            <w:tcW w:w="22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venture, d'une fiducie ou d'une autre entreprise pour laquelle il ou</w:t>
            </w:r>
          </w:p>
        </w:tc>
      </w:tr>
      <w:tr>
        <w:trPr>
          <w:trHeight w:val="203"/>
        </w:trPr>
        <w:tc>
          <w:tcPr>
            <w:tcW w:w="5540" w:type="dxa"/>
            <w:vAlign w:val="bottom"/>
            <w:tcBorders>
              <w:left w:val="single" w:sz="8" w:color="auto"/>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situations  and  subject  to  the  same  determinations  as  are</w:t>
            </w:r>
          </w:p>
        </w:tc>
        <w:tc>
          <w:tcPr>
            <w:tcW w:w="22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elle travaille ou a travaillé à la demande de la société, dans la</w:t>
            </w:r>
          </w:p>
        </w:tc>
      </w:tr>
      <w:tr>
        <w:trPr>
          <w:trHeight w:val="203"/>
        </w:trPr>
        <w:tc>
          <w:tcPr>
            <w:tcW w:w="5540" w:type="dxa"/>
            <w:vAlign w:val="bottom"/>
            <w:tcBorders>
              <w:left w:val="single" w:sz="8" w:color="auto"/>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hereinabove set forth with respect to a Covered Person.</w:t>
            </w:r>
          </w:p>
        </w:tc>
        <w:tc>
          <w:tcPr>
            <w:tcW w:w="22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même mesure et dans les mêmes situations et sous réserve des</w:t>
            </w:r>
          </w:p>
        </w:tc>
      </w:tr>
      <w:tr>
        <w:trPr>
          <w:trHeight w:val="203"/>
        </w:trPr>
        <w:tc>
          <w:tcPr>
            <w:tcW w:w="5540" w:type="dxa"/>
            <w:vAlign w:val="bottom"/>
            <w:tcBorders>
              <w:left w:val="single" w:sz="8" w:color="auto"/>
              <w:right w:val="single" w:sz="8" w:color="auto"/>
            </w:tcBorders>
          </w:tcPr>
          <w:p>
            <w:pPr>
              <w:spacing w:after="0"/>
              <w:rPr>
                <w:sz w:val="17"/>
                <w:szCs w:val="17"/>
                <w:color w:val="auto"/>
              </w:rPr>
            </w:pPr>
          </w:p>
        </w:tc>
        <w:tc>
          <w:tcPr>
            <w:tcW w:w="22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mêmes principes concernant une Personne Couverte évoquées ci-</w:t>
            </w:r>
          </w:p>
        </w:tc>
      </w:tr>
      <w:tr>
        <w:trPr>
          <w:trHeight w:val="203"/>
        </w:trPr>
        <w:tc>
          <w:tcPr>
            <w:tcW w:w="5540" w:type="dxa"/>
            <w:vAlign w:val="bottom"/>
            <w:tcBorders>
              <w:left w:val="single" w:sz="8" w:color="auto"/>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As used in this Article 29, references to the "Company" include all</w:t>
            </w:r>
          </w:p>
        </w:tc>
        <w:tc>
          <w:tcPr>
            <w:tcW w:w="22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dessus.</w:t>
            </w:r>
          </w:p>
        </w:tc>
      </w:tr>
      <w:tr>
        <w:trPr>
          <w:trHeight w:val="203"/>
        </w:trPr>
        <w:tc>
          <w:tcPr>
            <w:tcW w:w="5540" w:type="dxa"/>
            <w:vAlign w:val="bottom"/>
            <w:tcBorders>
              <w:left w:val="single" w:sz="8" w:color="auto"/>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constituent corporations in a consolidation or merger in which the</w:t>
            </w:r>
          </w:p>
        </w:tc>
        <w:tc>
          <w:tcPr>
            <w:tcW w:w="22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tcPr>
          <w:p>
            <w:pPr>
              <w:spacing w:after="0"/>
              <w:rPr>
                <w:sz w:val="17"/>
                <w:szCs w:val="17"/>
                <w:color w:val="auto"/>
              </w:rPr>
            </w:pPr>
          </w:p>
        </w:tc>
      </w:tr>
      <w:tr>
        <w:trPr>
          <w:trHeight w:val="203"/>
        </w:trPr>
        <w:tc>
          <w:tcPr>
            <w:tcW w:w="5540" w:type="dxa"/>
            <w:vAlign w:val="bottom"/>
            <w:tcBorders>
              <w:left w:val="single" w:sz="8" w:color="auto"/>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Company or a predecessor to the Company by consolidation or</w:t>
            </w:r>
          </w:p>
        </w:tc>
        <w:tc>
          <w:tcPr>
            <w:tcW w:w="22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Tel qu'utilisé dans le présent article 29,  les  références  à  la</w:t>
            </w:r>
          </w:p>
        </w:tc>
      </w:tr>
      <w:tr>
        <w:trPr>
          <w:trHeight w:val="203"/>
        </w:trPr>
        <w:tc>
          <w:tcPr>
            <w:tcW w:w="5540" w:type="dxa"/>
            <w:vAlign w:val="bottom"/>
            <w:tcBorders>
              <w:left w:val="single" w:sz="8" w:color="auto"/>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merger was involved.</w:t>
            </w:r>
          </w:p>
        </w:tc>
        <w:tc>
          <w:tcPr>
            <w:tcW w:w="22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"société" comprennent toutes les sociétés ayant fait l'objet d'un</w:t>
            </w:r>
          </w:p>
        </w:tc>
      </w:tr>
      <w:tr>
        <w:trPr>
          <w:trHeight w:val="203"/>
        </w:trPr>
        <w:tc>
          <w:tcPr>
            <w:tcW w:w="5540" w:type="dxa"/>
            <w:vAlign w:val="bottom"/>
            <w:tcBorders>
              <w:left w:val="single" w:sz="8" w:color="auto"/>
              <w:right w:val="single" w:sz="8" w:color="auto"/>
            </w:tcBorders>
          </w:tcPr>
          <w:p>
            <w:pPr>
              <w:spacing w:after="0"/>
              <w:rPr>
                <w:sz w:val="17"/>
                <w:szCs w:val="17"/>
                <w:color w:val="auto"/>
              </w:rPr>
            </w:pPr>
          </w:p>
        </w:tc>
        <w:tc>
          <w:tcPr>
            <w:tcW w:w="22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regroupement ou d'une fusion dans laquelle la société ou un</w:t>
            </w:r>
          </w:p>
        </w:tc>
      </w:tr>
      <w:tr>
        <w:trPr>
          <w:trHeight w:val="203"/>
        </w:trPr>
        <w:tc>
          <w:tcPr>
            <w:tcW w:w="5540" w:type="dxa"/>
            <w:vAlign w:val="bottom"/>
            <w:tcBorders>
              <w:left w:val="single" w:sz="8" w:color="auto"/>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The indemnification provided by this Article 29 shall continue as to</w:t>
            </w:r>
          </w:p>
        </w:tc>
        <w:tc>
          <w:tcPr>
            <w:tcW w:w="22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prédécesseur à la société a été impliqué.</w:t>
            </w:r>
          </w:p>
        </w:tc>
      </w:tr>
      <w:tr>
        <w:trPr>
          <w:trHeight w:val="203"/>
        </w:trPr>
        <w:tc>
          <w:tcPr>
            <w:tcW w:w="5540" w:type="dxa"/>
            <w:vAlign w:val="bottom"/>
            <w:tcBorders>
              <w:left w:val="single" w:sz="8" w:color="auto"/>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a person who has ceased to be a member of the Board of</w:t>
            </w:r>
          </w:p>
        </w:tc>
        <w:tc>
          <w:tcPr>
            <w:tcW w:w="22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tcPr>
          <w:p>
            <w:pPr>
              <w:spacing w:after="0"/>
              <w:rPr>
                <w:sz w:val="17"/>
                <w:szCs w:val="17"/>
                <w:color w:val="auto"/>
              </w:rPr>
            </w:pPr>
          </w:p>
        </w:tc>
      </w:tr>
      <w:tr>
        <w:trPr>
          <w:trHeight w:val="203"/>
        </w:trPr>
        <w:tc>
          <w:tcPr>
            <w:tcW w:w="5540" w:type="dxa"/>
            <w:vAlign w:val="bottom"/>
            <w:tcBorders>
              <w:left w:val="single" w:sz="8" w:color="auto"/>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Directors or the Executive Committee and shall inure to the benefit</w:t>
            </w:r>
          </w:p>
        </w:tc>
        <w:tc>
          <w:tcPr>
            <w:tcW w:w="22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L'indemnisation prévue par cet article 29 est maintenue à l'égard</w:t>
            </w:r>
          </w:p>
        </w:tc>
      </w:tr>
      <w:tr>
        <w:trPr>
          <w:trHeight w:val="203"/>
        </w:trPr>
        <w:tc>
          <w:tcPr>
            <w:tcW w:w="5540" w:type="dxa"/>
            <w:vAlign w:val="bottom"/>
            <w:tcBorders>
              <w:left w:val="single" w:sz="8" w:color="auto"/>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of their heirs, executors, and administrators.</w:t>
            </w:r>
          </w:p>
        </w:tc>
        <w:tc>
          <w:tcPr>
            <w:tcW w:w="22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d'une  personne  qui  a  cessé  d'être  un  membre  du  conseil</w:t>
            </w:r>
          </w:p>
        </w:tc>
      </w:tr>
      <w:tr>
        <w:trPr>
          <w:trHeight w:val="203"/>
        </w:trPr>
        <w:tc>
          <w:tcPr>
            <w:tcW w:w="5540" w:type="dxa"/>
            <w:vAlign w:val="bottom"/>
            <w:tcBorders>
              <w:left w:val="single" w:sz="8" w:color="auto"/>
              <w:right w:val="single" w:sz="8" w:color="auto"/>
            </w:tcBorders>
          </w:tcPr>
          <w:p>
            <w:pPr>
              <w:spacing w:after="0"/>
              <w:rPr>
                <w:sz w:val="17"/>
                <w:szCs w:val="17"/>
                <w:color w:val="auto"/>
              </w:rPr>
            </w:pPr>
          </w:p>
        </w:tc>
        <w:tc>
          <w:tcPr>
            <w:tcW w:w="22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d'administration ou le comité exécutif et sera en vigueur au</w:t>
            </w:r>
          </w:p>
        </w:tc>
      </w:tr>
      <w:tr>
        <w:trPr>
          <w:trHeight w:val="217"/>
        </w:trPr>
        <w:tc>
          <w:tcPr>
            <w:tcW w:w="5540" w:type="dxa"/>
            <w:vAlign w:val="bottom"/>
            <w:tcBorders>
              <w:left w:val="single" w:sz="8" w:color="auto"/>
              <w:right w:val="single" w:sz="8" w:color="auto"/>
            </w:tcBorders>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548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bénéfice de ses héritiers, exécuteurs et administrateurs.</w:t>
            </w:r>
          </w:p>
        </w:tc>
      </w:tr>
      <w:tr>
        <w:trPr>
          <w:trHeight w:val="54"/>
        </w:trPr>
        <w:tc>
          <w:tcPr>
            <w:tcW w:w="5540" w:type="dxa"/>
            <w:vAlign w:val="bottom"/>
            <w:tcBorders>
              <w:left w:val="single" w:sz="8" w:color="auto"/>
              <w:bottom w:val="single" w:sz="8" w:color="auto"/>
              <w:right w:val="single" w:sz="8" w:color="auto"/>
            </w:tcBorders>
          </w:tcPr>
          <w:p>
            <w:pPr>
              <w:spacing w:after="0"/>
              <w:rPr>
                <w:sz w:val="4"/>
                <w:szCs w:val="4"/>
                <w:color w:val="auto"/>
              </w:rPr>
            </w:pPr>
          </w:p>
        </w:tc>
        <w:tc>
          <w:tcPr>
            <w:tcW w:w="220" w:type="dxa"/>
            <w:vAlign w:val="bottom"/>
            <w:tcBorders>
              <w:bottom w:val="single" w:sz="8" w:color="auto"/>
              <w:right w:val="single" w:sz="8" w:color="auto"/>
            </w:tcBorders>
          </w:tcPr>
          <w:p>
            <w:pPr>
              <w:spacing w:after="0"/>
              <w:rPr>
                <w:sz w:val="4"/>
                <w:szCs w:val="4"/>
                <w:color w:val="auto"/>
              </w:rPr>
            </w:pPr>
          </w:p>
        </w:tc>
        <w:tc>
          <w:tcPr>
            <w:tcW w:w="5480" w:type="dxa"/>
            <w:vAlign w:val="bottom"/>
            <w:tcBorders>
              <w:bottom w:val="single" w:sz="8" w:color="auto"/>
              <w:right w:val="single" w:sz="8" w:color="auto"/>
            </w:tcBorders>
          </w:tcPr>
          <w:p>
            <w:pPr>
              <w:spacing w:after="0"/>
              <w:rPr>
                <w:sz w:val="4"/>
                <w:szCs w:val="4"/>
                <w:color w:val="auto"/>
              </w:rPr>
            </w:pPr>
          </w:p>
        </w:tc>
      </w:tr>
      <w:tr>
        <w:trPr>
          <w:trHeight w:val="277"/>
        </w:trPr>
        <w:tc>
          <w:tcPr>
            <w:tcW w:w="554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b w:val="1"/>
                <w:bCs w:val="1"/>
                <w:color w:val="auto"/>
              </w:rPr>
              <w:t>VI. AUDITORS</w:t>
            </w:r>
          </w:p>
        </w:tc>
        <w:tc>
          <w:tcPr>
            <w:tcW w:w="220" w:type="dxa"/>
            <w:vAlign w:val="bottom"/>
            <w:tcBorders>
              <w:right w:val="single" w:sz="8" w:color="auto"/>
            </w:tcBorders>
          </w:tcPr>
          <w:p>
            <w:pPr>
              <w:spacing w:after="0"/>
              <w:rPr>
                <w:sz w:val="24"/>
                <w:szCs w:val="24"/>
                <w:color w:val="auto"/>
              </w:rPr>
            </w:pPr>
          </w:p>
        </w:tc>
        <w:tc>
          <w:tcPr>
            <w:tcW w:w="5480" w:type="dxa"/>
            <w:vAlign w:val="bottom"/>
            <w:tcBorders>
              <w:right w:val="single" w:sz="8" w:color="auto"/>
            </w:tcBorders>
          </w:tcPr>
          <w:p>
            <w:pPr>
              <w:ind w:left="60"/>
              <w:spacing w:after="0"/>
              <w:rPr>
                <w:sz w:val="20"/>
                <w:szCs w:val="20"/>
                <w:color w:val="auto"/>
              </w:rPr>
            </w:pPr>
            <w:r>
              <w:rPr>
                <w:rFonts w:ascii="Arial" w:cs="Arial" w:eastAsia="Arial" w:hAnsi="Arial"/>
                <w:sz w:val="18"/>
                <w:szCs w:val="18"/>
                <w:b w:val="1"/>
                <w:bCs w:val="1"/>
                <w:color w:val="auto"/>
              </w:rPr>
              <w:t>VI. ORGANE DE RÉVISION</w:t>
            </w:r>
          </w:p>
        </w:tc>
      </w:tr>
      <w:tr>
        <w:trPr>
          <w:trHeight w:val="54"/>
        </w:trPr>
        <w:tc>
          <w:tcPr>
            <w:tcW w:w="5540" w:type="dxa"/>
            <w:vAlign w:val="bottom"/>
            <w:tcBorders>
              <w:left w:val="single" w:sz="8" w:color="auto"/>
              <w:bottom w:val="single" w:sz="8" w:color="auto"/>
              <w:right w:val="single" w:sz="8" w:color="auto"/>
            </w:tcBorders>
          </w:tcPr>
          <w:p>
            <w:pPr>
              <w:spacing w:after="0"/>
              <w:rPr>
                <w:sz w:val="4"/>
                <w:szCs w:val="4"/>
                <w:color w:val="auto"/>
              </w:rPr>
            </w:pPr>
          </w:p>
        </w:tc>
        <w:tc>
          <w:tcPr>
            <w:tcW w:w="220" w:type="dxa"/>
            <w:vAlign w:val="bottom"/>
            <w:tcBorders>
              <w:bottom w:val="single" w:sz="8" w:color="auto"/>
              <w:right w:val="single" w:sz="8" w:color="auto"/>
            </w:tcBorders>
          </w:tcPr>
          <w:p>
            <w:pPr>
              <w:spacing w:after="0"/>
              <w:rPr>
                <w:sz w:val="4"/>
                <w:szCs w:val="4"/>
                <w:color w:val="auto"/>
              </w:rPr>
            </w:pPr>
          </w:p>
        </w:tc>
        <w:tc>
          <w:tcPr>
            <w:tcW w:w="5480" w:type="dxa"/>
            <w:vAlign w:val="bottom"/>
            <w:tcBorders>
              <w:bottom w:val="single" w:sz="8" w:color="auto"/>
              <w:right w:val="single" w:sz="8" w:color="auto"/>
            </w:tcBorders>
          </w:tcPr>
          <w:p>
            <w:pPr>
              <w:spacing w:after="0"/>
              <w:rPr>
                <w:sz w:val="4"/>
                <w:szCs w:val="4"/>
                <w:color w:val="auto"/>
              </w:rPr>
            </w:pPr>
          </w:p>
        </w:tc>
      </w:tr>
      <w:tr>
        <w:trPr>
          <w:trHeight w:val="277"/>
        </w:trPr>
        <w:tc>
          <w:tcPr>
            <w:tcW w:w="554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b w:val="1"/>
                <w:bCs w:val="1"/>
                <w:color w:val="auto"/>
              </w:rPr>
              <w:t>Art. 30 Election, Term</w:t>
            </w:r>
          </w:p>
        </w:tc>
        <w:tc>
          <w:tcPr>
            <w:tcW w:w="220" w:type="dxa"/>
            <w:vAlign w:val="bottom"/>
            <w:tcBorders>
              <w:right w:val="single" w:sz="8" w:color="auto"/>
            </w:tcBorders>
          </w:tcPr>
          <w:p>
            <w:pPr>
              <w:spacing w:after="0"/>
              <w:rPr>
                <w:sz w:val="24"/>
                <w:szCs w:val="24"/>
                <w:color w:val="auto"/>
              </w:rPr>
            </w:pPr>
          </w:p>
        </w:tc>
        <w:tc>
          <w:tcPr>
            <w:tcW w:w="5480" w:type="dxa"/>
            <w:vAlign w:val="bottom"/>
            <w:tcBorders>
              <w:right w:val="single" w:sz="8" w:color="auto"/>
            </w:tcBorders>
          </w:tcPr>
          <w:p>
            <w:pPr>
              <w:ind w:left="60"/>
              <w:spacing w:after="0"/>
              <w:rPr>
                <w:sz w:val="20"/>
                <w:szCs w:val="20"/>
                <w:color w:val="auto"/>
              </w:rPr>
            </w:pPr>
            <w:r>
              <w:rPr>
                <w:rFonts w:ascii="Arial" w:cs="Arial" w:eastAsia="Arial" w:hAnsi="Arial"/>
                <w:sz w:val="18"/>
                <w:szCs w:val="18"/>
                <w:b w:val="1"/>
                <w:bCs w:val="1"/>
                <w:color w:val="auto"/>
              </w:rPr>
              <w:t>Art. 30 Élection, durée</w:t>
            </w:r>
          </w:p>
        </w:tc>
      </w:tr>
      <w:tr>
        <w:trPr>
          <w:trHeight w:val="373"/>
        </w:trPr>
        <w:tc>
          <w:tcPr>
            <w:tcW w:w="554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The General Meeting shall elect one or more accountants as its</w:t>
            </w:r>
          </w:p>
        </w:tc>
        <w:tc>
          <w:tcPr>
            <w:tcW w:w="220" w:type="dxa"/>
            <w:vAlign w:val="bottom"/>
            <w:tcBorders>
              <w:right w:val="single" w:sz="8" w:color="auto"/>
            </w:tcBorders>
          </w:tcPr>
          <w:p>
            <w:pPr>
              <w:spacing w:after="0"/>
              <w:rPr>
                <w:sz w:val="24"/>
                <w:szCs w:val="24"/>
                <w:color w:val="auto"/>
              </w:rPr>
            </w:pPr>
          </w:p>
        </w:tc>
        <w:tc>
          <w:tcPr>
            <w:tcW w:w="548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L'assemblée générale nomme chaque année un ou plusieurs</w:t>
            </w:r>
          </w:p>
        </w:tc>
      </w:tr>
      <w:tr>
        <w:trPr>
          <w:trHeight w:val="221"/>
        </w:trPr>
        <w:tc>
          <w:tcPr>
            <w:tcW w:w="554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 xml:space="preserve">Auditors in terms of Articles 727 </w:t>
            </w:r>
            <w:r>
              <w:rPr>
                <w:rFonts w:ascii="Arial" w:cs="Arial" w:eastAsia="Arial" w:hAnsi="Arial"/>
                <w:sz w:val="18"/>
                <w:szCs w:val="18"/>
                <w:i w:val="1"/>
                <w:iCs w:val="1"/>
                <w:color w:val="auto"/>
              </w:rPr>
              <w:t>et seq.</w:t>
            </w:r>
            <w:r>
              <w:rPr>
                <w:rFonts w:ascii="Arial" w:cs="Arial" w:eastAsia="Arial" w:hAnsi="Arial"/>
                <w:sz w:val="18"/>
                <w:szCs w:val="18"/>
                <w:color w:val="auto"/>
              </w:rPr>
              <w:t xml:space="preserve"> CO every year with the</w:t>
            </w:r>
          </w:p>
        </w:tc>
        <w:tc>
          <w:tcPr>
            <w:tcW w:w="220" w:type="dxa"/>
            <w:vAlign w:val="bottom"/>
            <w:tcBorders>
              <w:right w:val="single" w:sz="8" w:color="auto"/>
            </w:tcBorders>
          </w:tcPr>
          <w:p>
            <w:pPr>
              <w:spacing w:after="0"/>
              <w:rPr>
                <w:sz w:val="19"/>
                <w:szCs w:val="19"/>
                <w:color w:val="auto"/>
              </w:rPr>
            </w:pPr>
          </w:p>
        </w:tc>
        <w:tc>
          <w:tcPr>
            <w:tcW w:w="548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réviseurs comme organe de révision selon les articles 727 ss. CO</w:t>
            </w:r>
          </w:p>
        </w:tc>
      </w:tr>
      <w:tr>
        <w:trPr>
          <w:trHeight w:val="217"/>
        </w:trPr>
        <w:tc>
          <w:tcPr>
            <w:tcW w:w="554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rights and duties determined by law.</w:t>
            </w:r>
          </w:p>
        </w:tc>
        <w:tc>
          <w:tcPr>
            <w:tcW w:w="220" w:type="dxa"/>
            <w:vAlign w:val="bottom"/>
            <w:tcBorders>
              <w:right w:val="single" w:sz="8" w:color="auto"/>
            </w:tcBorders>
          </w:tcPr>
          <w:p>
            <w:pPr>
              <w:spacing w:after="0"/>
              <w:rPr>
                <w:sz w:val="18"/>
                <w:szCs w:val="18"/>
                <w:color w:val="auto"/>
              </w:rPr>
            </w:pPr>
          </w:p>
        </w:tc>
        <w:tc>
          <w:tcPr>
            <w:tcW w:w="548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avec les droits et les devoirs déterminés par la loi.</w:t>
            </w:r>
          </w:p>
        </w:tc>
      </w:tr>
      <w:tr>
        <w:trPr>
          <w:trHeight w:val="54"/>
        </w:trPr>
        <w:tc>
          <w:tcPr>
            <w:tcW w:w="5540" w:type="dxa"/>
            <w:vAlign w:val="bottom"/>
            <w:tcBorders>
              <w:left w:val="single" w:sz="8" w:color="auto"/>
              <w:bottom w:val="single" w:sz="8" w:color="auto"/>
              <w:right w:val="single" w:sz="8" w:color="auto"/>
            </w:tcBorders>
          </w:tcPr>
          <w:p>
            <w:pPr>
              <w:spacing w:after="0"/>
              <w:rPr>
                <w:sz w:val="4"/>
                <w:szCs w:val="4"/>
                <w:color w:val="auto"/>
              </w:rPr>
            </w:pPr>
          </w:p>
        </w:tc>
        <w:tc>
          <w:tcPr>
            <w:tcW w:w="220" w:type="dxa"/>
            <w:vAlign w:val="bottom"/>
            <w:tcBorders>
              <w:bottom w:val="single" w:sz="8" w:color="auto"/>
              <w:right w:val="single" w:sz="8" w:color="auto"/>
            </w:tcBorders>
          </w:tcPr>
          <w:p>
            <w:pPr>
              <w:spacing w:after="0"/>
              <w:rPr>
                <w:sz w:val="4"/>
                <w:szCs w:val="4"/>
                <w:color w:val="auto"/>
              </w:rPr>
            </w:pPr>
          </w:p>
        </w:tc>
        <w:tc>
          <w:tcPr>
            <w:tcW w:w="5480" w:type="dxa"/>
            <w:vAlign w:val="bottom"/>
            <w:tcBorders>
              <w:bottom w:val="single" w:sz="8" w:color="auto"/>
              <w:right w:val="single" w:sz="8" w:color="auto"/>
            </w:tcBorders>
          </w:tcPr>
          <w:p>
            <w:pPr>
              <w:spacing w:after="0"/>
              <w:rPr>
                <w:sz w:val="4"/>
                <w:szCs w:val="4"/>
                <w:color w:val="auto"/>
              </w:rPr>
            </w:pPr>
          </w:p>
        </w:tc>
      </w:tr>
      <w:tr>
        <w:trPr>
          <w:trHeight w:val="263"/>
        </w:trPr>
        <w:tc>
          <w:tcPr>
            <w:tcW w:w="554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The General Meeting may appoint Special Auditors for a term of up</w:t>
            </w:r>
          </w:p>
        </w:tc>
        <w:tc>
          <w:tcPr>
            <w:tcW w:w="220" w:type="dxa"/>
            <w:vAlign w:val="bottom"/>
            <w:tcBorders>
              <w:right w:val="single" w:sz="8" w:color="auto"/>
            </w:tcBorders>
          </w:tcPr>
          <w:p>
            <w:pPr>
              <w:spacing w:after="0"/>
              <w:rPr>
                <w:sz w:val="22"/>
                <w:szCs w:val="22"/>
                <w:color w:val="auto"/>
              </w:rPr>
            </w:pPr>
          </w:p>
        </w:tc>
        <w:tc>
          <w:tcPr>
            <w:tcW w:w="548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L'assemblée générale peut nommer des réviseurs spéciaux pour</w:t>
            </w:r>
          </w:p>
        </w:tc>
      </w:tr>
      <w:tr>
        <w:trPr>
          <w:trHeight w:val="202"/>
        </w:trPr>
        <w:tc>
          <w:tcPr>
            <w:tcW w:w="5540" w:type="dxa"/>
            <w:vAlign w:val="bottom"/>
            <w:tcBorders>
              <w:left w:val="single" w:sz="8" w:color="auto"/>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to three years who provide the attestations required for capital</w:t>
            </w:r>
          </w:p>
        </w:tc>
        <w:tc>
          <w:tcPr>
            <w:tcW w:w="22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une  durée  de  trois  ans  au  maximum  qui  fournissent  les</w:t>
            </w:r>
          </w:p>
        </w:tc>
      </w:tr>
      <w:tr>
        <w:trPr>
          <w:trHeight w:val="217"/>
        </w:trPr>
        <w:tc>
          <w:tcPr>
            <w:tcW w:w="554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increases.</w:t>
            </w:r>
          </w:p>
        </w:tc>
        <w:tc>
          <w:tcPr>
            <w:tcW w:w="220" w:type="dxa"/>
            <w:vAlign w:val="bottom"/>
            <w:tcBorders>
              <w:right w:val="single" w:sz="8" w:color="auto"/>
            </w:tcBorders>
          </w:tcPr>
          <w:p>
            <w:pPr>
              <w:spacing w:after="0"/>
              <w:rPr>
                <w:sz w:val="18"/>
                <w:szCs w:val="18"/>
                <w:color w:val="auto"/>
              </w:rPr>
            </w:pPr>
          </w:p>
        </w:tc>
        <w:tc>
          <w:tcPr>
            <w:tcW w:w="548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attestations requises pour les augmentations de capital.</w:t>
            </w:r>
          </w:p>
        </w:tc>
      </w:tr>
      <w:tr>
        <w:trPr>
          <w:trHeight w:val="54"/>
        </w:trPr>
        <w:tc>
          <w:tcPr>
            <w:tcW w:w="5540" w:type="dxa"/>
            <w:vAlign w:val="bottom"/>
            <w:tcBorders>
              <w:left w:val="single" w:sz="8" w:color="auto"/>
              <w:bottom w:val="single" w:sz="8" w:color="auto"/>
              <w:right w:val="single" w:sz="8" w:color="auto"/>
            </w:tcBorders>
          </w:tcPr>
          <w:p>
            <w:pPr>
              <w:spacing w:after="0"/>
              <w:rPr>
                <w:sz w:val="4"/>
                <w:szCs w:val="4"/>
                <w:color w:val="auto"/>
              </w:rPr>
            </w:pPr>
          </w:p>
        </w:tc>
        <w:tc>
          <w:tcPr>
            <w:tcW w:w="220" w:type="dxa"/>
            <w:vAlign w:val="bottom"/>
            <w:tcBorders>
              <w:bottom w:val="single" w:sz="8" w:color="auto"/>
              <w:right w:val="single" w:sz="8" w:color="auto"/>
            </w:tcBorders>
          </w:tcPr>
          <w:p>
            <w:pPr>
              <w:spacing w:after="0"/>
              <w:rPr>
                <w:sz w:val="4"/>
                <w:szCs w:val="4"/>
                <w:color w:val="auto"/>
              </w:rPr>
            </w:pPr>
          </w:p>
        </w:tc>
        <w:tc>
          <w:tcPr>
            <w:tcW w:w="5480" w:type="dxa"/>
            <w:vAlign w:val="bottom"/>
            <w:tcBorders>
              <w:bottom w:val="single" w:sz="8" w:color="auto"/>
              <w:right w:val="single" w:sz="8" w:color="auto"/>
            </w:tcBorders>
          </w:tcPr>
          <w:p>
            <w:pPr>
              <w:spacing w:after="0"/>
              <w:rPr>
                <w:sz w:val="4"/>
                <w:szCs w:val="4"/>
                <w:color w:val="auto"/>
              </w:rPr>
            </w:pPr>
          </w:p>
        </w:tc>
      </w:tr>
      <w:tr>
        <w:trPr>
          <w:trHeight w:val="277"/>
        </w:trPr>
        <w:tc>
          <w:tcPr>
            <w:tcW w:w="554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b w:val="1"/>
                <w:bCs w:val="1"/>
                <w:color w:val="auto"/>
              </w:rPr>
              <w:t>Art. 31 Duties</w:t>
            </w:r>
          </w:p>
        </w:tc>
        <w:tc>
          <w:tcPr>
            <w:tcW w:w="220" w:type="dxa"/>
            <w:vAlign w:val="bottom"/>
            <w:tcBorders>
              <w:right w:val="single" w:sz="8" w:color="auto"/>
            </w:tcBorders>
          </w:tcPr>
          <w:p>
            <w:pPr>
              <w:spacing w:after="0"/>
              <w:rPr>
                <w:sz w:val="24"/>
                <w:szCs w:val="24"/>
                <w:color w:val="auto"/>
              </w:rPr>
            </w:pPr>
          </w:p>
        </w:tc>
        <w:tc>
          <w:tcPr>
            <w:tcW w:w="5480" w:type="dxa"/>
            <w:vAlign w:val="bottom"/>
            <w:tcBorders>
              <w:right w:val="single" w:sz="8" w:color="auto"/>
            </w:tcBorders>
          </w:tcPr>
          <w:p>
            <w:pPr>
              <w:ind w:left="60"/>
              <w:spacing w:after="0"/>
              <w:rPr>
                <w:sz w:val="20"/>
                <w:szCs w:val="20"/>
                <w:color w:val="auto"/>
              </w:rPr>
            </w:pPr>
            <w:r>
              <w:rPr>
                <w:rFonts w:ascii="Arial" w:cs="Arial" w:eastAsia="Arial" w:hAnsi="Arial"/>
                <w:sz w:val="18"/>
                <w:szCs w:val="18"/>
                <w:b w:val="1"/>
                <w:bCs w:val="1"/>
                <w:color w:val="auto"/>
              </w:rPr>
              <w:t>Art. 31 Fonctions</w:t>
            </w:r>
          </w:p>
        </w:tc>
      </w:tr>
      <w:tr>
        <w:trPr>
          <w:trHeight w:val="391"/>
        </w:trPr>
        <w:tc>
          <w:tcPr>
            <w:tcW w:w="554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The Auditors shall perform their duties to audit and report whether</w:t>
            </w:r>
          </w:p>
        </w:tc>
        <w:tc>
          <w:tcPr>
            <w:tcW w:w="220" w:type="dxa"/>
            <w:vAlign w:val="bottom"/>
            <w:tcBorders>
              <w:right w:val="single" w:sz="8" w:color="auto"/>
            </w:tcBorders>
          </w:tcPr>
          <w:p>
            <w:pPr>
              <w:spacing w:after="0"/>
              <w:rPr>
                <w:sz w:val="24"/>
                <w:szCs w:val="24"/>
                <w:color w:val="auto"/>
              </w:rPr>
            </w:pPr>
          </w:p>
        </w:tc>
        <w:tc>
          <w:tcPr>
            <w:tcW w:w="548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L'organe de révision vérifie et rapporte si la comptabilité, les</w:t>
            </w:r>
          </w:p>
        </w:tc>
      </w:tr>
      <w:tr>
        <w:trPr>
          <w:trHeight w:val="203"/>
        </w:trPr>
        <w:tc>
          <w:tcPr>
            <w:tcW w:w="5540" w:type="dxa"/>
            <w:vAlign w:val="bottom"/>
            <w:tcBorders>
              <w:left w:val="single" w:sz="8" w:color="auto"/>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the accounting, the annual accounts and the proposal regarding</w:t>
            </w:r>
          </w:p>
        </w:tc>
        <w:tc>
          <w:tcPr>
            <w:tcW w:w="22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comptes annuels et la proposition relative à la répartition des</w:t>
            </w:r>
          </w:p>
        </w:tc>
      </w:tr>
      <w:tr>
        <w:trPr>
          <w:trHeight w:val="203"/>
        </w:trPr>
        <w:tc>
          <w:tcPr>
            <w:tcW w:w="5540" w:type="dxa"/>
            <w:vAlign w:val="bottom"/>
            <w:tcBorders>
              <w:left w:val="single" w:sz="8" w:color="auto"/>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allocation of profits are in accordance with law and the Articles of</w:t>
            </w:r>
          </w:p>
        </w:tc>
        <w:tc>
          <w:tcPr>
            <w:tcW w:w="22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bénéfices sont en conformité avec la loi et les statuts.</w:t>
            </w:r>
          </w:p>
        </w:tc>
      </w:tr>
      <w:tr>
        <w:trPr>
          <w:trHeight w:val="217"/>
        </w:trPr>
        <w:tc>
          <w:tcPr>
            <w:tcW w:w="554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Association.</w:t>
            </w:r>
          </w:p>
        </w:tc>
        <w:tc>
          <w:tcPr>
            <w:tcW w:w="220" w:type="dxa"/>
            <w:vAlign w:val="bottom"/>
            <w:tcBorders>
              <w:right w:val="single" w:sz="8" w:color="auto"/>
            </w:tcBorders>
          </w:tcPr>
          <w:p>
            <w:pPr>
              <w:spacing w:after="0"/>
              <w:rPr>
                <w:sz w:val="18"/>
                <w:szCs w:val="18"/>
                <w:color w:val="auto"/>
              </w:rPr>
            </w:pPr>
          </w:p>
        </w:tc>
        <w:tc>
          <w:tcPr>
            <w:tcW w:w="5480" w:type="dxa"/>
            <w:vAlign w:val="bottom"/>
            <w:tcBorders>
              <w:right w:val="single" w:sz="8" w:color="auto"/>
            </w:tcBorders>
          </w:tcPr>
          <w:p>
            <w:pPr>
              <w:spacing w:after="0"/>
              <w:rPr>
                <w:sz w:val="18"/>
                <w:szCs w:val="18"/>
                <w:color w:val="auto"/>
              </w:rPr>
            </w:pPr>
          </w:p>
        </w:tc>
      </w:tr>
      <w:tr>
        <w:trPr>
          <w:trHeight w:val="54"/>
        </w:trPr>
        <w:tc>
          <w:tcPr>
            <w:tcW w:w="5540" w:type="dxa"/>
            <w:vAlign w:val="bottom"/>
            <w:tcBorders>
              <w:left w:val="single" w:sz="8" w:color="auto"/>
              <w:bottom w:val="single" w:sz="8" w:color="auto"/>
              <w:right w:val="single" w:sz="8" w:color="auto"/>
            </w:tcBorders>
          </w:tcPr>
          <w:p>
            <w:pPr>
              <w:spacing w:after="0"/>
              <w:rPr>
                <w:sz w:val="4"/>
                <w:szCs w:val="4"/>
                <w:color w:val="auto"/>
              </w:rPr>
            </w:pPr>
          </w:p>
        </w:tc>
        <w:tc>
          <w:tcPr>
            <w:tcW w:w="220" w:type="dxa"/>
            <w:vAlign w:val="bottom"/>
            <w:tcBorders>
              <w:bottom w:val="single" w:sz="8" w:color="auto"/>
              <w:right w:val="single" w:sz="8" w:color="auto"/>
            </w:tcBorders>
          </w:tcPr>
          <w:p>
            <w:pPr>
              <w:spacing w:after="0"/>
              <w:rPr>
                <w:sz w:val="4"/>
                <w:szCs w:val="4"/>
                <w:color w:val="auto"/>
              </w:rPr>
            </w:pPr>
          </w:p>
        </w:tc>
        <w:tc>
          <w:tcPr>
            <w:tcW w:w="5480" w:type="dxa"/>
            <w:vAlign w:val="bottom"/>
            <w:tcBorders>
              <w:bottom w:val="single" w:sz="8" w:color="auto"/>
              <w:right w:val="single" w:sz="8" w:color="auto"/>
            </w:tcBorders>
          </w:tcPr>
          <w:p>
            <w:pPr>
              <w:spacing w:after="0"/>
              <w:rPr>
                <w:sz w:val="4"/>
                <w:szCs w:val="4"/>
                <w:color w:val="auto"/>
              </w:rPr>
            </w:pPr>
          </w:p>
        </w:tc>
      </w:tr>
      <w:tr>
        <w:trPr>
          <w:trHeight w:val="453"/>
        </w:trPr>
        <w:tc>
          <w:tcPr>
            <w:tcW w:w="55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54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249" w:right="339" w:bottom="1440" w:gutter="0" w:footer="0" w:header="0"/>
        </w:sectPr>
      </w:pPr>
    </w:p>
    <w:bookmarkStart w:id="63" w:name="page64"/>
    <w:bookmarkEnd w:id="63"/>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187"/>
        </w:trPr>
        <w:tc>
          <w:tcPr>
            <w:tcW w:w="554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5480" w:type="dxa"/>
            <w:vAlign w:val="bottom"/>
            <w:tcBorders>
              <w:bottom w:val="single" w:sz="8" w:color="auto"/>
            </w:tcBorders>
          </w:tcPr>
          <w:p>
            <w:pPr>
              <w:ind w:left="5260"/>
              <w:spacing w:after="0"/>
              <w:rPr>
                <w:sz w:val="20"/>
                <w:szCs w:val="20"/>
                <w:color w:val="auto"/>
              </w:rPr>
            </w:pPr>
            <w:r>
              <w:rPr>
                <w:rFonts w:ascii="Arial" w:cs="Arial" w:eastAsia="Arial" w:hAnsi="Arial"/>
                <w:sz w:val="16"/>
                <w:szCs w:val="16"/>
                <w:color w:val="auto"/>
              </w:rPr>
              <w:t>25</w:t>
            </w:r>
          </w:p>
        </w:tc>
        <w:tc>
          <w:tcPr>
            <w:tcW w:w="0" w:type="dxa"/>
            <w:vAlign w:val="bottom"/>
          </w:tcPr>
          <w:p>
            <w:pPr>
              <w:spacing w:after="0"/>
              <w:rPr>
                <w:sz w:val="1"/>
                <w:szCs w:val="1"/>
                <w:color w:val="auto"/>
              </w:rPr>
            </w:pPr>
          </w:p>
        </w:tc>
      </w:tr>
      <w:tr>
        <w:trPr>
          <w:trHeight w:val="277"/>
        </w:trPr>
        <w:tc>
          <w:tcPr>
            <w:tcW w:w="554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b w:val="1"/>
                <w:bCs w:val="1"/>
                <w:color w:val="auto"/>
              </w:rPr>
              <w:t>VII. COMPENSATION AND RELATED PROVISIONS</w:t>
            </w:r>
          </w:p>
        </w:tc>
        <w:tc>
          <w:tcPr>
            <w:tcW w:w="220" w:type="dxa"/>
            <w:vAlign w:val="bottom"/>
            <w:tcBorders>
              <w:right w:val="single" w:sz="8" w:color="auto"/>
            </w:tcBorders>
          </w:tcPr>
          <w:p>
            <w:pPr>
              <w:spacing w:after="0"/>
              <w:rPr>
                <w:sz w:val="24"/>
                <w:szCs w:val="24"/>
                <w:color w:val="auto"/>
              </w:rPr>
            </w:pPr>
          </w:p>
        </w:tc>
        <w:tc>
          <w:tcPr>
            <w:tcW w:w="5480" w:type="dxa"/>
            <w:vAlign w:val="bottom"/>
            <w:tcBorders>
              <w:right w:val="single" w:sz="8" w:color="auto"/>
            </w:tcBorders>
          </w:tcPr>
          <w:p>
            <w:pPr>
              <w:ind w:left="60"/>
              <w:spacing w:after="0"/>
              <w:rPr>
                <w:sz w:val="20"/>
                <w:szCs w:val="20"/>
                <w:color w:val="auto"/>
              </w:rPr>
            </w:pPr>
            <w:r>
              <w:rPr>
                <w:rFonts w:ascii="Arial" w:cs="Arial" w:eastAsia="Arial" w:hAnsi="Arial"/>
                <w:sz w:val="18"/>
                <w:szCs w:val="18"/>
                <w:b w:val="1"/>
                <w:bCs w:val="1"/>
                <w:color w:val="auto"/>
              </w:rPr>
              <w:t>VII. RÉMUNÉRATION ET DISPOSITIONS ANALOGUES</w:t>
            </w:r>
          </w:p>
        </w:tc>
        <w:tc>
          <w:tcPr>
            <w:tcW w:w="0" w:type="dxa"/>
            <w:vAlign w:val="bottom"/>
          </w:tcPr>
          <w:p>
            <w:pPr>
              <w:spacing w:after="0"/>
              <w:rPr>
                <w:sz w:val="1"/>
                <w:szCs w:val="1"/>
                <w:color w:val="auto"/>
              </w:rPr>
            </w:pPr>
          </w:p>
        </w:tc>
      </w:tr>
      <w:tr>
        <w:trPr>
          <w:trHeight w:val="54"/>
        </w:trPr>
        <w:tc>
          <w:tcPr>
            <w:tcW w:w="5540" w:type="dxa"/>
            <w:vAlign w:val="bottom"/>
            <w:tcBorders>
              <w:left w:val="single" w:sz="8" w:color="auto"/>
              <w:bottom w:val="single" w:sz="8" w:color="auto"/>
              <w:right w:val="single" w:sz="8" w:color="auto"/>
            </w:tcBorders>
          </w:tcPr>
          <w:p>
            <w:pPr>
              <w:spacing w:after="0"/>
              <w:rPr>
                <w:sz w:val="4"/>
                <w:szCs w:val="4"/>
                <w:color w:val="auto"/>
              </w:rPr>
            </w:pPr>
          </w:p>
        </w:tc>
        <w:tc>
          <w:tcPr>
            <w:tcW w:w="220" w:type="dxa"/>
            <w:vAlign w:val="bottom"/>
            <w:tcBorders>
              <w:bottom w:val="single" w:sz="8" w:color="auto"/>
              <w:right w:val="single" w:sz="8" w:color="auto"/>
            </w:tcBorders>
          </w:tcPr>
          <w:p>
            <w:pPr>
              <w:spacing w:after="0"/>
              <w:rPr>
                <w:sz w:val="4"/>
                <w:szCs w:val="4"/>
                <w:color w:val="auto"/>
              </w:rPr>
            </w:pPr>
          </w:p>
        </w:tc>
        <w:tc>
          <w:tcPr>
            <w:tcW w:w="548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1"/>
        </w:trPr>
        <w:tc>
          <w:tcPr>
            <w:tcW w:w="554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b w:val="1"/>
                <w:bCs w:val="1"/>
                <w:color w:val="auto"/>
              </w:rPr>
              <w:t>Art.  32  Principles  of  the  Compensation  of  the  Board  of</w:t>
            </w:r>
          </w:p>
        </w:tc>
        <w:tc>
          <w:tcPr>
            <w:tcW w:w="220" w:type="dxa"/>
            <w:vAlign w:val="bottom"/>
            <w:tcBorders>
              <w:right w:val="single" w:sz="8" w:color="auto"/>
            </w:tcBorders>
          </w:tcPr>
          <w:p>
            <w:pPr>
              <w:spacing w:after="0"/>
              <w:rPr>
                <w:sz w:val="20"/>
                <w:szCs w:val="20"/>
                <w:color w:val="auto"/>
              </w:rPr>
            </w:pPr>
          </w:p>
        </w:tc>
        <w:tc>
          <w:tcPr>
            <w:tcW w:w="5480" w:type="dxa"/>
            <w:vAlign w:val="bottom"/>
            <w:tcBorders>
              <w:right w:val="single" w:sz="8" w:color="auto"/>
            </w:tcBorders>
          </w:tcPr>
          <w:p>
            <w:pPr>
              <w:ind w:left="60"/>
              <w:spacing w:after="0"/>
              <w:rPr>
                <w:sz w:val="20"/>
                <w:szCs w:val="20"/>
                <w:color w:val="auto"/>
              </w:rPr>
            </w:pPr>
            <w:r>
              <w:rPr>
                <w:rFonts w:ascii="Arial" w:cs="Arial" w:eastAsia="Arial" w:hAnsi="Arial"/>
                <w:sz w:val="18"/>
                <w:szCs w:val="18"/>
                <w:b w:val="1"/>
                <w:bCs w:val="1"/>
                <w:color w:val="auto"/>
              </w:rPr>
              <w:t>Art. 32 Principes de rémunération du conseil d'administration</w:t>
            </w:r>
          </w:p>
        </w:tc>
        <w:tc>
          <w:tcPr>
            <w:tcW w:w="0" w:type="dxa"/>
            <w:vAlign w:val="bottom"/>
          </w:tcPr>
          <w:p>
            <w:pPr>
              <w:spacing w:after="0"/>
              <w:rPr>
                <w:sz w:val="1"/>
                <w:szCs w:val="1"/>
                <w:color w:val="auto"/>
              </w:rPr>
            </w:pPr>
          </w:p>
        </w:tc>
      </w:tr>
      <w:tr>
        <w:trPr>
          <w:trHeight w:val="239"/>
        </w:trPr>
        <w:tc>
          <w:tcPr>
            <w:tcW w:w="554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b w:val="1"/>
                <w:bCs w:val="1"/>
                <w:color w:val="auto"/>
              </w:rPr>
              <w:t>Directors</w:t>
            </w:r>
          </w:p>
        </w:tc>
        <w:tc>
          <w:tcPr>
            <w:tcW w:w="220" w:type="dxa"/>
            <w:vAlign w:val="bottom"/>
            <w:tcBorders>
              <w:right w:val="single" w:sz="8" w:color="auto"/>
            </w:tcBorders>
          </w:tcPr>
          <w:p>
            <w:pPr>
              <w:spacing w:after="0"/>
              <w:rPr>
                <w:sz w:val="20"/>
                <w:szCs w:val="20"/>
                <w:color w:val="auto"/>
              </w:rPr>
            </w:pPr>
          </w:p>
        </w:tc>
        <w:tc>
          <w:tcPr>
            <w:tcW w:w="5480" w:type="dxa"/>
            <w:vAlign w:val="bottom"/>
            <w:tcBorders>
              <w:right w:val="single" w:sz="8" w:color="auto"/>
            </w:tcBorders>
            <w:vMerge w:val="restart"/>
          </w:tcPr>
          <w:p>
            <w:pPr>
              <w:ind w:left="60"/>
              <w:spacing w:after="0"/>
              <w:rPr>
                <w:sz w:val="20"/>
                <w:szCs w:val="20"/>
                <w:color w:val="auto"/>
              </w:rPr>
            </w:pPr>
            <w:r>
              <w:rPr>
                <w:rFonts w:ascii="Arial" w:cs="Arial" w:eastAsia="Arial" w:hAnsi="Arial"/>
                <w:sz w:val="18"/>
                <w:szCs w:val="18"/>
                <w:color w:val="auto"/>
              </w:rPr>
              <w:t>La  rémunération  des  membres  du  conseil  d'administration</w:t>
            </w:r>
          </w:p>
        </w:tc>
        <w:tc>
          <w:tcPr>
            <w:tcW w:w="0" w:type="dxa"/>
            <w:vAlign w:val="bottom"/>
          </w:tcPr>
          <w:p>
            <w:pPr>
              <w:spacing w:after="0"/>
              <w:rPr>
                <w:sz w:val="1"/>
                <w:szCs w:val="1"/>
                <w:color w:val="auto"/>
              </w:rPr>
            </w:pPr>
          </w:p>
        </w:tc>
      </w:tr>
      <w:tr>
        <w:trPr>
          <w:trHeight w:val="188"/>
        </w:trPr>
        <w:tc>
          <w:tcPr>
            <w:tcW w:w="5540" w:type="dxa"/>
            <w:vAlign w:val="bottom"/>
            <w:tcBorders>
              <w:left w:val="single" w:sz="8" w:color="auto"/>
              <w:right w:val="single" w:sz="8" w:color="auto"/>
            </w:tcBorders>
          </w:tcPr>
          <w:p>
            <w:pPr>
              <w:spacing w:after="0"/>
              <w:rPr>
                <w:sz w:val="16"/>
                <w:szCs w:val="16"/>
                <w:color w:val="auto"/>
              </w:rPr>
            </w:pPr>
          </w:p>
        </w:tc>
        <w:tc>
          <w:tcPr>
            <w:tcW w:w="220" w:type="dxa"/>
            <w:vAlign w:val="bottom"/>
            <w:tcBorders>
              <w:right w:val="single" w:sz="8" w:color="auto"/>
            </w:tcBorders>
          </w:tcPr>
          <w:p>
            <w:pPr>
              <w:spacing w:after="0"/>
              <w:rPr>
                <w:sz w:val="16"/>
                <w:szCs w:val="16"/>
                <w:color w:val="auto"/>
              </w:rPr>
            </w:pPr>
          </w:p>
        </w:tc>
        <w:tc>
          <w:tcPr>
            <w:tcW w:w="5480" w:type="dxa"/>
            <w:vAlign w:val="bottom"/>
            <w:tcBorders>
              <w:right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5540" w:type="dxa"/>
            <w:vAlign w:val="bottom"/>
            <w:tcBorders>
              <w:left w:val="single" w:sz="8" w:color="auto"/>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The  compensation  payable  to  the  members  of  the  Board of</w:t>
            </w:r>
          </w:p>
        </w:tc>
        <w:tc>
          <w:tcPr>
            <w:tcW w:w="22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comprend, sous réserve et dans les limites de l'approbation de la</w:t>
            </w:r>
          </w:p>
        </w:tc>
        <w:tc>
          <w:tcPr>
            <w:tcW w:w="0" w:type="dxa"/>
            <w:vAlign w:val="bottom"/>
          </w:tcPr>
          <w:p>
            <w:pPr>
              <w:spacing w:after="0"/>
              <w:rPr>
                <w:sz w:val="1"/>
                <w:szCs w:val="1"/>
                <w:color w:val="auto"/>
              </w:rPr>
            </w:pPr>
          </w:p>
        </w:tc>
      </w:tr>
      <w:tr>
        <w:trPr>
          <w:trHeight w:val="203"/>
        </w:trPr>
        <w:tc>
          <w:tcPr>
            <w:tcW w:w="5540" w:type="dxa"/>
            <w:vAlign w:val="bottom"/>
            <w:tcBorders>
              <w:left w:val="single" w:sz="8" w:color="auto"/>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Directors comprises, subject to and within the bounds of the</w:t>
            </w:r>
          </w:p>
        </w:tc>
        <w:tc>
          <w:tcPr>
            <w:tcW w:w="22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rémunération  totale  par  l'assemblée  générale,  les  éléments</w:t>
            </w:r>
          </w:p>
        </w:tc>
        <w:tc>
          <w:tcPr>
            <w:tcW w:w="0" w:type="dxa"/>
            <w:vAlign w:val="bottom"/>
          </w:tcPr>
          <w:p>
            <w:pPr>
              <w:spacing w:after="0"/>
              <w:rPr>
                <w:sz w:val="1"/>
                <w:szCs w:val="1"/>
                <w:color w:val="auto"/>
              </w:rPr>
            </w:pPr>
          </w:p>
        </w:tc>
      </w:tr>
      <w:tr>
        <w:trPr>
          <w:trHeight w:val="203"/>
        </w:trPr>
        <w:tc>
          <w:tcPr>
            <w:tcW w:w="5540" w:type="dxa"/>
            <w:vAlign w:val="bottom"/>
            <w:tcBorders>
              <w:left w:val="single" w:sz="8" w:color="auto"/>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approval by the General Meeting of the total compensation, the</w:t>
            </w:r>
          </w:p>
        </w:tc>
        <w:tc>
          <w:tcPr>
            <w:tcW w:w="22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suivants:</w:t>
            </w:r>
          </w:p>
        </w:tc>
        <w:tc>
          <w:tcPr>
            <w:tcW w:w="0" w:type="dxa"/>
            <w:vAlign w:val="bottom"/>
          </w:tcPr>
          <w:p>
            <w:pPr>
              <w:spacing w:after="0"/>
              <w:rPr>
                <w:sz w:val="1"/>
                <w:szCs w:val="1"/>
                <w:color w:val="auto"/>
              </w:rPr>
            </w:pPr>
          </w:p>
        </w:tc>
      </w:tr>
      <w:tr>
        <w:trPr>
          <w:trHeight w:val="217"/>
        </w:trPr>
        <w:tc>
          <w:tcPr>
            <w:tcW w:w="554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following elements:</w:t>
            </w:r>
          </w:p>
        </w:tc>
        <w:tc>
          <w:tcPr>
            <w:tcW w:w="220" w:type="dxa"/>
            <w:vAlign w:val="bottom"/>
            <w:tcBorders>
              <w:right w:val="single" w:sz="8" w:color="auto"/>
            </w:tcBorders>
          </w:tcPr>
          <w:p>
            <w:pPr>
              <w:spacing w:after="0"/>
              <w:rPr>
                <w:sz w:val="18"/>
                <w:szCs w:val="18"/>
                <w:color w:val="auto"/>
              </w:rPr>
            </w:pPr>
          </w:p>
        </w:tc>
        <w:tc>
          <w:tcPr>
            <w:tcW w:w="5480" w:type="dxa"/>
            <w:vAlign w:val="bottom"/>
            <w:tcBorders>
              <w:right w:val="single" w:sz="8" w:color="auto"/>
            </w:tcBorders>
            <w:vMerge w:val="restart"/>
          </w:tcPr>
          <w:p>
            <w:pPr>
              <w:ind w:left="60"/>
              <w:spacing w:after="0"/>
              <w:rPr>
                <w:sz w:val="20"/>
                <w:szCs w:val="20"/>
                <w:color w:val="auto"/>
              </w:rPr>
            </w:pPr>
            <w:r>
              <w:rPr>
                <w:rFonts w:ascii="Arial" w:cs="Arial" w:eastAsia="Arial" w:hAnsi="Arial"/>
                <w:sz w:val="18"/>
                <w:szCs w:val="18"/>
                <w:color w:val="auto"/>
              </w:rPr>
              <w:t>a)  une rémunération fixe de base;</w:t>
            </w:r>
          </w:p>
        </w:tc>
        <w:tc>
          <w:tcPr>
            <w:tcW w:w="0" w:type="dxa"/>
            <w:vAlign w:val="bottom"/>
          </w:tcPr>
          <w:p>
            <w:pPr>
              <w:spacing w:after="0"/>
              <w:rPr>
                <w:sz w:val="1"/>
                <w:szCs w:val="1"/>
                <w:color w:val="auto"/>
              </w:rPr>
            </w:pPr>
          </w:p>
        </w:tc>
      </w:tr>
      <w:tr>
        <w:trPr>
          <w:trHeight w:val="203"/>
        </w:trPr>
        <w:tc>
          <w:tcPr>
            <w:tcW w:w="5540" w:type="dxa"/>
            <w:vAlign w:val="bottom"/>
            <w:tcBorders>
              <w:left w:val="single" w:sz="8" w:color="auto"/>
              <w:right w:val="single" w:sz="8" w:color="auto"/>
            </w:tcBorders>
            <w:vMerge w:val="restart"/>
          </w:tcPr>
          <w:p>
            <w:pPr>
              <w:ind w:left="100"/>
              <w:spacing w:after="0"/>
              <w:rPr>
                <w:sz w:val="20"/>
                <w:szCs w:val="20"/>
                <w:color w:val="auto"/>
              </w:rPr>
            </w:pPr>
            <w:r>
              <w:rPr>
                <w:rFonts w:ascii="Arial" w:cs="Arial" w:eastAsia="Arial" w:hAnsi="Arial"/>
                <w:sz w:val="18"/>
                <w:szCs w:val="18"/>
                <w:color w:val="auto"/>
              </w:rPr>
              <w:t>a)  a fixed basic remuneration;</w:t>
            </w:r>
          </w:p>
        </w:tc>
        <w:tc>
          <w:tcPr>
            <w:tcW w:w="22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540" w:type="dxa"/>
            <w:vAlign w:val="bottom"/>
            <w:tcBorders>
              <w:left w:val="single" w:sz="8" w:color="auto"/>
              <w:right w:val="single" w:sz="8" w:color="auto"/>
            </w:tcBorders>
            <w:vMerge w:val="continue"/>
          </w:tcPr>
          <w:p>
            <w:pPr>
              <w:spacing w:after="0"/>
              <w:rPr>
                <w:sz w:val="17"/>
                <w:szCs w:val="17"/>
                <w:color w:val="auto"/>
              </w:rPr>
            </w:pPr>
          </w:p>
        </w:tc>
        <w:tc>
          <w:tcPr>
            <w:tcW w:w="22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vMerge w:val="restart"/>
          </w:tcPr>
          <w:p>
            <w:pPr>
              <w:ind w:left="60"/>
              <w:spacing w:after="0"/>
              <w:rPr>
                <w:sz w:val="20"/>
                <w:szCs w:val="20"/>
                <w:color w:val="auto"/>
              </w:rPr>
            </w:pPr>
            <w:r>
              <w:rPr>
                <w:rFonts w:ascii="Arial" w:cs="Arial" w:eastAsia="Arial" w:hAnsi="Arial"/>
                <w:sz w:val="18"/>
                <w:szCs w:val="18"/>
                <w:color w:val="auto"/>
              </w:rPr>
              <w:t>b)  des frais de commission fixes pour le travail dans un comité du</w:t>
            </w:r>
          </w:p>
        </w:tc>
        <w:tc>
          <w:tcPr>
            <w:tcW w:w="0" w:type="dxa"/>
            <w:vAlign w:val="bottom"/>
          </w:tcPr>
          <w:p>
            <w:pPr>
              <w:spacing w:after="0"/>
              <w:rPr>
                <w:sz w:val="1"/>
                <w:szCs w:val="1"/>
                <w:color w:val="auto"/>
              </w:rPr>
            </w:pPr>
          </w:p>
        </w:tc>
      </w:tr>
      <w:tr>
        <w:trPr>
          <w:trHeight w:val="188"/>
        </w:trPr>
        <w:tc>
          <w:tcPr>
            <w:tcW w:w="5540" w:type="dxa"/>
            <w:vAlign w:val="bottom"/>
            <w:tcBorders>
              <w:left w:val="single" w:sz="8" w:color="auto"/>
              <w:right w:val="single" w:sz="8" w:color="auto"/>
            </w:tcBorders>
          </w:tcPr>
          <w:p>
            <w:pPr>
              <w:spacing w:after="0"/>
              <w:rPr>
                <w:sz w:val="16"/>
                <w:szCs w:val="16"/>
                <w:color w:val="auto"/>
              </w:rPr>
            </w:pPr>
          </w:p>
        </w:tc>
        <w:tc>
          <w:tcPr>
            <w:tcW w:w="220" w:type="dxa"/>
            <w:vAlign w:val="bottom"/>
            <w:tcBorders>
              <w:right w:val="single" w:sz="8" w:color="auto"/>
            </w:tcBorders>
          </w:tcPr>
          <w:p>
            <w:pPr>
              <w:spacing w:after="0"/>
              <w:rPr>
                <w:sz w:val="16"/>
                <w:szCs w:val="16"/>
                <w:color w:val="auto"/>
              </w:rPr>
            </w:pPr>
          </w:p>
        </w:tc>
        <w:tc>
          <w:tcPr>
            <w:tcW w:w="5480" w:type="dxa"/>
            <w:vAlign w:val="bottom"/>
            <w:tcBorders>
              <w:right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5540" w:type="dxa"/>
            <w:vAlign w:val="bottom"/>
            <w:tcBorders>
              <w:left w:val="single" w:sz="8" w:color="auto"/>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b)  a fixed committee fee for work in a committee of the Board of</w:t>
            </w:r>
          </w:p>
        </w:tc>
        <w:tc>
          <w:tcPr>
            <w:tcW w:w="22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tcPr>
          <w:p>
            <w:pPr>
              <w:ind w:left="380"/>
              <w:spacing w:after="0" w:line="202" w:lineRule="exact"/>
              <w:rPr>
                <w:sz w:val="20"/>
                <w:szCs w:val="20"/>
                <w:color w:val="auto"/>
              </w:rPr>
            </w:pPr>
            <w:r>
              <w:rPr>
                <w:rFonts w:ascii="Arial" w:cs="Arial" w:eastAsia="Arial" w:hAnsi="Arial"/>
                <w:sz w:val="18"/>
                <w:szCs w:val="18"/>
                <w:color w:val="auto"/>
              </w:rPr>
              <w:t>conseil d'administration;</w:t>
            </w:r>
          </w:p>
        </w:tc>
        <w:tc>
          <w:tcPr>
            <w:tcW w:w="0" w:type="dxa"/>
            <w:vAlign w:val="bottom"/>
          </w:tcPr>
          <w:p>
            <w:pPr>
              <w:spacing w:after="0"/>
              <w:rPr>
                <w:sz w:val="1"/>
                <w:szCs w:val="1"/>
                <w:color w:val="auto"/>
              </w:rPr>
            </w:pPr>
          </w:p>
        </w:tc>
      </w:tr>
      <w:tr>
        <w:trPr>
          <w:trHeight w:val="217"/>
        </w:trPr>
        <w:tc>
          <w:tcPr>
            <w:tcW w:w="5540" w:type="dxa"/>
            <w:vAlign w:val="bottom"/>
            <w:tcBorders>
              <w:left w:val="single" w:sz="8" w:color="auto"/>
              <w:right w:val="single" w:sz="8" w:color="auto"/>
            </w:tcBorders>
          </w:tcPr>
          <w:p>
            <w:pPr>
              <w:ind w:left="540"/>
              <w:spacing w:after="0"/>
              <w:rPr>
                <w:sz w:val="20"/>
                <w:szCs w:val="20"/>
                <w:color w:val="auto"/>
              </w:rPr>
            </w:pPr>
            <w:r>
              <w:rPr>
                <w:rFonts w:ascii="Arial" w:cs="Arial" w:eastAsia="Arial" w:hAnsi="Arial"/>
                <w:sz w:val="18"/>
                <w:szCs w:val="18"/>
                <w:color w:val="auto"/>
              </w:rPr>
              <w:t>Directors;</w:t>
            </w:r>
          </w:p>
        </w:tc>
        <w:tc>
          <w:tcPr>
            <w:tcW w:w="220" w:type="dxa"/>
            <w:vAlign w:val="bottom"/>
            <w:tcBorders>
              <w:right w:val="single" w:sz="8" w:color="auto"/>
            </w:tcBorders>
          </w:tcPr>
          <w:p>
            <w:pPr>
              <w:spacing w:after="0"/>
              <w:rPr>
                <w:sz w:val="18"/>
                <w:szCs w:val="18"/>
                <w:color w:val="auto"/>
              </w:rPr>
            </w:pPr>
          </w:p>
        </w:tc>
        <w:tc>
          <w:tcPr>
            <w:tcW w:w="5480" w:type="dxa"/>
            <w:vAlign w:val="bottom"/>
            <w:tcBorders>
              <w:right w:val="single" w:sz="8" w:color="auto"/>
            </w:tcBorders>
            <w:vMerge w:val="restart"/>
          </w:tcPr>
          <w:p>
            <w:pPr>
              <w:ind w:left="60"/>
              <w:spacing w:after="0"/>
              <w:rPr>
                <w:sz w:val="20"/>
                <w:szCs w:val="20"/>
                <w:color w:val="auto"/>
              </w:rPr>
            </w:pPr>
            <w:r>
              <w:rPr>
                <w:rFonts w:ascii="Arial" w:cs="Arial" w:eastAsia="Arial" w:hAnsi="Arial"/>
                <w:sz w:val="18"/>
                <w:szCs w:val="18"/>
                <w:color w:val="auto"/>
              </w:rPr>
              <w:t>c)  une compensation forfaitaire pour les dépenses;</w:t>
            </w:r>
          </w:p>
        </w:tc>
        <w:tc>
          <w:tcPr>
            <w:tcW w:w="0" w:type="dxa"/>
            <w:vAlign w:val="bottom"/>
          </w:tcPr>
          <w:p>
            <w:pPr>
              <w:spacing w:after="0"/>
              <w:rPr>
                <w:sz w:val="1"/>
                <w:szCs w:val="1"/>
                <w:color w:val="auto"/>
              </w:rPr>
            </w:pPr>
          </w:p>
        </w:tc>
      </w:tr>
      <w:tr>
        <w:trPr>
          <w:trHeight w:val="203"/>
        </w:trPr>
        <w:tc>
          <w:tcPr>
            <w:tcW w:w="5540" w:type="dxa"/>
            <w:vAlign w:val="bottom"/>
            <w:tcBorders>
              <w:left w:val="single" w:sz="8" w:color="auto"/>
              <w:right w:val="single" w:sz="8" w:color="auto"/>
            </w:tcBorders>
            <w:vMerge w:val="restart"/>
          </w:tcPr>
          <w:p>
            <w:pPr>
              <w:ind w:left="100"/>
              <w:spacing w:after="0"/>
              <w:rPr>
                <w:sz w:val="20"/>
                <w:szCs w:val="20"/>
                <w:color w:val="auto"/>
              </w:rPr>
            </w:pPr>
            <w:r>
              <w:rPr>
                <w:rFonts w:ascii="Arial" w:cs="Arial" w:eastAsia="Arial" w:hAnsi="Arial"/>
                <w:sz w:val="18"/>
                <w:szCs w:val="18"/>
                <w:color w:val="auto"/>
              </w:rPr>
              <w:t>c)  a lump sum compensation for expenses;</w:t>
            </w:r>
          </w:p>
        </w:tc>
        <w:tc>
          <w:tcPr>
            <w:tcW w:w="22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540" w:type="dxa"/>
            <w:vAlign w:val="bottom"/>
            <w:tcBorders>
              <w:left w:val="single" w:sz="8" w:color="auto"/>
              <w:right w:val="single" w:sz="8" w:color="auto"/>
            </w:tcBorders>
            <w:vMerge w:val="continue"/>
          </w:tcPr>
          <w:p>
            <w:pPr>
              <w:spacing w:after="0"/>
              <w:rPr>
                <w:sz w:val="17"/>
                <w:szCs w:val="17"/>
                <w:color w:val="auto"/>
              </w:rPr>
            </w:pPr>
          </w:p>
        </w:tc>
        <w:tc>
          <w:tcPr>
            <w:tcW w:w="22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vMerge w:val="restart"/>
          </w:tcPr>
          <w:p>
            <w:pPr>
              <w:ind w:left="60"/>
              <w:spacing w:after="0"/>
              <w:rPr>
                <w:sz w:val="20"/>
                <w:szCs w:val="20"/>
                <w:color w:val="auto"/>
              </w:rPr>
            </w:pPr>
            <w:r>
              <w:rPr>
                <w:rFonts w:ascii="Arial" w:cs="Arial" w:eastAsia="Arial" w:hAnsi="Arial"/>
                <w:sz w:val="18"/>
                <w:szCs w:val="18"/>
                <w:color w:val="auto"/>
              </w:rPr>
              <w:t>d)   un nombre d'actions ou d'options dans la société, comme</w:t>
            </w:r>
          </w:p>
        </w:tc>
        <w:tc>
          <w:tcPr>
            <w:tcW w:w="0" w:type="dxa"/>
            <w:vAlign w:val="bottom"/>
          </w:tcPr>
          <w:p>
            <w:pPr>
              <w:spacing w:after="0"/>
              <w:rPr>
                <w:sz w:val="1"/>
                <w:szCs w:val="1"/>
                <w:color w:val="auto"/>
              </w:rPr>
            </w:pPr>
          </w:p>
        </w:tc>
      </w:tr>
      <w:tr>
        <w:trPr>
          <w:trHeight w:val="188"/>
        </w:trPr>
        <w:tc>
          <w:tcPr>
            <w:tcW w:w="5540" w:type="dxa"/>
            <w:vAlign w:val="bottom"/>
            <w:tcBorders>
              <w:left w:val="single" w:sz="8" w:color="auto"/>
              <w:right w:val="single" w:sz="8" w:color="auto"/>
            </w:tcBorders>
          </w:tcPr>
          <w:p>
            <w:pPr>
              <w:spacing w:after="0"/>
              <w:rPr>
                <w:sz w:val="16"/>
                <w:szCs w:val="16"/>
                <w:color w:val="auto"/>
              </w:rPr>
            </w:pPr>
          </w:p>
        </w:tc>
        <w:tc>
          <w:tcPr>
            <w:tcW w:w="220" w:type="dxa"/>
            <w:vAlign w:val="bottom"/>
            <w:tcBorders>
              <w:right w:val="single" w:sz="8" w:color="auto"/>
            </w:tcBorders>
          </w:tcPr>
          <w:p>
            <w:pPr>
              <w:spacing w:after="0"/>
              <w:rPr>
                <w:sz w:val="16"/>
                <w:szCs w:val="16"/>
                <w:color w:val="auto"/>
              </w:rPr>
            </w:pPr>
          </w:p>
        </w:tc>
        <w:tc>
          <w:tcPr>
            <w:tcW w:w="5480" w:type="dxa"/>
            <w:vAlign w:val="bottom"/>
            <w:tcBorders>
              <w:right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5540" w:type="dxa"/>
            <w:vAlign w:val="bottom"/>
            <w:tcBorders>
              <w:left w:val="single" w:sz="8" w:color="auto"/>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d)   a number of options or shares in the Company, as further</w:t>
            </w:r>
          </w:p>
        </w:tc>
        <w:tc>
          <w:tcPr>
            <w:tcW w:w="22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tcPr>
          <w:p>
            <w:pPr>
              <w:ind w:left="380"/>
              <w:spacing w:after="0" w:line="202" w:lineRule="exact"/>
              <w:rPr>
                <w:sz w:val="20"/>
                <w:szCs w:val="20"/>
                <w:color w:val="auto"/>
              </w:rPr>
            </w:pPr>
            <w:r>
              <w:rPr>
                <w:rFonts w:ascii="Arial" w:cs="Arial" w:eastAsia="Arial" w:hAnsi="Arial"/>
                <w:sz w:val="18"/>
                <w:szCs w:val="18"/>
                <w:color w:val="auto"/>
              </w:rPr>
              <w:t>détaillée à l'art. 41.</w:t>
            </w:r>
          </w:p>
        </w:tc>
        <w:tc>
          <w:tcPr>
            <w:tcW w:w="0" w:type="dxa"/>
            <w:vAlign w:val="bottom"/>
          </w:tcPr>
          <w:p>
            <w:pPr>
              <w:spacing w:after="0"/>
              <w:rPr>
                <w:sz w:val="1"/>
                <w:szCs w:val="1"/>
                <w:color w:val="auto"/>
              </w:rPr>
            </w:pPr>
          </w:p>
        </w:tc>
      </w:tr>
      <w:tr>
        <w:trPr>
          <w:trHeight w:val="217"/>
        </w:trPr>
        <w:tc>
          <w:tcPr>
            <w:tcW w:w="5540" w:type="dxa"/>
            <w:vAlign w:val="bottom"/>
            <w:tcBorders>
              <w:left w:val="single" w:sz="8" w:color="auto"/>
              <w:right w:val="single" w:sz="8" w:color="auto"/>
            </w:tcBorders>
          </w:tcPr>
          <w:p>
            <w:pPr>
              <w:ind w:left="540"/>
              <w:spacing w:after="0"/>
              <w:rPr>
                <w:sz w:val="20"/>
                <w:szCs w:val="20"/>
                <w:color w:val="auto"/>
              </w:rPr>
            </w:pPr>
            <w:r>
              <w:rPr>
                <w:rFonts w:ascii="Arial" w:cs="Arial" w:eastAsia="Arial" w:hAnsi="Arial"/>
                <w:sz w:val="18"/>
                <w:szCs w:val="18"/>
                <w:color w:val="auto"/>
              </w:rPr>
              <w:t>outlined in Art. 41.</w:t>
            </w:r>
          </w:p>
        </w:tc>
        <w:tc>
          <w:tcPr>
            <w:tcW w:w="220" w:type="dxa"/>
            <w:vAlign w:val="bottom"/>
            <w:tcBorders>
              <w:right w:val="single" w:sz="8" w:color="auto"/>
            </w:tcBorders>
          </w:tcPr>
          <w:p>
            <w:pPr>
              <w:spacing w:after="0"/>
              <w:rPr>
                <w:sz w:val="18"/>
                <w:szCs w:val="18"/>
                <w:color w:val="auto"/>
              </w:rPr>
            </w:pPr>
          </w:p>
        </w:tc>
        <w:tc>
          <w:tcPr>
            <w:tcW w:w="54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54"/>
        </w:trPr>
        <w:tc>
          <w:tcPr>
            <w:tcW w:w="5540" w:type="dxa"/>
            <w:vAlign w:val="bottom"/>
            <w:tcBorders>
              <w:left w:val="single" w:sz="8" w:color="auto"/>
              <w:bottom w:val="single" w:sz="8" w:color="auto"/>
              <w:right w:val="single" w:sz="8" w:color="auto"/>
            </w:tcBorders>
          </w:tcPr>
          <w:p>
            <w:pPr>
              <w:spacing w:after="0"/>
              <w:rPr>
                <w:sz w:val="4"/>
                <w:szCs w:val="4"/>
                <w:color w:val="auto"/>
              </w:rPr>
            </w:pPr>
          </w:p>
        </w:tc>
        <w:tc>
          <w:tcPr>
            <w:tcW w:w="220" w:type="dxa"/>
            <w:vAlign w:val="bottom"/>
            <w:tcBorders>
              <w:bottom w:val="single" w:sz="8" w:color="auto"/>
              <w:right w:val="single" w:sz="8" w:color="auto"/>
            </w:tcBorders>
          </w:tcPr>
          <w:p>
            <w:pPr>
              <w:spacing w:after="0"/>
              <w:rPr>
                <w:sz w:val="4"/>
                <w:szCs w:val="4"/>
                <w:color w:val="auto"/>
              </w:rPr>
            </w:pPr>
          </w:p>
        </w:tc>
        <w:tc>
          <w:tcPr>
            <w:tcW w:w="548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554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The compensation is paid in cash and in form of options or shares</w:t>
            </w:r>
          </w:p>
        </w:tc>
        <w:tc>
          <w:tcPr>
            <w:tcW w:w="220" w:type="dxa"/>
            <w:vAlign w:val="bottom"/>
            <w:tcBorders>
              <w:right w:val="single" w:sz="8" w:color="auto"/>
            </w:tcBorders>
          </w:tcPr>
          <w:p>
            <w:pPr>
              <w:spacing w:after="0"/>
              <w:rPr>
                <w:sz w:val="22"/>
                <w:szCs w:val="22"/>
                <w:color w:val="auto"/>
              </w:rPr>
            </w:pPr>
          </w:p>
        </w:tc>
        <w:tc>
          <w:tcPr>
            <w:tcW w:w="548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La rémunération est versée en espèces et sous forme d'options ou</w:t>
            </w:r>
          </w:p>
        </w:tc>
        <w:tc>
          <w:tcPr>
            <w:tcW w:w="0" w:type="dxa"/>
            <w:vAlign w:val="bottom"/>
          </w:tcPr>
          <w:p>
            <w:pPr>
              <w:spacing w:after="0"/>
              <w:rPr>
                <w:sz w:val="1"/>
                <w:szCs w:val="1"/>
                <w:color w:val="auto"/>
              </w:rPr>
            </w:pPr>
          </w:p>
        </w:tc>
      </w:tr>
      <w:tr>
        <w:trPr>
          <w:trHeight w:val="203"/>
        </w:trPr>
        <w:tc>
          <w:tcPr>
            <w:tcW w:w="5540" w:type="dxa"/>
            <w:vAlign w:val="bottom"/>
            <w:tcBorders>
              <w:left w:val="single" w:sz="8" w:color="auto"/>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in the Company. The board of directors or, to the extent delegated</w:t>
            </w:r>
          </w:p>
        </w:tc>
        <w:tc>
          <w:tcPr>
            <w:tcW w:w="22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d'actions de la société. Le conseil d'administration ou, en cas de</w:t>
            </w:r>
          </w:p>
        </w:tc>
        <w:tc>
          <w:tcPr>
            <w:tcW w:w="0" w:type="dxa"/>
            <w:vAlign w:val="bottom"/>
          </w:tcPr>
          <w:p>
            <w:pPr>
              <w:spacing w:after="0"/>
              <w:rPr>
                <w:sz w:val="1"/>
                <w:szCs w:val="1"/>
                <w:color w:val="auto"/>
              </w:rPr>
            </w:pPr>
          </w:p>
        </w:tc>
      </w:tr>
      <w:tr>
        <w:trPr>
          <w:trHeight w:val="203"/>
        </w:trPr>
        <w:tc>
          <w:tcPr>
            <w:tcW w:w="5540" w:type="dxa"/>
            <w:vAlign w:val="bottom"/>
            <w:tcBorders>
              <w:left w:val="single" w:sz="8" w:color="auto"/>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to it, the compensation committee shall determine grant, exercise</w:t>
            </w:r>
          </w:p>
        </w:tc>
        <w:tc>
          <w:tcPr>
            <w:tcW w:w="22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délégation des fonctions, le comité de rémunération doit fixer les</w:t>
            </w:r>
          </w:p>
        </w:tc>
        <w:tc>
          <w:tcPr>
            <w:tcW w:w="0" w:type="dxa"/>
            <w:vAlign w:val="bottom"/>
          </w:tcPr>
          <w:p>
            <w:pPr>
              <w:spacing w:after="0"/>
              <w:rPr>
                <w:sz w:val="1"/>
                <w:szCs w:val="1"/>
                <w:color w:val="auto"/>
              </w:rPr>
            </w:pPr>
          </w:p>
        </w:tc>
      </w:tr>
      <w:tr>
        <w:trPr>
          <w:trHeight w:val="203"/>
        </w:trPr>
        <w:tc>
          <w:tcPr>
            <w:tcW w:w="5540" w:type="dxa"/>
            <w:vAlign w:val="bottom"/>
            <w:tcBorders>
              <w:left w:val="single" w:sz="8" w:color="auto"/>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and  forfeiture  conditions.  In  particular,  they  may  provide  for</w:t>
            </w:r>
          </w:p>
        </w:tc>
        <w:tc>
          <w:tcPr>
            <w:tcW w:w="22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conditions  de  l'octroi,  de  l'exercice  et  de  la  péremption.  En</w:t>
            </w:r>
          </w:p>
        </w:tc>
        <w:tc>
          <w:tcPr>
            <w:tcW w:w="0" w:type="dxa"/>
            <w:vAlign w:val="bottom"/>
          </w:tcPr>
          <w:p>
            <w:pPr>
              <w:spacing w:after="0"/>
              <w:rPr>
                <w:sz w:val="1"/>
                <w:szCs w:val="1"/>
                <w:color w:val="auto"/>
              </w:rPr>
            </w:pPr>
          </w:p>
        </w:tc>
      </w:tr>
      <w:tr>
        <w:trPr>
          <w:trHeight w:val="203"/>
        </w:trPr>
        <w:tc>
          <w:tcPr>
            <w:tcW w:w="5540" w:type="dxa"/>
            <w:vAlign w:val="bottom"/>
            <w:tcBorders>
              <w:left w:val="single" w:sz="8" w:color="auto"/>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continuation, acceleration or removal of vesting, exercise and</w:t>
            </w:r>
          </w:p>
        </w:tc>
        <w:tc>
          <w:tcPr>
            <w:tcW w:w="22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particulier,  il  peut  prévoir  la  poursuite,  l'accélération  ou  la</w:t>
            </w:r>
          </w:p>
        </w:tc>
        <w:tc>
          <w:tcPr>
            <w:tcW w:w="0" w:type="dxa"/>
            <w:vAlign w:val="bottom"/>
          </w:tcPr>
          <w:p>
            <w:pPr>
              <w:spacing w:after="0"/>
              <w:rPr>
                <w:sz w:val="1"/>
                <w:szCs w:val="1"/>
                <w:color w:val="auto"/>
              </w:rPr>
            </w:pPr>
          </w:p>
        </w:tc>
      </w:tr>
      <w:tr>
        <w:trPr>
          <w:trHeight w:val="203"/>
        </w:trPr>
        <w:tc>
          <w:tcPr>
            <w:tcW w:w="5540" w:type="dxa"/>
            <w:vAlign w:val="bottom"/>
            <w:tcBorders>
              <w:left w:val="single" w:sz="8" w:color="auto"/>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forfeiture conditions, for payment or grant of compensation based</w:t>
            </w:r>
          </w:p>
        </w:tc>
        <w:tc>
          <w:tcPr>
            <w:tcW w:w="22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suppression  des  conditions  d'acquisition,  d'exercice  et  de</w:t>
            </w:r>
          </w:p>
        </w:tc>
        <w:tc>
          <w:tcPr>
            <w:tcW w:w="0" w:type="dxa"/>
            <w:vAlign w:val="bottom"/>
          </w:tcPr>
          <w:p>
            <w:pPr>
              <w:spacing w:after="0"/>
              <w:rPr>
                <w:sz w:val="1"/>
                <w:szCs w:val="1"/>
                <w:color w:val="auto"/>
              </w:rPr>
            </w:pPr>
          </w:p>
        </w:tc>
      </w:tr>
      <w:tr>
        <w:trPr>
          <w:trHeight w:val="203"/>
        </w:trPr>
        <w:tc>
          <w:tcPr>
            <w:tcW w:w="5540" w:type="dxa"/>
            <w:vAlign w:val="bottom"/>
            <w:tcBorders>
              <w:left w:val="single" w:sz="8" w:color="auto"/>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upon assumed target achievement, or for forfeiture, in each case in</w:t>
            </w:r>
          </w:p>
        </w:tc>
        <w:tc>
          <w:tcPr>
            <w:tcW w:w="22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péremption, pour le paiement ou l'octroi d'une rémunération basée</w:t>
            </w:r>
          </w:p>
        </w:tc>
        <w:tc>
          <w:tcPr>
            <w:tcW w:w="0" w:type="dxa"/>
            <w:vAlign w:val="bottom"/>
          </w:tcPr>
          <w:p>
            <w:pPr>
              <w:spacing w:after="0"/>
              <w:rPr>
                <w:sz w:val="1"/>
                <w:szCs w:val="1"/>
                <w:color w:val="auto"/>
              </w:rPr>
            </w:pPr>
          </w:p>
        </w:tc>
      </w:tr>
      <w:tr>
        <w:trPr>
          <w:trHeight w:val="202"/>
        </w:trPr>
        <w:tc>
          <w:tcPr>
            <w:tcW w:w="5540" w:type="dxa"/>
            <w:vAlign w:val="bottom"/>
            <w:tcBorders>
              <w:left w:val="single" w:sz="8" w:color="auto"/>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the event of pre-determined events such as a change-of-control or</w:t>
            </w:r>
          </w:p>
        </w:tc>
        <w:tc>
          <w:tcPr>
            <w:tcW w:w="22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sur la réalisation des objectifs supposés, ou pour la péremption,</w:t>
            </w:r>
          </w:p>
        </w:tc>
        <w:tc>
          <w:tcPr>
            <w:tcW w:w="0" w:type="dxa"/>
            <w:vAlign w:val="bottom"/>
          </w:tcPr>
          <w:p>
            <w:pPr>
              <w:spacing w:after="0"/>
              <w:rPr>
                <w:sz w:val="1"/>
                <w:szCs w:val="1"/>
                <w:color w:val="auto"/>
              </w:rPr>
            </w:pPr>
          </w:p>
        </w:tc>
      </w:tr>
      <w:tr>
        <w:trPr>
          <w:trHeight w:val="203"/>
        </w:trPr>
        <w:tc>
          <w:tcPr>
            <w:tcW w:w="5540" w:type="dxa"/>
            <w:vAlign w:val="bottom"/>
            <w:tcBorders>
              <w:left w:val="single" w:sz="8" w:color="auto"/>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termination  of  an  employment  or  mandate  agreement.  The</w:t>
            </w:r>
          </w:p>
        </w:tc>
        <w:tc>
          <w:tcPr>
            <w:tcW w:w="22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dans chaque cas, dans le cas d'événements prédéterminés tels</w:t>
            </w:r>
          </w:p>
        </w:tc>
        <w:tc>
          <w:tcPr>
            <w:tcW w:w="0" w:type="dxa"/>
            <w:vAlign w:val="bottom"/>
          </w:tcPr>
          <w:p>
            <w:pPr>
              <w:spacing w:after="0"/>
              <w:rPr>
                <w:sz w:val="1"/>
                <w:szCs w:val="1"/>
                <w:color w:val="auto"/>
              </w:rPr>
            </w:pPr>
          </w:p>
        </w:tc>
      </w:tr>
      <w:tr>
        <w:trPr>
          <w:trHeight w:val="203"/>
        </w:trPr>
        <w:tc>
          <w:tcPr>
            <w:tcW w:w="5540" w:type="dxa"/>
            <w:vAlign w:val="bottom"/>
            <w:tcBorders>
              <w:left w:val="single" w:sz="8" w:color="auto"/>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Company may procure the required shares through purchases in</w:t>
            </w:r>
          </w:p>
        </w:tc>
        <w:tc>
          <w:tcPr>
            <w:tcW w:w="22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qu'un changement de contrôle ou la résiliation d'un contrat de</w:t>
            </w:r>
          </w:p>
        </w:tc>
        <w:tc>
          <w:tcPr>
            <w:tcW w:w="0" w:type="dxa"/>
            <w:vAlign w:val="bottom"/>
          </w:tcPr>
          <w:p>
            <w:pPr>
              <w:spacing w:after="0"/>
              <w:rPr>
                <w:sz w:val="1"/>
                <w:szCs w:val="1"/>
                <w:color w:val="auto"/>
              </w:rPr>
            </w:pPr>
          </w:p>
        </w:tc>
      </w:tr>
      <w:tr>
        <w:trPr>
          <w:trHeight w:val="203"/>
        </w:trPr>
        <w:tc>
          <w:tcPr>
            <w:tcW w:w="5540" w:type="dxa"/>
            <w:vAlign w:val="bottom"/>
            <w:tcBorders>
              <w:left w:val="single" w:sz="8" w:color="auto"/>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the  market,  from  treasury  shares  or  by  using  contingent  or</w:t>
            </w:r>
          </w:p>
        </w:tc>
        <w:tc>
          <w:tcPr>
            <w:tcW w:w="22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travail  ou  d'un  mandat.  La  société  peut  fournir  les  actions</w:t>
            </w:r>
          </w:p>
        </w:tc>
        <w:tc>
          <w:tcPr>
            <w:tcW w:w="0" w:type="dxa"/>
            <w:vAlign w:val="bottom"/>
          </w:tcPr>
          <w:p>
            <w:pPr>
              <w:spacing w:after="0"/>
              <w:rPr>
                <w:sz w:val="1"/>
                <w:szCs w:val="1"/>
                <w:color w:val="auto"/>
              </w:rPr>
            </w:pPr>
          </w:p>
        </w:tc>
      </w:tr>
      <w:tr>
        <w:trPr>
          <w:trHeight w:val="203"/>
        </w:trPr>
        <w:tc>
          <w:tcPr>
            <w:tcW w:w="5540" w:type="dxa"/>
            <w:vAlign w:val="bottom"/>
            <w:tcBorders>
              <w:left w:val="single" w:sz="8" w:color="auto"/>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authorized share capital.</w:t>
            </w:r>
          </w:p>
        </w:tc>
        <w:tc>
          <w:tcPr>
            <w:tcW w:w="22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nécessaires par des achats sur le marché, par ses actions propres</w:t>
            </w:r>
          </w:p>
        </w:tc>
        <w:tc>
          <w:tcPr>
            <w:tcW w:w="0" w:type="dxa"/>
            <w:vAlign w:val="bottom"/>
          </w:tcPr>
          <w:p>
            <w:pPr>
              <w:spacing w:after="0"/>
              <w:rPr>
                <w:sz w:val="1"/>
                <w:szCs w:val="1"/>
                <w:color w:val="auto"/>
              </w:rPr>
            </w:pPr>
          </w:p>
        </w:tc>
      </w:tr>
      <w:tr>
        <w:trPr>
          <w:trHeight w:val="217"/>
        </w:trPr>
        <w:tc>
          <w:tcPr>
            <w:tcW w:w="5540" w:type="dxa"/>
            <w:vAlign w:val="bottom"/>
            <w:tcBorders>
              <w:left w:val="single" w:sz="8" w:color="auto"/>
              <w:right w:val="single" w:sz="8" w:color="auto"/>
            </w:tcBorders>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548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ou en utilisant du capital conditionnel ou autorisé.</w:t>
            </w:r>
          </w:p>
        </w:tc>
        <w:tc>
          <w:tcPr>
            <w:tcW w:w="0" w:type="dxa"/>
            <w:vAlign w:val="bottom"/>
          </w:tcPr>
          <w:p>
            <w:pPr>
              <w:spacing w:after="0"/>
              <w:rPr>
                <w:sz w:val="1"/>
                <w:szCs w:val="1"/>
                <w:color w:val="auto"/>
              </w:rPr>
            </w:pPr>
          </w:p>
        </w:tc>
      </w:tr>
      <w:tr>
        <w:trPr>
          <w:trHeight w:val="54"/>
        </w:trPr>
        <w:tc>
          <w:tcPr>
            <w:tcW w:w="5540" w:type="dxa"/>
            <w:vAlign w:val="bottom"/>
            <w:tcBorders>
              <w:left w:val="single" w:sz="8" w:color="auto"/>
              <w:bottom w:val="single" w:sz="8" w:color="auto"/>
              <w:right w:val="single" w:sz="8" w:color="auto"/>
            </w:tcBorders>
          </w:tcPr>
          <w:p>
            <w:pPr>
              <w:spacing w:after="0"/>
              <w:rPr>
                <w:sz w:val="4"/>
                <w:szCs w:val="4"/>
                <w:color w:val="auto"/>
              </w:rPr>
            </w:pPr>
          </w:p>
        </w:tc>
        <w:tc>
          <w:tcPr>
            <w:tcW w:w="220" w:type="dxa"/>
            <w:vAlign w:val="bottom"/>
            <w:tcBorders>
              <w:bottom w:val="single" w:sz="8" w:color="auto"/>
              <w:right w:val="single" w:sz="8" w:color="auto"/>
            </w:tcBorders>
          </w:tcPr>
          <w:p>
            <w:pPr>
              <w:spacing w:after="0"/>
              <w:rPr>
                <w:sz w:val="4"/>
                <w:szCs w:val="4"/>
                <w:color w:val="auto"/>
              </w:rPr>
            </w:pPr>
          </w:p>
        </w:tc>
        <w:tc>
          <w:tcPr>
            <w:tcW w:w="548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554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Subject to the approval by the General Meeting, the members of</w:t>
            </w:r>
          </w:p>
        </w:tc>
        <w:tc>
          <w:tcPr>
            <w:tcW w:w="220" w:type="dxa"/>
            <w:vAlign w:val="bottom"/>
            <w:tcBorders>
              <w:right w:val="single" w:sz="8" w:color="auto"/>
            </w:tcBorders>
          </w:tcPr>
          <w:p>
            <w:pPr>
              <w:spacing w:after="0"/>
              <w:rPr>
                <w:sz w:val="22"/>
                <w:szCs w:val="22"/>
                <w:color w:val="auto"/>
              </w:rPr>
            </w:pPr>
          </w:p>
        </w:tc>
        <w:tc>
          <w:tcPr>
            <w:tcW w:w="548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Sous  réserve  de  l'approbation  par  l'assemblée  générale,  les</w:t>
            </w:r>
          </w:p>
        </w:tc>
        <w:tc>
          <w:tcPr>
            <w:tcW w:w="0" w:type="dxa"/>
            <w:vAlign w:val="bottom"/>
          </w:tcPr>
          <w:p>
            <w:pPr>
              <w:spacing w:after="0"/>
              <w:rPr>
                <w:sz w:val="1"/>
                <w:szCs w:val="1"/>
                <w:color w:val="auto"/>
              </w:rPr>
            </w:pPr>
          </w:p>
        </w:tc>
      </w:tr>
      <w:tr>
        <w:trPr>
          <w:trHeight w:val="203"/>
        </w:trPr>
        <w:tc>
          <w:tcPr>
            <w:tcW w:w="5540" w:type="dxa"/>
            <w:vAlign w:val="bottom"/>
            <w:tcBorders>
              <w:left w:val="single" w:sz="8" w:color="auto"/>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the Board of Directors may receive remuneration in cash at</w:t>
            </w:r>
          </w:p>
        </w:tc>
        <w:tc>
          <w:tcPr>
            <w:tcW w:w="22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membres  du  conseil  d'administration  peuvent  recevoir  une</w:t>
            </w:r>
          </w:p>
        </w:tc>
        <w:tc>
          <w:tcPr>
            <w:tcW w:w="0" w:type="dxa"/>
            <w:vAlign w:val="bottom"/>
          </w:tcPr>
          <w:p>
            <w:pPr>
              <w:spacing w:after="0"/>
              <w:rPr>
                <w:sz w:val="1"/>
                <w:szCs w:val="1"/>
                <w:color w:val="auto"/>
              </w:rPr>
            </w:pPr>
          </w:p>
        </w:tc>
      </w:tr>
      <w:tr>
        <w:trPr>
          <w:trHeight w:val="203"/>
        </w:trPr>
        <w:tc>
          <w:tcPr>
            <w:tcW w:w="5540" w:type="dxa"/>
            <w:vAlign w:val="bottom"/>
            <w:tcBorders>
              <w:left w:val="single" w:sz="8" w:color="auto"/>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customary conditions for advisory services rendered outside their</w:t>
            </w:r>
          </w:p>
        </w:tc>
        <w:tc>
          <w:tcPr>
            <w:tcW w:w="22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rémunération en espèces dans les conditions habituelles pour des</w:t>
            </w:r>
          </w:p>
        </w:tc>
        <w:tc>
          <w:tcPr>
            <w:tcW w:w="0" w:type="dxa"/>
            <w:vAlign w:val="bottom"/>
          </w:tcPr>
          <w:p>
            <w:pPr>
              <w:spacing w:after="0"/>
              <w:rPr>
                <w:sz w:val="1"/>
                <w:szCs w:val="1"/>
                <w:color w:val="auto"/>
              </w:rPr>
            </w:pPr>
          </w:p>
        </w:tc>
      </w:tr>
      <w:tr>
        <w:trPr>
          <w:trHeight w:val="203"/>
        </w:trPr>
        <w:tc>
          <w:tcPr>
            <w:tcW w:w="5540" w:type="dxa"/>
            <w:vAlign w:val="bottom"/>
            <w:tcBorders>
              <w:left w:val="single" w:sz="8" w:color="auto"/>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capacity as Board member for the benefit of the Company or</w:t>
            </w:r>
          </w:p>
        </w:tc>
        <w:tc>
          <w:tcPr>
            <w:tcW w:w="22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services consultatifs rendus en-dehors de leur qualité de membre</w:t>
            </w:r>
          </w:p>
        </w:tc>
        <w:tc>
          <w:tcPr>
            <w:tcW w:w="0" w:type="dxa"/>
            <w:vAlign w:val="bottom"/>
          </w:tcPr>
          <w:p>
            <w:pPr>
              <w:spacing w:after="0"/>
              <w:rPr>
                <w:sz w:val="1"/>
                <w:szCs w:val="1"/>
                <w:color w:val="auto"/>
              </w:rPr>
            </w:pPr>
          </w:p>
        </w:tc>
      </w:tr>
      <w:tr>
        <w:trPr>
          <w:trHeight w:val="203"/>
        </w:trPr>
        <w:tc>
          <w:tcPr>
            <w:tcW w:w="5540" w:type="dxa"/>
            <w:vAlign w:val="bottom"/>
            <w:tcBorders>
              <w:left w:val="single" w:sz="8" w:color="auto"/>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companies under its control. The General Meeting may approve an</w:t>
            </w:r>
          </w:p>
        </w:tc>
        <w:tc>
          <w:tcPr>
            <w:tcW w:w="22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du conseil pour le bénéfice de la société ou des sociétés sous son</w:t>
            </w:r>
          </w:p>
        </w:tc>
        <w:tc>
          <w:tcPr>
            <w:tcW w:w="0" w:type="dxa"/>
            <w:vAlign w:val="bottom"/>
          </w:tcPr>
          <w:p>
            <w:pPr>
              <w:spacing w:after="0"/>
              <w:rPr>
                <w:sz w:val="1"/>
                <w:szCs w:val="1"/>
                <w:color w:val="auto"/>
              </w:rPr>
            </w:pPr>
          </w:p>
        </w:tc>
      </w:tr>
      <w:tr>
        <w:trPr>
          <w:trHeight w:val="217"/>
        </w:trPr>
        <w:tc>
          <w:tcPr>
            <w:tcW w:w="554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additional bonus for the members of the Board of Directors in</w:t>
            </w:r>
          </w:p>
        </w:tc>
        <w:tc>
          <w:tcPr>
            <w:tcW w:w="220" w:type="dxa"/>
            <w:vAlign w:val="bottom"/>
            <w:tcBorders>
              <w:right w:val="single" w:sz="8" w:color="auto"/>
            </w:tcBorders>
          </w:tcPr>
          <w:p>
            <w:pPr>
              <w:spacing w:after="0"/>
              <w:rPr>
                <w:sz w:val="18"/>
                <w:szCs w:val="18"/>
                <w:color w:val="auto"/>
              </w:rPr>
            </w:pPr>
          </w:p>
        </w:tc>
        <w:tc>
          <w:tcPr>
            <w:tcW w:w="548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contrôle. L'assemblée générale peut approuver un bonus</w:t>
            </w:r>
          </w:p>
        </w:tc>
        <w:tc>
          <w:tcPr>
            <w:tcW w:w="0" w:type="dxa"/>
            <w:vAlign w:val="bottom"/>
          </w:tcPr>
          <w:p>
            <w:pPr>
              <w:spacing w:after="0"/>
              <w:rPr>
                <w:sz w:val="1"/>
                <w:szCs w:val="1"/>
                <w:color w:val="auto"/>
              </w:rPr>
            </w:pPr>
          </w:p>
        </w:tc>
      </w:tr>
      <w:tr>
        <w:trPr>
          <w:trHeight w:val="54"/>
        </w:trPr>
        <w:tc>
          <w:tcPr>
            <w:tcW w:w="5540" w:type="dxa"/>
            <w:vAlign w:val="bottom"/>
            <w:tcBorders>
              <w:left w:val="single" w:sz="8" w:color="auto"/>
              <w:bottom w:val="single" w:sz="8" w:color="auto"/>
              <w:right w:val="single" w:sz="8" w:color="auto"/>
            </w:tcBorders>
          </w:tcPr>
          <w:p>
            <w:pPr>
              <w:spacing w:after="0"/>
              <w:rPr>
                <w:sz w:val="4"/>
                <w:szCs w:val="4"/>
                <w:color w:val="auto"/>
              </w:rPr>
            </w:pPr>
          </w:p>
        </w:tc>
        <w:tc>
          <w:tcPr>
            <w:tcW w:w="220" w:type="dxa"/>
            <w:vAlign w:val="bottom"/>
            <w:tcBorders>
              <w:bottom w:val="single" w:sz="8" w:color="auto"/>
              <w:right w:val="single" w:sz="8" w:color="auto"/>
            </w:tcBorders>
          </w:tcPr>
          <w:p>
            <w:pPr>
              <w:spacing w:after="0"/>
              <w:rPr>
                <w:sz w:val="4"/>
                <w:szCs w:val="4"/>
                <w:color w:val="auto"/>
              </w:rPr>
            </w:pPr>
          </w:p>
        </w:tc>
        <w:tc>
          <w:tcPr>
            <w:tcW w:w="548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453"/>
        </w:trPr>
        <w:tc>
          <w:tcPr>
            <w:tcW w:w="55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54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249" w:right="339" w:bottom="1440" w:gutter="0" w:footer="0" w:header="0"/>
        </w:sectPr>
      </w:pPr>
    </w:p>
    <w:bookmarkStart w:id="64" w:name="page65"/>
    <w:bookmarkEnd w:id="64"/>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187"/>
        </w:trPr>
        <w:tc>
          <w:tcPr>
            <w:tcW w:w="360" w:type="dxa"/>
            <w:vAlign w:val="bottom"/>
            <w:tcBorders>
              <w:bottom w:val="single" w:sz="8" w:color="auto"/>
            </w:tcBorders>
          </w:tcPr>
          <w:p>
            <w:pPr>
              <w:spacing w:after="0"/>
              <w:rPr>
                <w:sz w:val="16"/>
                <w:szCs w:val="16"/>
                <w:color w:val="auto"/>
              </w:rPr>
            </w:pPr>
          </w:p>
        </w:tc>
        <w:tc>
          <w:tcPr>
            <w:tcW w:w="518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5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w:t>
            </w:r>
          </w:p>
        </w:tc>
        <w:tc>
          <w:tcPr>
            <w:tcW w:w="0" w:type="dxa"/>
            <w:vAlign w:val="bottom"/>
          </w:tcPr>
          <w:p>
            <w:pPr>
              <w:spacing w:after="0"/>
              <w:rPr>
                <w:sz w:val="1"/>
                <w:szCs w:val="1"/>
                <w:color w:val="auto"/>
              </w:rPr>
            </w:pPr>
          </w:p>
        </w:tc>
      </w:tr>
      <w:tr>
        <w:trPr>
          <w:trHeight w:val="263"/>
        </w:trPr>
        <w:tc>
          <w:tcPr>
            <w:tcW w:w="5540" w:type="dxa"/>
            <w:vAlign w:val="bottom"/>
            <w:tcBorders>
              <w:left w:val="single" w:sz="8" w:color="auto"/>
              <w:right w:val="single" w:sz="8" w:color="auto"/>
            </w:tcBorders>
            <w:gridSpan w:val="2"/>
          </w:tcPr>
          <w:p>
            <w:pPr>
              <w:ind w:left="100"/>
              <w:spacing w:after="0"/>
              <w:rPr>
                <w:sz w:val="20"/>
                <w:szCs w:val="20"/>
                <w:color w:val="auto"/>
              </w:rPr>
            </w:pPr>
            <w:r>
              <w:rPr>
                <w:rFonts w:ascii="Arial" w:cs="Arial" w:eastAsia="Arial" w:hAnsi="Arial"/>
                <w:sz w:val="18"/>
                <w:szCs w:val="18"/>
                <w:color w:val="auto"/>
              </w:rPr>
              <w:t>exceptional cases.</w:t>
            </w:r>
          </w:p>
        </w:tc>
        <w:tc>
          <w:tcPr>
            <w:tcW w:w="220" w:type="dxa"/>
            <w:vAlign w:val="bottom"/>
            <w:tcBorders>
              <w:right w:val="single" w:sz="8" w:color="auto"/>
            </w:tcBorders>
          </w:tcPr>
          <w:p>
            <w:pPr>
              <w:spacing w:after="0"/>
              <w:rPr>
                <w:sz w:val="22"/>
                <w:szCs w:val="22"/>
                <w:color w:val="auto"/>
              </w:rPr>
            </w:pPr>
          </w:p>
        </w:tc>
        <w:tc>
          <w:tcPr>
            <w:tcW w:w="5480" w:type="dxa"/>
            <w:vAlign w:val="bottom"/>
            <w:tcBorders>
              <w:right w:val="single" w:sz="8" w:color="auto"/>
            </w:tcBorders>
            <w:gridSpan w:val="2"/>
          </w:tcPr>
          <w:p>
            <w:pPr>
              <w:ind w:left="60"/>
              <w:spacing w:after="0"/>
              <w:rPr>
                <w:sz w:val="20"/>
                <w:szCs w:val="20"/>
                <w:color w:val="auto"/>
              </w:rPr>
            </w:pPr>
            <w:r>
              <w:rPr>
                <w:rFonts w:ascii="Arial" w:cs="Arial" w:eastAsia="Arial" w:hAnsi="Arial"/>
                <w:sz w:val="18"/>
                <w:szCs w:val="18"/>
                <w:color w:val="auto"/>
              </w:rPr>
              <w:t>supplémentaire pour les membres du conseil d'administration dans</w:t>
            </w:r>
          </w:p>
        </w:tc>
        <w:tc>
          <w:tcPr>
            <w:tcW w:w="0" w:type="dxa"/>
            <w:vAlign w:val="bottom"/>
          </w:tcPr>
          <w:p>
            <w:pPr>
              <w:spacing w:after="0"/>
              <w:rPr>
                <w:sz w:val="1"/>
                <w:szCs w:val="1"/>
                <w:color w:val="auto"/>
              </w:rPr>
            </w:pPr>
          </w:p>
        </w:tc>
      </w:tr>
      <w:tr>
        <w:trPr>
          <w:trHeight w:val="217"/>
        </w:trPr>
        <w:tc>
          <w:tcPr>
            <w:tcW w:w="360" w:type="dxa"/>
            <w:vAlign w:val="bottom"/>
            <w:tcBorders>
              <w:left w:val="single" w:sz="8" w:color="auto"/>
            </w:tcBorders>
          </w:tcPr>
          <w:p>
            <w:pPr>
              <w:spacing w:after="0"/>
              <w:rPr>
                <w:sz w:val="18"/>
                <w:szCs w:val="18"/>
                <w:color w:val="auto"/>
              </w:rPr>
            </w:pPr>
          </w:p>
        </w:tc>
        <w:tc>
          <w:tcPr>
            <w:tcW w:w="5180" w:type="dxa"/>
            <w:vAlign w:val="bottom"/>
            <w:tcBorders>
              <w:right w:val="single" w:sz="8" w:color="auto"/>
            </w:tcBorders>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5480" w:type="dxa"/>
            <w:vAlign w:val="bottom"/>
            <w:tcBorders>
              <w:right w:val="single" w:sz="8" w:color="auto"/>
            </w:tcBorders>
            <w:gridSpan w:val="2"/>
          </w:tcPr>
          <w:p>
            <w:pPr>
              <w:ind w:left="60"/>
              <w:spacing w:after="0"/>
              <w:rPr>
                <w:sz w:val="20"/>
                <w:szCs w:val="20"/>
                <w:color w:val="auto"/>
              </w:rPr>
            </w:pPr>
            <w:r>
              <w:rPr>
                <w:rFonts w:ascii="Arial" w:cs="Arial" w:eastAsia="Arial" w:hAnsi="Arial"/>
                <w:sz w:val="18"/>
                <w:szCs w:val="18"/>
                <w:color w:val="auto"/>
              </w:rPr>
              <w:t>des cas exceptionnels.</w:t>
            </w:r>
          </w:p>
        </w:tc>
        <w:tc>
          <w:tcPr>
            <w:tcW w:w="0" w:type="dxa"/>
            <w:vAlign w:val="bottom"/>
          </w:tcPr>
          <w:p>
            <w:pPr>
              <w:spacing w:after="0"/>
              <w:rPr>
                <w:sz w:val="1"/>
                <w:szCs w:val="1"/>
                <w:color w:val="auto"/>
              </w:rPr>
            </w:pPr>
          </w:p>
        </w:tc>
      </w:tr>
      <w:tr>
        <w:trPr>
          <w:trHeight w:val="54"/>
        </w:trPr>
        <w:tc>
          <w:tcPr>
            <w:tcW w:w="5540" w:type="dxa"/>
            <w:vAlign w:val="bottom"/>
            <w:tcBorders>
              <w:left w:val="single" w:sz="8" w:color="auto"/>
              <w:bottom w:val="single" w:sz="8" w:color="auto"/>
              <w:right w:val="single" w:sz="8" w:color="auto"/>
            </w:tcBorders>
            <w:gridSpan w:val="2"/>
          </w:tcPr>
          <w:p>
            <w:pPr>
              <w:spacing w:after="0"/>
              <w:rPr>
                <w:sz w:val="4"/>
                <w:szCs w:val="4"/>
                <w:color w:val="auto"/>
              </w:rPr>
            </w:pPr>
          </w:p>
        </w:tc>
        <w:tc>
          <w:tcPr>
            <w:tcW w:w="220" w:type="dxa"/>
            <w:vAlign w:val="bottom"/>
            <w:tcBorders>
              <w:bottom w:val="single" w:sz="8" w:color="auto"/>
              <w:right w:val="single" w:sz="8" w:color="auto"/>
            </w:tcBorders>
          </w:tcPr>
          <w:p>
            <w:pPr>
              <w:spacing w:after="0"/>
              <w:rPr>
                <w:sz w:val="4"/>
                <w:szCs w:val="4"/>
                <w:color w:val="auto"/>
              </w:rPr>
            </w:pPr>
          </w:p>
        </w:tc>
        <w:tc>
          <w:tcPr>
            <w:tcW w:w="5480" w:type="dxa"/>
            <w:vAlign w:val="bottom"/>
            <w:tcBorders>
              <w:bottom w:val="single" w:sz="8" w:color="auto"/>
              <w:right w:val="single" w:sz="8" w:color="auto"/>
            </w:tcBorders>
            <w:gridSpan w:val="2"/>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5540" w:type="dxa"/>
            <w:vAlign w:val="bottom"/>
            <w:tcBorders>
              <w:left w:val="single" w:sz="8" w:color="auto"/>
              <w:right w:val="single" w:sz="8" w:color="auto"/>
            </w:tcBorders>
            <w:gridSpan w:val="2"/>
          </w:tcPr>
          <w:p>
            <w:pPr>
              <w:ind w:left="100"/>
              <w:spacing w:after="0"/>
              <w:rPr>
                <w:sz w:val="20"/>
                <w:szCs w:val="20"/>
                <w:color w:val="auto"/>
              </w:rPr>
            </w:pPr>
            <w:r>
              <w:rPr>
                <w:rFonts w:ascii="Arial" w:cs="Arial" w:eastAsia="Arial" w:hAnsi="Arial"/>
                <w:sz w:val="18"/>
                <w:szCs w:val="18"/>
                <w:color w:val="auto"/>
              </w:rPr>
              <w:t>The compensation may also be paid for activities in companies that</w:t>
            </w:r>
          </w:p>
        </w:tc>
        <w:tc>
          <w:tcPr>
            <w:tcW w:w="220" w:type="dxa"/>
            <w:vAlign w:val="bottom"/>
            <w:tcBorders>
              <w:right w:val="single" w:sz="8" w:color="auto"/>
            </w:tcBorders>
          </w:tcPr>
          <w:p>
            <w:pPr>
              <w:spacing w:after="0"/>
              <w:rPr>
                <w:sz w:val="22"/>
                <w:szCs w:val="22"/>
                <w:color w:val="auto"/>
              </w:rPr>
            </w:pPr>
          </w:p>
        </w:tc>
        <w:tc>
          <w:tcPr>
            <w:tcW w:w="5480" w:type="dxa"/>
            <w:vAlign w:val="bottom"/>
            <w:tcBorders>
              <w:right w:val="single" w:sz="8" w:color="auto"/>
            </w:tcBorders>
            <w:gridSpan w:val="2"/>
          </w:tcPr>
          <w:p>
            <w:pPr>
              <w:ind w:left="60"/>
              <w:spacing w:after="0"/>
              <w:rPr>
                <w:sz w:val="20"/>
                <w:szCs w:val="20"/>
                <w:color w:val="auto"/>
              </w:rPr>
            </w:pPr>
            <w:r>
              <w:rPr>
                <w:rFonts w:ascii="Arial" w:cs="Arial" w:eastAsia="Arial" w:hAnsi="Arial"/>
                <w:sz w:val="18"/>
                <w:szCs w:val="18"/>
                <w:color w:val="auto"/>
              </w:rPr>
              <w:t>La rémunération peut également être accordée pour des activités</w:t>
            </w:r>
          </w:p>
        </w:tc>
        <w:tc>
          <w:tcPr>
            <w:tcW w:w="0" w:type="dxa"/>
            <w:vAlign w:val="bottom"/>
          </w:tcPr>
          <w:p>
            <w:pPr>
              <w:spacing w:after="0"/>
              <w:rPr>
                <w:sz w:val="1"/>
                <w:szCs w:val="1"/>
                <w:color w:val="auto"/>
              </w:rPr>
            </w:pPr>
          </w:p>
        </w:tc>
      </w:tr>
      <w:tr>
        <w:trPr>
          <w:trHeight w:val="203"/>
        </w:trPr>
        <w:tc>
          <w:tcPr>
            <w:tcW w:w="5540" w:type="dxa"/>
            <w:vAlign w:val="bottom"/>
            <w:tcBorders>
              <w:left w:val="single" w:sz="8" w:color="auto"/>
              <w:right w:val="single" w:sz="8" w:color="auto"/>
            </w:tcBorders>
            <w:gridSpan w:val="2"/>
          </w:tcPr>
          <w:p>
            <w:pPr>
              <w:ind w:left="100"/>
              <w:spacing w:after="0" w:line="202" w:lineRule="exact"/>
              <w:rPr>
                <w:sz w:val="20"/>
                <w:szCs w:val="20"/>
                <w:color w:val="auto"/>
              </w:rPr>
            </w:pPr>
            <w:r>
              <w:rPr>
                <w:rFonts w:ascii="Arial" w:cs="Arial" w:eastAsia="Arial" w:hAnsi="Arial"/>
                <w:sz w:val="18"/>
                <w:szCs w:val="18"/>
                <w:color w:val="auto"/>
              </w:rPr>
              <w:t>are directly or indirectly controlled by the Company and may be</w:t>
            </w:r>
          </w:p>
        </w:tc>
        <w:tc>
          <w:tcPr>
            <w:tcW w:w="22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gridSpan w:val="2"/>
          </w:tcPr>
          <w:p>
            <w:pPr>
              <w:ind w:left="60"/>
              <w:spacing w:after="0" w:line="202" w:lineRule="exact"/>
              <w:rPr>
                <w:sz w:val="20"/>
                <w:szCs w:val="20"/>
                <w:color w:val="auto"/>
              </w:rPr>
            </w:pPr>
            <w:r>
              <w:rPr>
                <w:rFonts w:ascii="Arial" w:cs="Arial" w:eastAsia="Arial" w:hAnsi="Arial"/>
                <w:sz w:val="18"/>
                <w:szCs w:val="18"/>
                <w:color w:val="auto"/>
              </w:rPr>
              <w:t>dans  des  entreprises  qui  sont  contrôlées  directement  ou</w:t>
            </w:r>
          </w:p>
        </w:tc>
        <w:tc>
          <w:tcPr>
            <w:tcW w:w="0" w:type="dxa"/>
            <w:vAlign w:val="bottom"/>
          </w:tcPr>
          <w:p>
            <w:pPr>
              <w:spacing w:after="0"/>
              <w:rPr>
                <w:sz w:val="1"/>
                <w:szCs w:val="1"/>
                <w:color w:val="auto"/>
              </w:rPr>
            </w:pPr>
          </w:p>
        </w:tc>
      </w:tr>
      <w:tr>
        <w:trPr>
          <w:trHeight w:val="203"/>
        </w:trPr>
        <w:tc>
          <w:tcPr>
            <w:tcW w:w="5540" w:type="dxa"/>
            <w:vAlign w:val="bottom"/>
            <w:tcBorders>
              <w:left w:val="single" w:sz="8" w:color="auto"/>
              <w:right w:val="single" w:sz="8" w:color="auto"/>
            </w:tcBorders>
            <w:gridSpan w:val="2"/>
          </w:tcPr>
          <w:p>
            <w:pPr>
              <w:ind w:left="100"/>
              <w:spacing w:after="0" w:line="202" w:lineRule="exact"/>
              <w:rPr>
                <w:sz w:val="20"/>
                <w:szCs w:val="20"/>
                <w:color w:val="auto"/>
              </w:rPr>
            </w:pPr>
            <w:r>
              <w:rPr>
                <w:rFonts w:ascii="Arial" w:cs="Arial" w:eastAsia="Arial" w:hAnsi="Arial"/>
                <w:sz w:val="18"/>
                <w:szCs w:val="18"/>
                <w:color w:val="auto"/>
              </w:rPr>
              <w:t>paid by the Company or by a company controlled by it.</w:t>
            </w:r>
          </w:p>
        </w:tc>
        <w:tc>
          <w:tcPr>
            <w:tcW w:w="22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gridSpan w:val="2"/>
          </w:tcPr>
          <w:p>
            <w:pPr>
              <w:ind w:left="60"/>
              <w:spacing w:after="0" w:line="202" w:lineRule="exact"/>
              <w:rPr>
                <w:sz w:val="20"/>
                <w:szCs w:val="20"/>
                <w:color w:val="auto"/>
              </w:rPr>
            </w:pPr>
            <w:r>
              <w:rPr>
                <w:rFonts w:ascii="Arial" w:cs="Arial" w:eastAsia="Arial" w:hAnsi="Arial"/>
                <w:sz w:val="18"/>
                <w:szCs w:val="18"/>
                <w:color w:val="auto"/>
              </w:rPr>
              <w:t>indirectement par la société et peuvent être versées par la société</w:t>
            </w:r>
          </w:p>
        </w:tc>
        <w:tc>
          <w:tcPr>
            <w:tcW w:w="0" w:type="dxa"/>
            <w:vAlign w:val="bottom"/>
          </w:tcPr>
          <w:p>
            <w:pPr>
              <w:spacing w:after="0"/>
              <w:rPr>
                <w:sz w:val="1"/>
                <w:szCs w:val="1"/>
                <w:color w:val="auto"/>
              </w:rPr>
            </w:pPr>
          </w:p>
        </w:tc>
      </w:tr>
      <w:tr>
        <w:trPr>
          <w:trHeight w:val="217"/>
        </w:trPr>
        <w:tc>
          <w:tcPr>
            <w:tcW w:w="360" w:type="dxa"/>
            <w:vAlign w:val="bottom"/>
            <w:tcBorders>
              <w:left w:val="single" w:sz="8" w:color="auto"/>
            </w:tcBorders>
          </w:tcPr>
          <w:p>
            <w:pPr>
              <w:spacing w:after="0"/>
              <w:rPr>
                <w:sz w:val="18"/>
                <w:szCs w:val="18"/>
                <w:color w:val="auto"/>
              </w:rPr>
            </w:pPr>
          </w:p>
        </w:tc>
        <w:tc>
          <w:tcPr>
            <w:tcW w:w="5180" w:type="dxa"/>
            <w:vAlign w:val="bottom"/>
            <w:tcBorders>
              <w:right w:val="single" w:sz="8" w:color="auto"/>
            </w:tcBorders>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5480" w:type="dxa"/>
            <w:vAlign w:val="bottom"/>
            <w:tcBorders>
              <w:right w:val="single" w:sz="8" w:color="auto"/>
            </w:tcBorders>
            <w:gridSpan w:val="2"/>
          </w:tcPr>
          <w:p>
            <w:pPr>
              <w:ind w:left="60"/>
              <w:spacing w:after="0"/>
              <w:rPr>
                <w:sz w:val="20"/>
                <w:szCs w:val="20"/>
                <w:color w:val="auto"/>
              </w:rPr>
            </w:pPr>
            <w:r>
              <w:rPr>
                <w:rFonts w:ascii="Arial" w:cs="Arial" w:eastAsia="Arial" w:hAnsi="Arial"/>
                <w:sz w:val="18"/>
                <w:szCs w:val="18"/>
                <w:color w:val="auto"/>
              </w:rPr>
              <w:t>ou par une société contrôlée par elle.</w:t>
            </w:r>
          </w:p>
        </w:tc>
        <w:tc>
          <w:tcPr>
            <w:tcW w:w="0" w:type="dxa"/>
            <w:vAlign w:val="bottom"/>
          </w:tcPr>
          <w:p>
            <w:pPr>
              <w:spacing w:after="0"/>
              <w:rPr>
                <w:sz w:val="1"/>
                <w:szCs w:val="1"/>
                <w:color w:val="auto"/>
              </w:rPr>
            </w:pPr>
          </w:p>
        </w:tc>
      </w:tr>
      <w:tr>
        <w:trPr>
          <w:trHeight w:val="54"/>
        </w:trPr>
        <w:tc>
          <w:tcPr>
            <w:tcW w:w="5540" w:type="dxa"/>
            <w:vAlign w:val="bottom"/>
            <w:tcBorders>
              <w:left w:val="single" w:sz="8" w:color="auto"/>
              <w:bottom w:val="single" w:sz="8" w:color="auto"/>
              <w:right w:val="single" w:sz="8" w:color="auto"/>
            </w:tcBorders>
            <w:gridSpan w:val="2"/>
          </w:tcPr>
          <w:p>
            <w:pPr>
              <w:spacing w:after="0"/>
              <w:rPr>
                <w:sz w:val="4"/>
                <w:szCs w:val="4"/>
                <w:color w:val="auto"/>
              </w:rPr>
            </w:pPr>
          </w:p>
        </w:tc>
        <w:tc>
          <w:tcPr>
            <w:tcW w:w="220" w:type="dxa"/>
            <w:vAlign w:val="bottom"/>
            <w:tcBorders>
              <w:bottom w:val="single" w:sz="8" w:color="auto"/>
              <w:right w:val="single" w:sz="8" w:color="auto"/>
            </w:tcBorders>
          </w:tcPr>
          <w:p>
            <w:pPr>
              <w:spacing w:after="0"/>
              <w:rPr>
                <w:sz w:val="4"/>
                <w:szCs w:val="4"/>
                <w:color w:val="auto"/>
              </w:rPr>
            </w:pPr>
          </w:p>
        </w:tc>
        <w:tc>
          <w:tcPr>
            <w:tcW w:w="5480" w:type="dxa"/>
            <w:vAlign w:val="bottom"/>
            <w:tcBorders>
              <w:bottom w:val="single" w:sz="8" w:color="auto"/>
              <w:right w:val="single" w:sz="8" w:color="auto"/>
            </w:tcBorders>
            <w:gridSpan w:val="2"/>
          </w:tcPr>
          <w:p>
            <w:pPr>
              <w:spacing w:after="0"/>
              <w:rPr>
                <w:sz w:val="4"/>
                <w:szCs w:val="4"/>
                <w:color w:val="auto"/>
              </w:rPr>
            </w:pPr>
          </w:p>
        </w:tc>
        <w:tc>
          <w:tcPr>
            <w:tcW w:w="0" w:type="dxa"/>
            <w:vAlign w:val="bottom"/>
          </w:tcPr>
          <w:p>
            <w:pPr>
              <w:spacing w:after="0"/>
              <w:rPr>
                <w:sz w:val="1"/>
                <w:szCs w:val="1"/>
                <w:color w:val="auto"/>
              </w:rPr>
            </w:pPr>
          </w:p>
        </w:tc>
      </w:tr>
      <w:tr>
        <w:trPr>
          <w:trHeight w:val="241"/>
        </w:trPr>
        <w:tc>
          <w:tcPr>
            <w:tcW w:w="5540" w:type="dxa"/>
            <w:vAlign w:val="bottom"/>
            <w:tcBorders>
              <w:left w:val="single" w:sz="8" w:color="auto"/>
              <w:right w:val="single" w:sz="8" w:color="auto"/>
            </w:tcBorders>
            <w:gridSpan w:val="2"/>
          </w:tcPr>
          <w:p>
            <w:pPr>
              <w:ind w:left="100"/>
              <w:spacing w:after="0"/>
              <w:rPr>
                <w:sz w:val="20"/>
                <w:szCs w:val="20"/>
                <w:color w:val="auto"/>
              </w:rPr>
            </w:pPr>
            <w:r>
              <w:rPr>
                <w:rFonts w:ascii="Arial" w:cs="Arial" w:eastAsia="Arial" w:hAnsi="Arial"/>
                <w:sz w:val="18"/>
                <w:szCs w:val="18"/>
                <w:b w:val="1"/>
                <w:bCs w:val="1"/>
                <w:color w:val="auto"/>
              </w:rPr>
              <w:t>Art. 33 Principles of  the  Compensation  of  the  Executive</w:t>
            </w:r>
          </w:p>
        </w:tc>
        <w:tc>
          <w:tcPr>
            <w:tcW w:w="220" w:type="dxa"/>
            <w:vAlign w:val="bottom"/>
            <w:tcBorders>
              <w:right w:val="single" w:sz="8" w:color="auto"/>
            </w:tcBorders>
          </w:tcPr>
          <w:p>
            <w:pPr>
              <w:spacing w:after="0"/>
              <w:rPr>
                <w:sz w:val="20"/>
                <w:szCs w:val="20"/>
                <w:color w:val="auto"/>
              </w:rPr>
            </w:pPr>
          </w:p>
        </w:tc>
        <w:tc>
          <w:tcPr>
            <w:tcW w:w="5480" w:type="dxa"/>
            <w:vAlign w:val="bottom"/>
            <w:tcBorders>
              <w:right w:val="single" w:sz="8" w:color="auto"/>
            </w:tcBorders>
            <w:gridSpan w:val="2"/>
          </w:tcPr>
          <w:p>
            <w:pPr>
              <w:ind w:left="60"/>
              <w:spacing w:after="0"/>
              <w:rPr>
                <w:sz w:val="20"/>
                <w:szCs w:val="20"/>
                <w:color w:val="auto"/>
              </w:rPr>
            </w:pPr>
            <w:r>
              <w:rPr>
                <w:rFonts w:ascii="Arial" w:cs="Arial" w:eastAsia="Arial" w:hAnsi="Arial"/>
                <w:sz w:val="18"/>
                <w:szCs w:val="18"/>
                <w:b w:val="1"/>
                <w:bCs w:val="1"/>
                <w:color w:val="auto"/>
              </w:rPr>
              <w:t>Art. 33 Principe de rémunération du comité exécutif</w:t>
            </w:r>
          </w:p>
        </w:tc>
        <w:tc>
          <w:tcPr>
            <w:tcW w:w="0" w:type="dxa"/>
            <w:vAlign w:val="bottom"/>
          </w:tcPr>
          <w:p>
            <w:pPr>
              <w:spacing w:after="0"/>
              <w:rPr>
                <w:sz w:val="1"/>
                <w:szCs w:val="1"/>
                <w:color w:val="auto"/>
              </w:rPr>
            </w:pPr>
          </w:p>
        </w:tc>
      </w:tr>
      <w:tr>
        <w:trPr>
          <w:trHeight w:val="239"/>
        </w:trPr>
        <w:tc>
          <w:tcPr>
            <w:tcW w:w="5540" w:type="dxa"/>
            <w:vAlign w:val="bottom"/>
            <w:tcBorders>
              <w:left w:val="single" w:sz="8" w:color="auto"/>
              <w:right w:val="single" w:sz="8" w:color="auto"/>
            </w:tcBorders>
            <w:gridSpan w:val="2"/>
          </w:tcPr>
          <w:p>
            <w:pPr>
              <w:ind w:left="100"/>
              <w:spacing w:after="0"/>
              <w:rPr>
                <w:sz w:val="20"/>
                <w:szCs w:val="20"/>
                <w:color w:val="auto"/>
              </w:rPr>
            </w:pPr>
            <w:r>
              <w:rPr>
                <w:rFonts w:ascii="Arial" w:cs="Arial" w:eastAsia="Arial" w:hAnsi="Arial"/>
                <w:sz w:val="18"/>
                <w:szCs w:val="18"/>
                <w:b w:val="1"/>
                <w:bCs w:val="1"/>
                <w:color w:val="auto"/>
              </w:rPr>
              <w:t>Committee</w:t>
            </w:r>
          </w:p>
        </w:tc>
        <w:tc>
          <w:tcPr>
            <w:tcW w:w="220" w:type="dxa"/>
            <w:vAlign w:val="bottom"/>
            <w:tcBorders>
              <w:right w:val="single" w:sz="8" w:color="auto"/>
            </w:tcBorders>
          </w:tcPr>
          <w:p>
            <w:pPr>
              <w:spacing w:after="0"/>
              <w:rPr>
                <w:sz w:val="20"/>
                <w:szCs w:val="20"/>
                <w:color w:val="auto"/>
              </w:rPr>
            </w:pPr>
          </w:p>
        </w:tc>
        <w:tc>
          <w:tcPr>
            <w:tcW w:w="5480" w:type="dxa"/>
            <w:vAlign w:val="bottom"/>
            <w:tcBorders>
              <w:right w:val="single" w:sz="8" w:color="auto"/>
            </w:tcBorders>
            <w:gridSpan w:val="2"/>
            <w:vMerge w:val="restart"/>
          </w:tcPr>
          <w:p>
            <w:pPr>
              <w:ind w:left="60"/>
              <w:spacing w:after="0"/>
              <w:rPr>
                <w:sz w:val="20"/>
                <w:szCs w:val="20"/>
                <w:color w:val="auto"/>
              </w:rPr>
            </w:pPr>
            <w:r>
              <w:rPr>
                <w:rFonts w:ascii="Arial" w:cs="Arial" w:eastAsia="Arial" w:hAnsi="Arial"/>
                <w:sz w:val="18"/>
                <w:szCs w:val="18"/>
                <w:color w:val="auto"/>
              </w:rPr>
              <w:t>La rémunération des membres du comité exécutif est soumis à</w:t>
            </w:r>
          </w:p>
        </w:tc>
        <w:tc>
          <w:tcPr>
            <w:tcW w:w="0" w:type="dxa"/>
            <w:vAlign w:val="bottom"/>
          </w:tcPr>
          <w:p>
            <w:pPr>
              <w:spacing w:after="0"/>
              <w:rPr>
                <w:sz w:val="1"/>
                <w:szCs w:val="1"/>
                <w:color w:val="auto"/>
              </w:rPr>
            </w:pPr>
          </w:p>
        </w:tc>
      </w:tr>
      <w:tr>
        <w:trPr>
          <w:trHeight w:val="188"/>
        </w:trPr>
        <w:tc>
          <w:tcPr>
            <w:tcW w:w="360" w:type="dxa"/>
            <w:vAlign w:val="bottom"/>
            <w:tcBorders>
              <w:left w:val="single" w:sz="8" w:color="auto"/>
            </w:tcBorders>
          </w:tcPr>
          <w:p>
            <w:pPr>
              <w:spacing w:after="0"/>
              <w:rPr>
                <w:sz w:val="16"/>
                <w:szCs w:val="16"/>
                <w:color w:val="auto"/>
              </w:rPr>
            </w:pPr>
          </w:p>
        </w:tc>
        <w:tc>
          <w:tcPr>
            <w:tcW w:w="5180" w:type="dxa"/>
            <w:vAlign w:val="bottom"/>
            <w:tcBorders>
              <w:right w:val="single" w:sz="8" w:color="auto"/>
            </w:tcBorders>
          </w:tcPr>
          <w:p>
            <w:pPr>
              <w:spacing w:after="0"/>
              <w:rPr>
                <w:sz w:val="16"/>
                <w:szCs w:val="16"/>
                <w:color w:val="auto"/>
              </w:rPr>
            </w:pPr>
          </w:p>
        </w:tc>
        <w:tc>
          <w:tcPr>
            <w:tcW w:w="220" w:type="dxa"/>
            <w:vAlign w:val="bottom"/>
            <w:tcBorders>
              <w:right w:val="single" w:sz="8" w:color="auto"/>
            </w:tcBorders>
          </w:tcPr>
          <w:p>
            <w:pPr>
              <w:spacing w:after="0"/>
              <w:rPr>
                <w:sz w:val="16"/>
                <w:szCs w:val="16"/>
                <w:color w:val="auto"/>
              </w:rPr>
            </w:pPr>
          </w:p>
        </w:tc>
        <w:tc>
          <w:tcPr>
            <w:tcW w:w="5480" w:type="dxa"/>
            <w:vAlign w:val="bottom"/>
            <w:tcBorders>
              <w:right w:val="single" w:sz="8" w:color="auto"/>
            </w:tcBorders>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5540" w:type="dxa"/>
            <w:vAlign w:val="bottom"/>
            <w:tcBorders>
              <w:left w:val="single" w:sz="8" w:color="auto"/>
              <w:right w:val="single" w:sz="8" w:color="auto"/>
            </w:tcBorders>
            <w:gridSpan w:val="2"/>
          </w:tcPr>
          <w:p>
            <w:pPr>
              <w:ind w:left="100"/>
              <w:spacing w:after="0" w:line="202" w:lineRule="exact"/>
              <w:rPr>
                <w:sz w:val="20"/>
                <w:szCs w:val="20"/>
                <w:color w:val="auto"/>
              </w:rPr>
            </w:pPr>
            <w:r>
              <w:rPr>
                <w:rFonts w:ascii="Arial" w:cs="Arial" w:eastAsia="Arial" w:hAnsi="Arial"/>
                <w:sz w:val="18"/>
                <w:szCs w:val="18"/>
                <w:color w:val="auto"/>
              </w:rPr>
              <w:t>The compensation payable to the members of the Executive</w:t>
            </w:r>
          </w:p>
        </w:tc>
        <w:tc>
          <w:tcPr>
            <w:tcW w:w="22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gridSpan w:val="2"/>
          </w:tcPr>
          <w:p>
            <w:pPr>
              <w:ind w:left="60"/>
              <w:spacing w:after="0" w:line="202" w:lineRule="exact"/>
              <w:rPr>
                <w:sz w:val="20"/>
                <w:szCs w:val="20"/>
                <w:color w:val="auto"/>
              </w:rPr>
            </w:pPr>
            <w:r>
              <w:rPr>
                <w:rFonts w:ascii="Arial" w:cs="Arial" w:eastAsia="Arial" w:hAnsi="Arial"/>
                <w:sz w:val="18"/>
                <w:szCs w:val="18"/>
                <w:color w:val="auto"/>
              </w:rPr>
              <w:t>l'approbation  l'assemblée  générale  et  comprend  les  éléments</w:t>
            </w:r>
          </w:p>
        </w:tc>
        <w:tc>
          <w:tcPr>
            <w:tcW w:w="0" w:type="dxa"/>
            <w:vAlign w:val="bottom"/>
          </w:tcPr>
          <w:p>
            <w:pPr>
              <w:spacing w:after="0"/>
              <w:rPr>
                <w:sz w:val="1"/>
                <w:szCs w:val="1"/>
                <w:color w:val="auto"/>
              </w:rPr>
            </w:pPr>
          </w:p>
        </w:tc>
      </w:tr>
      <w:tr>
        <w:trPr>
          <w:trHeight w:val="203"/>
        </w:trPr>
        <w:tc>
          <w:tcPr>
            <w:tcW w:w="5540" w:type="dxa"/>
            <w:vAlign w:val="bottom"/>
            <w:tcBorders>
              <w:left w:val="single" w:sz="8" w:color="auto"/>
              <w:right w:val="single" w:sz="8" w:color="auto"/>
            </w:tcBorders>
            <w:gridSpan w:val="2"/>
          </w:tcPr>
          <w:p>
            <w:pPr>
              <w:ind w:left="100"/>
              <w:spacing w:after="0" w:line="202" w:lineRule="exact"/>
              <w:rPr>
                <w:sz w:val="20"/>
                <w:szCs w:val="20"/>
                <w:color w:val="auto"/>
              </w:rPr>
            </w:pPr>
            <w:r>
              <w:rPr>
                <w:rFonts w:ascii="Arial" w:cs="Arial" w:eastAsia="Arial" w:hAnsi="Arial"/>
                <w:sz w:val="18"/>
                <w:szCs w:val="18"/>
                <w:color w:val="auto"/>
              </w:rPr>
              <w:t>Committee is subject to the approval by the General Meeting and</w:t>
            </w:r>
          </w:p>
        </w:tc>
        <w:tc>
          <w:tcPr>
            <w:tcW w:w="22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gridSpan w:val="2"/>
          </w:tcPr>
          <w:p>
            <w:pPr>
              <w:ind w:left="60"/>
              <w:spacing w:after="0" w:line="202" w:lineRule="exact"/>
              <w:rPr>
                <w:sz w:val="20"/>
                <w:szCs w:val="20"/>
                <w:color w:val="auto"/>
              </w:rPr>
            </w:pPr>
            <w:r>
              <w:rPr>
                <w:rFonts w:ascii="Arial" w:cs="Arial" w:eastAsia="Arial" w:hAnsi="Arial"/>
                <w:sz w:val="18"/>
                <w:szCs w:val="18"/>
                <w:color w:val="auto"/>
              </w:rPr>
              <w:t>suivants</w:t>
            </w:r>
          </w:p>
        </w:tc>
        <w:tc>
          <w:tcPr>
            <w:tcW w:w="0" w:type="dxa"/>
            <w:vAlign w:val="bottom"/>
          </w:tcPr>
          <w:p>
            <w:pPr>
              <w:spacing w:after="0"/>
              <w:rPr>
                <w:sz w:val="1"/>
                <w:szCs w:val="1"/>
                <w:color w:val="auto"/>
              </w:rPr>
            </w:pPr>
          </w:p>
        </w:tc>
      </w:tr>
      <w:tr>
        <w:trPr>
          <w:trHeight w:val="217"/>
        </w:trPr>
        <w:tc>
          <w:tcPr>
            <w:tcW w:w="5540" w:type="dxa"/>
            <w:vAlign w:val="bottom"/>
            <w:tcBorders>
              <w:left w:val="single" w:sz="8" w:color="auto"/>
              <w:right w:val="single" w:sz="8" w:color="auto"/>
            </w:tcBorders>
            <w:gridSpan w:val="2"/>
          </w:tcPr>
          <w:p>
            <w:pPr>
              <w:ind w:left="100"/>
              <w:spacing w:after="0"/>
              <w:rPr>
                <w:sz w:val="20"/>
                <w:szCs w:val="20"/>
                <w:color w:val="auto"/>
              </w:rPr>
            </w:pPr>
            <w:r>
              <w:rPr>
                <w:rFonts w:ascii="Arial" w:cs="Arial" w:eastAsia="Arial" w:hAnsi="Arial"/>
                <w:sz w:val="18"/>
                <w:szCs w:val="18"/>
                <w:color w:val="auto"/>
              </w:rPr>
              <w:t>comprises the following elements:</w:t>
            </w:r>
          </w:p>
        </w:tc>
        <w:tc>
          <w:tcPr>
            <w:tcW w:w="220" w:type="dxa"/>
            <w:vAlign w:val="bottom"/>
            <w:tcBorders>
              <w:right w:val="single" w:sz="8" w:color="auto"/>
            </w:tcBorders>
          </w:tcPr>
          <w:p>
            <w:pPr>
              <w:spacing w:after="0"/>
              <w:rPr>
                <w:sz w:val="18"/>
                <w:szCs w:val="18"/>
                <w:color w:val="auto"/>
              </w:rPr>
            </w:pPr>
          </w:p>
        </w:tc>
        <w:tc>
          <w:tcPr>
            <w:tcW w:w="5480" w:type="dxa"/>
            <w:vAlign w:val="bottom"/>
            <w:tcBorders>
              <w:right w:val="single" w:sz="8" w:color="auto"/>
            </w:tcBorders>
            <w:gridSpan w:val="2"/>
            <w:vMerge w:val="restart"/>
          </w:tcPr>
          <w:p>
            <w:pPr>
              <w:ind w:left="60"/>
              <w:spacing w:after="0"/>
              <w:rPr>
                <w:sz w:val="20"/>
                <w:szCs w:val="20"/>
                <w:color w:val="auto"/>
              </w:rPr>
            </w:pPr>
            <w:r>
              <w:rPr>
                <w:rFonts w:ascii="Arial" w:cs="Arial" w:eastAsia="Arial" w:hAnsi="Arial"/>
                <w:sz w:val="18"/>
                <w:szCs w:val="18"/>
                <w:color w:val="auto"/>
              </w:rPr>
              <w:t>a)   une rémunération fixe payable en espèces;</w:t>
            </w:r>
          </w:p>
        </w:tc>
        <w:tc>
          <w:tcPr>
            <w:tcW w:w="0" w:type="dxa"/>
            <w:vAlign w:val="bottom"/>
          </w:tcPr>
          <w:p>
            <w:pPr>
              <w:spacing w:after="0"/>
              <w:rPr>
                <w:sz w:val="1"/>
                <w:szCs w:val="1"/>
                <w:color w:val="auto"/>
              </w:rPr>
            </w:pPr>
          </w:p>
        </w:tc>
      </w:tr>
      <w:tr>
        <w:trPr>
          <w:trHeight w:val="203"/>
        </w:trPr>
        <w:tc>
          <w:tcPr>
            <w:tcW w:w="5540" w:type="dxa"/>
            <w:vAlign w:val="bottom"/>
            <w:tcBorders>
              <w:left w:val="single" w:sz="8" w:color="auto"/>
              <w:right w:val="single" w:sz="8" w:color="auto"/>
            </w:tcBorders>
            <w:gridSpan w:val="2"/>
            <w:vMerge w:val="restart"/>
          </w:tcPr>
          <w:p>
            <w:pPr>
              <w:ind w:left="100"/>
              <w:spacing w:after="0"/>
              <w:rPr>
                <w:sz w:val="20"/>
                <w:szCs w:val="20"/>
                <w:color w:val="auto"/>
              </w:rPr>
            </w:pPr>
            <w:r>
              <w:rPr>
                <w:rFonts w:ascii="Arial" w:cs="Arial" w:eastAsia="Arial" w:hAnsi="Arial"/>
                <w:sz w:val="18"/>
                <w:szCs w:val="18"/>
                <w:color w:val="auto"/>
              </w:rPr>
              <w:t>a)   a fixed remuneration payable in cash;</w:t>
            </w:r>
          </w:p>
        </w:tc>
        <w:tc>
          <w:tcPr>
            <w:tcW w:w="22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540" w:type="dxa"/>
            <w:vAlign w:val="bottom"/>
            <w:tcBorders>
              <w:left w:val="single" w:sz="8" w:color="auto"/>
              <w:right w:val="single" w:sz="8" w:color="auto"/>
            </w:tcBorders>
            <w:gridSpan w:val="2"/>
            <w:vMerge w:val="continue"/>
          </w:tcPr>
          <w:p>
            <w:pPr>
              <w:spacing w:after="0"/>
              <w:rPr>
                <w:sz w:val="17"/>
                <w:szCs w:val="17"/>
                <w:color w:val="auto"/>
              </w:rPr>
            </w:pPr>
          </w:p>
        </w:tc>
        <w:tc>
          <w:tcPr>
            <w:tcW w:w="22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gridSpan w:val="2"/>
            <w:vMerge w:val="restart"/>
          </w:tcPr>
          <w:p>
            <w:pPr>
              <w:ind w:left="60"/>
              <w:spacing w:after="0"/>
              <w:rPr>
                <w:sz w:val="20"/>
                <w:szCs w:val="20"/>
                <w:color w:val="auto"/>
              </w:rPr>
            </w:pPr>
            <w:r>
              <w:rPr>
                <w:rFonts w:ascii="Arial" w:cs="Arial" w:eastAsia="Arial" w:hAnsi="Arial"/>
                <w:sz w:val="18"/>
                <w:szCs w:val="18"/>
                <w:color w:val="auto"/>
              </w:rPr>
              <w:t>b)   une rémunération liée à la performance payable en espèces</w:t>
            </w:r>
          </w:p>
        </w:tc>
        <w:tc>
          <w:tcPr>
            <w:tcW w:w="0" w:type="dxa"/>
            <w:vAlign w:val="bottom"/>
          </w:tcPr>
          <w:p>
            <w:pPr>
              <w:spacing w:after="0"/>
              <w:rPr>
                <w:sz w:val="1"/>
                <w:szCs w:val="1"/>
                <w:color w:val="auto"/>
              </w:rPr>
            </w:pPr>
          </w:p>
        </w:tc>
      </w:tr>
      <w:tr>
        <w:trPr>
          <w:trHeight w:val="188"/>
        </w:trPr>
        <w:tc>
          <w:tcPr>
            <w:tcW w:w="360" w:type="dxa"/>
            <w:vAlign w:val="bottom"/>
            <w:tcBorders>
              <w:left w:val="single" w:sz="8" w:color="auto"/>
            </w:tcBorders>
          </w:tcPr>
          <w:p>
            <w:pPr>
              <w:spacing w:after="0"/>
              <w:rPr>
                <w:sz w:val="16"/>
                <w:szCs w:val="16"/>
                <w:color w:val="auto"/>
              </w:rPr>
            </w:pPr>
          </w:p>
        </w:tc>
        <w:tc>
          <w:tcPr>
            <w:tcW w:w="5180" w:type="dxa"/>
            <w:vAlign w:val="bottom"/>
            <w:tcBorders>
              <w:right w:val="single" w:sz="8" w:color="auto"/>
            </w:tcBorders>
          </w:tcPr>
          <w:p>
            <w:pPr>
              <w:spacing w:after="0"/>
              <w:rPr>
                <w:sz w:val="16"/>
                <w:szCs w:val="16"/>
                <w:color w:val="auto"/>
              </w:rPr>
            </w:pPr>
          </w:p>
        </w:tc>
        <w:tc>
          <w:tcPr>
            <w:tcW w:w="220" w:type="dxa"/>
            <w:vAlign w:val="bottom"/>
            <w:tcBorders>
              <w:right w:val="single" w:sz="8" w:color="auto"/>
            </w:tcBorders>
          </w:tcPr>
          <w:p>
            <w:pPr>
              <w:spacing w:after="0"/>
              <w:rPr>
                <w:sz w:val="16"/>
                <w:szCs w:val="16"/>
                <w:color w:val="auto"/>
              </w:rPr>
            </w:pPr>
          </w:p>
        </w:tc>
        <w:tc>
          <w:tcPr>
            <w:tcW w:w="5480" w:type="dxa"/>
            <w:vAlign w:val="bottom"/>
            <w:tcBorders>
              <w:right w:val="single" w:sz="8" w:color="auto"/>
            </w:tcBorders>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360" w:type="dxa"/>
            <w:vAlign w:val="bottom"/>
            <w:tcBorders>
              <w:left w:val="single" w:sz="8" w:color="auto"/>
            </w:tcBorders>
          </w:tcPr>
          <w:p>
            <w:pPr>
              <w:ind w:left="100"/>
              <w:spacing w:after="0" w:line="202" w:lineRule="exact"/>
              <w:rPr>
                <w:sz w:val="20"/>
                <w:szCs w:val="20"/>
                <w:color w:val="auto"/>
              </w:rPr>
            </w:pPr>
            <w:r>
              <w:rPr>
                <w:rFonts w:ascii="Arial" w:cs="Arial" w:eastAsia="Arial" w:hAnsi="Arial"/>
                <w:sz w:val="18"/>
                <w:szCs w:val="18"/>
                <w:color w:val="auto"/>
              </w:rPr>
              <w:t>b)</w:t>
            </w:r>
          </w:p>
        </w:tc>
        <w:tc>
          <w:tcPr>
            <w:tcW w:w="5180" w:type="dxa"/>
            <w:vAlign w:val="bottom"/>
            <w:tcBorders>
              <w:right w:val="single" w:sz="8" w:color="auto"/>
            </w:tcBorders>
          </w:tcPr>
          <w:p>
            <w:pPr>
              <w:ind w:left="520"/>
              <w:spacing w:after="0" w:line="202" w:lineRule="exact"/>
              <w:rPr>
                <w:sz w:val="20"/>
                <w:szCs w:val="20"/>
                <w:color w:val="auto"/>
              </w:rPr>
            </w:pPr>
            <w:r>
              <w:rPr>
                <w:rFonts w:ascii="Arial" w:cs="Arial" w:eastAsia="Arial" w:hAnsi="Arial"/>
                <w:sz w:val="18"/>
                <w:szCs w:val="18"/>
                <w:color w:val="auto"/>
              </w:rPr>
              <w:t>a  performance-related  remuneration  payable  in  cash</w:t>
            </w:r>
          </w:p>
        </w:tc>
        <w:tc>
          <w:tcPr>
            <w:tcW w:w="220" w:type="dxa"/>
            <w:vAlign w:val="bottom"/>
            <w:tcBorders>
              <w:right w:val="single" w:sz="8" w:color="auto"/>
            </w:tcBorders>
          </w:tcPr>
          <w:p>
            <w:pPr>
              <w:spacing w:after="0"/>
              <w:rPr>
                <w:sz w:val="17"/>
                <w:szCs w:val="17"/>
                <w:color w:val="auto"/>
              </w:rPr>
            </w:pPr>
          </w:p>
        </w:tc>
        <w:tc>
          <w:tcPr>
            <w:tcW w:w="360" w:type="dxa"/>
            <w:vAlign w:val="bottom"/>
          </w:tcPr>
          <w:p>
            <w:pPr>
              <w:spacing w:after="0"/>
              <w:rPr>
                <w:sz w:val="17"/>
                <w:szCs w:val="17"/>
                <w:color w:val="auto"/>
              </w:rPr>
            </w:pPr>
          </w:p>
        </w:tc>
        <w:tc>
          <w:tcPr>
            <w:tcW w:w="5120" w:type="dxa"/>
            <w:vAlign w:val="bottom"/>
            <w:tcBorders>
              <w:right w:val="single" w:sz="8" w:color="auto"/>
            </w:tcBorders>
          </w:tcPr>
          <w:p>
            <w:pPr>
              <w:ind w:left="160"/>
              <w:spacing w:after="0" w:line="202" w:lineRule="exact"/>
              <w:rPr>
                <w:sz w:val="20"/>
                <w:szCs w:val="20"/>
                <w:color w:val="auto"/>
              </w:rPr>
            </w:pPr>
            <w:r>
              <w:rPr>
                <w:rFonts w:ascii="Arial" w:cs="Arial" w:eastAsia="Arial" w:hAnsi="Arial"/>
                <w:sz w:val="18"/>
                <w:szCs w:val="18"/>
                <w:color w:val="auto"/>
              </w:rPr>
              <w:t>(variable);</w:t>
            </w:r>
          </w:p>
        </w:tc>
        <w:tc>
          <w:tcPr>
            <w:tcW w:w="0" w:type="dxa"/>
            <w:vAlign w:val="bottom"/>
          </w:tcPr>
          <w:p>
            <w:pPr>
              <w:spacing w:after="0"/>
              <w:rPr>
                <w:sz w:val="1"/>
                <w:szCs w:val="1"/>
                <w:color w:val="auto"/>
              </w:rPr>
            </w:pPr>
          </w:p>
        </w:tc>
      </w:tr>
      <w:tr>
        <w:trPr>
          <w:trHeight w:val="217"/>
        </w:trPr>
        <w:tc>
          <w:tcPr>
            <w:tcW w:w="360" w:type="dxa"/>
            <w:vAlign w:val="bottom"/>
            <w:tcBorders>
              <w:left w:val="single" w:sz="8" w:color="auto"/>
            </w:tcBorders>
          </w:tcPr>
          <w:p>
            <w:pPr>
              <w:spacing w:after="0"/>
              <w:rPr>
                <w:sz w:val="18"/>
                <w:szCs w:val="18"/>
                <w:color w:val="auto"/>
              </w:rPr>
            </w:pPr>
          </w:p>
        </w:tc>
        <w:tc>
          <w:tcPr>
            <w:tcW w:w="518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(variable);</w:t>
            </w:r>
          </w:p>
        </w:tc>
        <w:tc>
          <w:tcPr>
            <w:tcW w:w="220" w:type="dxa"/>
            <w:vAlign w:val="bottom"/>
            <w:tcBorders>
              <w:right w:val="single" w:sz="8" w:color="auto"/>
            </w:tcBorders>
          </w:tcPr>
          <w:p>
            <w:pPr>
              <w:spacing w:after="0"/>
              <w:rPr>
                <w:sz w:val="18"/>
                <w:szCs w:val="18"/>
                <w:color w:val="auto"/>
              </w:rPr>
            </w:pPr>
          </w:p>
        </w:tc>
        <w:tc>
          <w:tcPr>
            <w:tcW w:w="360" w:type="dxa"/>
            <w:vAlign w:val="bottom"/>
            <w:vMerge w:val="restart"/>
          </w:tcPr>
          <w:p>
            <w:pPr>
              <w:ind w:left="60"/>
              <w:spacing w:after="0"/>
              <w:rPr>
                <w:sz w:val="20"/>
                <w:szCs w:val="20"/>
                <w:color w:val="auto"/>
              </w:rPr>
            </w:pPr>
            <w:r>
              <w:rPr>
                <w:rFonts w:ascii="Arial" w:cs="Arial" w:eastAsia="Arial" w:hAnsi="Arial"/>
                <w:sz w:val="18"/>
                <w:szCs w:val="18"/>
                <w:color w:val="auto"/>
              </w:rPr>
              <w:t>c)</w:t>
            </w:r>
          </w:p>
        </w:tc>
        <w:tc>
          <w:tcPr>
            <w:tcW w:w="5120" w:type="dxa"/>
            <w:vAlign w:val="bottom"/>
            <w:tcBorders>
              <w:right w:val="single" w:sz="8" w:color="auto"/>
            </w:tcBorders>
            <w:vMerge w:val="restart"/>
          </w:tcPr>
          <w:p>
            <w:pPr>
              <w:ind w:left="240"/>
              <w:spacing w:after="0"/>
              <w:rPr>
                <w:sz w:val="20"/>
                <w:szCs w:val="20"/>
                <w:color w:val="auto"/>
              </w:rPr>
            </w:pPr>
            <w:r>
              <w:rPr>
                <w:rFonts w:ascii="Arial" w:cs="Arial" w:eastAsia="Arial" w:hAnsi="Arial"/>
                <w:sz w:val="18"/>
                <w:szCs w:val="18"/>
                <w:color w:val="auto"/>
              </w:rPr>
              <w:t>un nombre d'actions ou d'options dans la société, comme</w:t>
            </w:r>
          </w:p>
        </w:tc>
        <w:tc>
          <w:tcPr>
            <w:tcW w:w="0" w:type="dxa"/>
            <w:vAlign w:val="bottom"/>
          </w:tcPr>
          <w:p>
            <w:pPr>
              <w:spacing w:after="0"/>
              <w:rPr>
                <w:sz w:val="1"/>
                <w:szCs w:val="1"/>
                <w:color w:val="auto"/>
              </w:rPr>
            </w:pPr>
          </w:p>
        </w:tc>
      </w:tr>
      <w:tr>
        <w:trPr>
          <w:trHeight w:val="188"/>
        </w:trPr>
        <w:tc>
          <w:tcPr>
            <w:tcW w:w="360" w:type="dxa"/>
            <w:vAlign w:val="bottom"/>
            <w:tcBorders>
              <w:left w:val="single" w:sz="8" w:color="auto"/>
            </w:tcBorders>
          </w:tcPr>
          <w:p>
            <w:pPr>
              <w:spacing w:after="0"/>
              <w:rPr>
                <w:sz w:val="16"/>
                <w:szCs w:val="16"/>
                <w:color w:val="auto"/>
              </w:rPr>
            </w:pPr>
          </w:p>
        </w:tc>
        <w:tc>
          <w:tcPr>
            <w:tcW w:w="5180" w:type="dxa"/>
            <w:vAlign w:val="bottom"/>
            <w:tcBorders>
              <w:right w:val="single" w:sz="8" w:color="auto"/>
            </w:tcBorders>
          </w:tcPr>
          <w:p>
            <w:pPr>
              <w:spacing w:after="0"/>
              <w:rPr>
                <w:sz w:val="16"/>
                <w:szCs w:val="16"/>
                <w:color w:val="auto"/>
              </w:rPr>
            </w:pPr>
          </w:p>
        </w:tc>
        <w:tc>
          <w:tcPr>
            <w:tcW w:w="220" w:type="dxa"/>
            <w:vAlign w:val="bottom"/>
            <w:tcBorders>
              <w:right w:val="single" w:sz="8" w:color="auto"/>
            </w:tcBorders>
          </w:tcPr>
          <w:p>
            <w:pPr>
              <w:spacing w:after="0"/>
              <w:rPr>
                <w:sz w:val="16"/>
                <w:szCs w:val="16"/>
                <w:color w:val="auto"/>
              </w:rPr>
            </w:pPr>
          </w:p>
        </w:tc>
        <w:tc>
          <w:tcPr>
            <w:tcW w:w="360" w:type="dxa"/>
            <w:vAlign w:val="bottom"/>
            <w:vMerge w:val="continue"/>
          </w:tcPr>
          <w:p>
            <w:pPr>
              <w:spacing w:after="0"/>
              <w:rPr>
                <w:sz w:val="16"/>
                <w:szCs w:val="16"/>
                <w:color w:val="auto"/>
              </w:rPr>
            </w:pPr>
          </w:p>
        </w:tc>
        <w:tc>
          <w:tcPr>
            <w:tcW w:w="5120" w:type="dxa"/>
            <w:vAlign w:val="bottom"/>
            <w:tcBorders>
              <w:right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360" w:type="dxa"/>
            <w:vAlign w:val="bottom"/>
            <w:tcBorders>
              <w:left w:val="single" w:sz="8" w:color="auto"/>
            </w:tcBorders>
          </w:tcPr>
          <w:p>
            <w:pPr>
              <w:ind w:left="100"/>
              <w:spacing w:after="0" w:line="202" w:lineRule="exact"/>
              <w:rPr>
                <w:sz w:val="20"/>
                <w:szCs w:val="20"/>
                <w:color w:val="auto"/>
              </w:rPr>
            </w:pPr>
            <w:r>
              <w:rPr>
                <w:rFonts w:ascii="Arial" w:cs="Arial" w:eastAsia="Arial" w:hAnsi="Arial"/>
                <w:sz w:val="18"/>
                <w:szCs w:val="18"/>
                <w:color w:val="auto"/>
              </w:rPr>
              <w:t>c)</w:t>
            </w:r>
          </w:p>
        </w:tc>
        <w:tc>
          <w:tcPr>
            <w:tcW w:w="5180" w:type="dxa"/>
            <w:vAlign w:val="bottom"/>
            <w:tcBorders>
              <w:right w:val="single" w:sz="8" w:color="auto"/>
            </w:tcBorders>
          </w:tcPr>
          <w:p>
            <w:pPr>
              <w:ind w:left="260"/>
              <w:spacing w:after="0" w:line="202" w:lineRule="exact"/>
              <w:rPr>
                <w:sz w:val="20"/>
                <w:szCs w:val="20"/>
                <w:color w:val="auto"/>
              </w:rPr>
            </w:pPr>
            <w:r>
              <w:rPr>
                <w:rFonts w:ascii="Arial" w:cs="Arial" w:eastAsia="Arial" w:hAnsi="Arial"/>
                <w:sz w:val="18"/>
                <w:szCs w:val="18"/>
                <w:color w:val="auto"/>
              </w:rPr>
              <w:t>a number of options or shares in the Company, as further</w:t>
            </w:r>
          </w:p>
        </w:tc>
        <w:tc>
          <w:tcPr>
            <w:tcW w:w="220" w:type="dxa"/>
            <w:vAlign w:val="bottom"/>
            <w:tcBorders>
              <w:right w:val="single" w:sz="8" w:color="auto"/>
            </w:tcBorders>
          </w:tcPr>
          <w:p>
            <w:pPr>
              <w:spacing w:after="0"/>
              <w:rPr>
                <w:sz w:val="17"/>
                <w:szCs w:val="17"/>
                <w:color w:val="auto"/>
              </w:rPr>
            </w:pPr>
          </w:p>
        </w:tc>
        <w:tc>
          <w:tcPr>
            <w:tcW w:w="360" w:type="dxa"/>
            <w:vAlign w:val="bottom"/>
          </w:tcPr>
          <w:p>
            <w:pPr>
              <w:spacing w:after="0"/>
              <w:rPr>
                <w:sz w:val="17"/>
                <w:szCs w:val="17"/>
                <w:color w:val="auto"/>
              </w:rPr>
            </w:pPr>
          </w:p>
        </w:tc>
        <w:tc>
          <w:tcPr>
            <w:tcW w:w="5120" w:type="dxa"/>
            <w:vAlign w:val="bottom"/>
            <w:tcBorders>
              <w:right w:val="single" w:sz="8" w:color="auto"/>
            </w:tcBorders>
          </w:tcPr>
          <w:p>
            <w:pPr>
              <w:ind w:left="160"/>
              <w:spacing w:after="0" w:line="202" w:lineRule="exact"/>
              <w:rPr>
                <w:sz w:val="20"/>
                <w:szCs w:val="20"/>
                <w:color w:val="auto"/>
              </w:rPr>
            </w:pPr>
            <w:r>
              <w:rPr>
                <w:rFonts w:ascii="Arial" w:cs="Arial" w:eastAsia="Arial" w:hAnsi="Arial"/>
                <w:sz w:val="18"/>
                <w:szCs w:val="18"/>
                <w:color w:val="auto"/>
              </w:rPr>
              <w:t>détaillée à l'art. 41.</w:t>
            </w:r>
          </w:p>
        </w:tc>
        <w:tc>
          <w:tcPr>
            <w:tcW w:w="0" w:type="dxa"/>
            <w:vAlign w:val="bottom"/>
          </w:tcPr>
          <w:p>
            <w:pPr>
              <w:spacing w:after="0"/>
              <w:rPr>
                <w:sz w:val="1"/>
                <w:szCs w:val="1"/>
                <w:color w:val="auto"/>
              </w:rPr>
            </w:pPr>
          </w:p>
        </w:tc>
      </w:tr>
      <w:tr>
        <w:trPr>
          <w:trHeight w:val="217"/>
        </w:trPr>
        <w:tc>
          <w:tcPr>
            <w:tcW w:w="360" w:type="dxa"/>
            <w:vAlign w:val="bottom"/>
            <w:tcBorders>
              <w:left w:val="single" w:sz="8" w:color="auto"/>
            </w:tcBorders>
          </w:tcPr>
          <w:p>
            <w:pPr>
              <w:spacing w:after="0"/>
              <w:rPr>
                <w:sz w:val="18"/>
                <w:szCs w:val="18"/>
                <w:color w:val="auto"/>
              </w:rPr>
            </w:pPr>
          </w:p>
        </w:tc>
        <w:tc>
          <w:tcPr>
            <w:tcW w:w="518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outlined in Art. 41.</w:t>
            </w:r>
          </w:p>
        </w:tc>
        <w:tc>
          <w:tcPr>
            <w:tcW w:w="220" w:type="dxa"/>
            <w:vAlign w:val="bottom"/>
            <w:tcBorders>
              <w:right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51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54"/>
        </w:trPr>
        <w:tc>
          <w:tcPr>
            <w:tcW w:w="5540" w:type="dxa"/>
            <w:vAlign w:val="bottom"/>
            <w:tcBorders>
              <w:left w:val="single" w:sz="8" w:color="auto"/>
              <w:bottom w:val="single" w:sz="8" w:color="auto"/>
              <w:right w:val="single" w:sz="8" w:color="auto"/>
            </w:tcBorders>
            <w:gridSpan w:val="2"/>
          </w:tcPr>
          <w:p>
            <w:pPr>
              <w:spacing w:after="0"/>
              <w:rPr>
                <w:sz w:val="4"/>
                <w:szCs w:val="4"/>
                <w:color w:val="auto"/>
              </w:rPr>
            </w:pPr>
          </w:p>
        </w:tc>
        <w:tc>
          <w:tcPr>
            <w:tcW w:w="220" w:type="dxa"/>
            <w:vAlign w:val="bottom"/>
            <w:tcBorders>
              <w:bottom w:val="single" w:sz="8" w:color="auto"/>
              <w:right w:val="single" w:sz="8" w:color="auto"/>
            </w:tcBorders>
          </w:tcPr>
          <w:p>
            <w:pPr>
              <w:spacing w:after="0"/>
              <w:rPr>
                <w:sz w:val="4"/>
                <w:szCs w:val="4"/>
                <w:color w:val="auto"/>
              </w:rPr>
            </w:pPr>
          </w:p>
        </w:tc>
        <w:tc>
          <w:tcPr>
            <w:tcW w:w="5480" w:type="dxa"/>
            <w:vAlign w:val="bottom"/>
            <w:tcBorders>
              <w:bottom w:val="single" w:sz="8" w:color="auto"/>
              <w:right w:val="single" w:sz="8" w:color="auto"/>
            </w:tcBorders>
            <w:gridSpan w:val="2"/>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5540" w:type="dxa"/>
            <w:vAlign w:val="bottom"/>
            <w:tcBorders>
              <w:left w:val="single" w:sz="8" w:color="auto"/>
              <w:right w:val="single" w:sz="8" w:color="auto"/>
            </w:tcBorders>
            <w:gridSpan w:val="2"/>
          </w:tcPr>
          <w:p>
            <w:pPr>
              <w:ind w:left="100"/>
              <w:spacing w:after="0"/>
              <w:rPr>
                <w:sz w:val="20"/>
                <w:szCs w:val="20"/>
                <w:color w:val="auto"/>
              </w:rPr>
            </w:pPr>
            <w:r>
              <w:rPr>
                <w:rFonts w:ascii="Arial" w:cs="Arial" w:eastAsia="Arial" w:hAnsi="Arial"/>
                <w:sz w:val="18"/>
                <w:szCs w:val="18"/>
                <w:color w:val="auto"/>
              </w:rPr>
              <w:t>The performance-related remuneration depends on the Company's</w:t>
            </w:r>
          </w:p>
        </w:tc>
        <w:tc>
          <w:tcPr>
            <w:tcW w:w="220" w:type="dxa"/>
            <w:vAlign w:val="bottom"/>
            <w:tcBorders>
              <w:right w:val="single" w:sz="8" w:color="auto"/>
            </w:tcBorders>
          </w:tcPr>
          <w:p>
            <w:pPr>
              <w:spacing w:after="0"/>
              <w:rPr>
                <w:sz w:val="22"/>
                <w:szCs w:val="22"/>
                <w:color w:val="auto"/>
              </w:rPr>
            </w:pPr>
          </w:p>
        </w:tc>
        <w:tc>
          <w:tcPr>
            <w:tcW w:w="5480" w:type="dxa"/>
            <w:vAlign w:val="bottom"/>
            <w:tcBorders>
              <w:right w:val="single" w:sz="8" w:color="auto"/>
            </w:tcBorders>
            <w:gridSpan w:val="2"/>
          </w:tcPr>
          <w:p>
            <w:pPr>
              <w:ind w:left="60"/>
              <w:spacing w:after="0"/>
              <w:rPr>
                <w:sz w:val="20"/>
                <w:szCs w:val="20"/>
                <w:color w:val="auto"/>
              </w:rPr>
            </w:pPr>
            <w:r>
              <w:rPr>
                <w:rFonts w:ascii="Arial" w:cs="Arial" w:eastAsia="Arial" w:hAnsi="Arial"/>
                <w:sz w:val="18"/>
                <w:szCs w:val="18"/>
                <w:color w:val="auto"/>
              </w:rPr>
              <w:t>La rémunération liée à la performance dépend de la réussite</w:t>
            </w:r>
          </w:p>
        </w:tc>
        <w:tc>
          <w:tcPr>
            <w:tcW w:w="0" w:type="dxa"/>
            <w:vAlign w:val="bottom"/>
          </w:tcPr>
          <w:p>
            <w:pPr>
              <w:spacing w:after="0"/>
              <w:rPr>
                <w:sz w:val="1"/>
                <w:szCs w:val="1"/>
                <w:color w:val="auto"/>
              </w:rPr>
            </w:pPr>
          </w:p>
        </w:tc>
      </w:tr>
      <w:tr>
        <w:trPr>
          <w:trHeight w:val="203"/>
        </w:trPr>
        <w:tc>
          <w:tcPr>
            <w:tcW w:w="5540" w:type="dxa"/>
            <w:vAlign w:val="bottom"/>
            <w:tcBorders>
              <w:left w:val="single" w:sz="8" w:color="auto"/>
              <w:right w:val="single" w:sz="8" w:color="auto"/>
            </w:tcBorders>
            <w:gridSpan w:val="2"/>
          </w:tcPr>
          <w:p>
            <w:pPr>
              <w:ind w:left="100"/>
              <w:spacing w:after="0" w:line="202" w:lineRule="exact"/>
              <w:rPr>
                <w:sz w:val="20"/>
                <w:szCs w:val="20"/>
                <w:color w:val="auto"/>
              </w:rPr>
            </w:pPr>
            <w:r>
              <w:rPr>
                <w:rFonts w:ascii="Arial" w:cs="Arial" w:eastAsia="Arial" w:hAnsi="Arial"/>
                <w:sz w:val="18"/>
                <w:szCs w:val="18"/>
                <w:color w:val="auto"/>
              </w:rPr>
              <w:t>business success and the individual performance of the member of</w:t>
            </w:r>
          </w:p>
        </w:tc>
        <w:tc>
          <w:tcPr>
            <w:tcW w:w="22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gridSpan w:val="2"/>
          </w:tcPr>
          <w:p>
            <w:pPr>
              <w:ind w:left="60"/>
              <w:spacing w:after="0" w:line="202" w:lineRule="exact"/>
              <w:rPr>
                <w:sz w:val="20"/>
                <w:szCs w:val="20"/>
                <w:color w:val="auto"/>
              </w:rPr>
            </w:pPr>
            <w:r>
              <w:rPr>
                <w:rFonts w:ascii="Arial" w:cs="Arial" w:eastAsia="Arial" w:hAnsi="Arial"/>
                <w:sz w:val="18"/>
                <w:szCs w:val="18"/>
                <w:color w:val="auto"/>
              </w:rPr>
              <w:t>économique de la société et de la performance individuelle du</w:t>
            </w:r>
          </w:p>
        </w:tc>
        <w:tc>
          <w:tcPr>
            <w:tcW w:w="0" w:type="dxa"/>
            <w:vAlign w:val="bottom"/>
          </w:tcPr>
          <w:p>
            <w:pPr>
              <w:spacing w:after="0"/>
              <w:rPr>
                <w:sz w:val="1"/>
                <w:szCs w:val="1"/>
                <w:color w:val="auto"/>
              </w:rPr>
            </w:pPr>
          </w:p>
        </w:tc>
      </w:tr>
      <w:tr>
        <w:trPr>
          <w:trHeight w:val="203"/>
        </w:trPr>
        <w:tc>
          <w:tcPr>
            <w:tcW w:w="5540" w:type="dxa"/>
            <w:vAlign w:val="bottom"/>
            <w:tcBorders>
              <w:left w:val="single" w:sz="8" w:color="auto"/>
              <w:right w:val="single" w:sz="8" w:color="auto"/>
            </w:tcBorders>
            <w:gridSpan w:val="2"/>
          </w:tcPr>
          <w:p>
            <w:pPr>
              <w:ind w:left="100"/>
              <w:spacing w:after="0" w:line="202" w:lineRule="exact"/>
              <w:rPr>
                <w:sz w:val="20"/>
                <w:szCs w:val="20"/>
                <w:color w:val="auto"/>
              </w:rPr>
            </w:pPr>
            <w:r>
              <w:rPr>
                <w:rFonts w:ascii="Arial" w:cs="Arial" w:eastAsia="Arial" w:hAnsi="Arial"/>
                <w:sz w:val="18"/>
                <w:szCs w:val="18"/>
                <w:color w:val="auto"/>
              </w:rPr>
              <w:t>the  Executive  Committee  based  on  the  achievement  of  pre-</w:t>
            </w:r>
          </w:p>
        </w:tc>
        <w:tc>
          <w:tcPr>
            <w:tcW w:w="22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gridSpan w:val="2"/>
          </w:tcPr>
          <w:p>
            <w:pPr>
              <w:ind w:left="60"/>
              <w:spacing w:after="0" w:line="202" w:lineRule="exact"/>
              <w:rPr>
                <w:sz w:val="20"/>
                <w:szCs w:val="20"/>
                <w:color w:val="auto"/>
              </w:rPr>
            </w:pPr>
            <w:r>
              <w:rPr>
                <w:rFonts w:ascii="Arial" w:cs="Arial" w:eastAsia="Arial" w:hAnsi="Arial"/>
                <w:sz w:val="18"/>
                <w:szCs w:val="18"/>
                <w:color w:val="auto"/>
              </w:rPr>
              <w:t>membre du comité exécutif sur la base de la réalisation des</w:t>
            </w:r>
          </w:p>
        </w:tc>
        <w:tc>
          <w:tcPr>
            <w:tcW w:w="0" w:type="dxa"/>
            <w:vAlign w:val="bottom"/>
          </w:tcPr>
          <w:p>
            <w:pPr>
              <w:spacing w:after="0"/>
              <w:rPr>
                <w:sz w:val="1"/>
                <w:szCs w:val="1"/>
                <w:color w:val="auto"/>
              </w:rPr>
            </w:pPr>
          </w:p>
        </w:tc>
      </w:tr>
      <w:tr>
        <w:trPr>
          <w:trHeight w:val="203"/>
        </w:trPr>
        <w:tc>
          <w:tcPr>
            <w:tcW w:w="5540" w:type="dxa"/>
            <w:vAlign w:val="bottom"/>
            <w:tcBorders>
              <w:left w:val="single" w:sz="8" w:color="auto"/>
              <w:right w:val="single" w:sz="8" w:color="auto"/>
            </w:tcBorders>
            <w:gridSpan w:val="2"/>
          </w:tcPr>
          <w:p>
            <w:pPr>
              <w:ind w:left="100"/>
              <w:spacing w:after="0" w:line="202" w:lineRule="exact"/>
              <w:rPr>
                <w:sz w:val="20"/>
                <w:szCs w:val="20"/>
                <w:color w:val="auto"/>
              </w:rPr>
            </w:pPr>
            <w:r>
              <w:rPr>
                <w:rFonts w:ascii="Arial" w:cs="Arial" w:eastAsia="Arial" w:hAnsi="Arial"/>
                <w:sz w:val="18"/>
                <w:szCs w:val="18"/>
                <w:color w:val="auto"/>
              </w:rPr>
              <w:t>determined targets during a business year. The Board of Directors</w:t>
            </w:r>
          </w:p>
        </w:tc>
        <w:tc>
          <w:tcPr>
            <w:tcW w:w="22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gridSpan w:val="2"/>
          </w:tcPr>
          <w:p>
            <w:pPr>
              <w:ind w:left="60"/>
              <w:spacing w:after="0" w:line="202" w:lineRule="exact"/>
              <w:rPr>
                <w:sz w:val="20"/>
                <w:szCs w:val="20"/>
                <w:color w:val="auto"/>
              </w:rPr>
            </w:pPr>
            <w:r>
              <w:rPr>
                <w:rFonts w:ascii="Arial" w:cs="Arial" w:eastAsia="Arial" w:hAnsi="Arial"/>
                <w:sz w:val="18"/>
                <w:szCs w:val="18"/>
                <w:color w:val="auto"/>
              </w:rPr>
              <w:t>objectifs prédéterminés au cours d'une année d'activité. Le conseil</w:t>
            </w:r>
          </w:p>
        </w:tc>
        <w:tc>
          <w:tcPr>
            <w:tcW w:w="0" w:type="dxa"/>
            <w:vAlign w:val="bottom"/>
          </w:tcPr>
          <w:p>
            <w:pPr>
              <w:spacing w:after="0"/>
              <w:rPr>
                <w:sz w:val="1"/>
                <w:szCs w:val="1"/>
                <w:color w:val="auto"/>
              </w:rPr>
            </w:pPr>
          </w:p>
        </w:tc>
      </w:tr>
      <w:tr>
        <w:trPr>
          <w:trHeight w:val="203"/>
        </w:trPr>
        <w:tc>
          <w:tcPr>
            <w:tcW w:w="5540" w:type="dxa"/>
            <w:vAlign w:val="bottom"/>
            <w:tcBorders>
              <w:left w:val="single" w:sz="8" w:color="auto"/>
              <w:right w:val="single" w:sz="8" w:color="auto"/>
            </w:tcBorders>
            <w:gridSpan w:val="2"/>
          </w:tcPr>
          <w:p>
            <w:pPr>
              <w:ind w:left="100"/>
              <w:spacing w:after="0" w:line="202" w:lineRule="exact"/>
              <w:rPr>
                <w:sz w:val="20"/>
                <w:szCs w:val="20"/>
                <w:color w:val="auto"/>
              </w:rPr>
            </w:pPr>
            <w:r>
              <w:rPr>
                <w:rFonts w:ascii="Arial" w:cs="Arial" w:eastAsia="Arial" w:hAnsi="Arial"/>
                <w:sz w:val="18"/>
                <w:szCs w:val="18"/>
                <w:color w:val="auto"/>
              </w:rPr>
              <w:t>determines annually at the beginning of each relevant business</w:t>
            </w:r>
          </w:p>
        </w:tc>
        <w:tc>
          <w:tcPr>
            <w:tcW w:w="22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gridSpan w:val="2"/>
          </w:tcPr>
          <w:p>
            <w:pPr>
              <w:ind w:left="60"/>
              <w:spacing w:after="0" w:line="202" w:lineRule="exact"/>
              <w:rPr>
                <w:sz w:val="20"/>
                <w:szCs w:val="20"/>
                <w:color w:val="auto"/>
              </w:rPr>
            </w:pPr>
            <w:r>
              <w:rPr>
                <w:rFonts w:ascii="Arial" w:cs="Arial" w:eastAsia="Arial" w:hAnsi="Arial"/>
                <w:sz w:val="18"/>
                <w:szCs w:val="18"/>
                <w:color w:val="auto"/>
              </w:rPr>
              <w:t>d'administration  détermine  au  début  de  chaque  exercice  les</w:t>
            </w:r>
          </w:p>
        </w:tc>
        <w:tc>
          <w:tcPr>
            <w:tcW w:w="0" w:type="dxa"/>
            <w:vAlign w:val="bottom"/>
          </w:tcPr>
          <w:p>
            <w:pPr>
              <w:spacing w:after="0"/>
              <w:rPr>
                <w:sz w:val="1"/>
                <w:szCs w:val="1"/>
                <w:color w:val="auto"/>
              </w:rPr>
            </w:pPr>
          </w:p>
        </w:tc>
      </w:tr>
      <w:tr>
        <w:trPr>
          <w:trHeight w:val="203"/>
        </w:trPr>
        <w:tc>
          <w:tcPr>
            <w:tcW w:w="5540" w:type="dxa"/>
            <w:vAlign w:val="bottom"/>
            <w:tcBorders>
              <w:left w:val="single" w:sz="8" w:color="auto"/>
              <w:right w:val="single" w:sz="8" w:color="auto"/>
            </w:tcBorders>
            <w:gridSpan w:val="2"/>
          </w:tcPr>
          <w:p>
            <w:pPr>
              <w:ind w:left="100"/>
              <w:spacing w:after="0" w:line="202" w:lineRule="exact"/>
              <w:rPr>
                <w:sz w:val="20"/>
                <w:szCs w:val="20"/>
                <w:color w:val="auto"/>
              </w:rPr>
            </w:pPr>
            <w:r>
              <w:rPr>
                <w:rFonts w:ascii="Arial" w:cs="Arial" w:eastAsia="Arial" w:hAnsi="Arial"/>
                <w:sz w:val="18"/>
                <w:szCs w:val="18"/>
                <w:color w:val="auto"/>
              </w:rPr>
              <w:t>year the decisive targets and their weighting upon proposal by the</w:t>
            </w:r>
          </w:p>
        </w:tc>
        <w:tc>
          <w:tcPr>
            <w:tcW w:w="22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gridSpan w:val="2"/>
          </w:tcPr>
          <w:p>
            <w:pPr>
              <w:ind w:left="60"/>
              <w:spacing w:after="0" w:line="202" w:lineRule="exact"/>
              <w:rPr>
                <w:sz w:val="20"/>
                <w:szCs w:val="20"/>
                <w:color w:val="auto"/>
              </w:rPr>
            </w:pPr>
            <w:r>
              <w:rPr>
                <w:rFonts w:ascii="Arial" w:cs="Arial" w:eastAsia="Arial" w:hAnsi="Arial"/>
                <w:sz w:val="18"/>
                <w:szCs w:val="18"/>
                <w:color w:val="auto"/>
              </w:rPr>
              <w:t>objectifs décisifs et leur pondération sur proposition du comité de</w:t>
            </w:r>
          </w:p>
        </w:tc>
        <w:tc>
          <w:tcPr>
            <w:tcW w:w="0" w:type="dxa"/>
            <w:vAlign w:val="bottom"/>
          </w:tcPr>
          <w:p>
            <w:pPr>
              <w:spacing w:after="0"/>
              <w:rPr>
                <w:sz w:val="1"/>
                <w:szCs w:val="1"/>
                <w:color w:val="auto"/>
              </w:rPr>
            </w:pPr>
          </w:p>
        </w:tc>
      </w:tr>
      <w:tr>
        <w:trPr>
          <w:trHeight w:val="203"/>
        </w:trPr>
        <w:tc>
          <w:tcPr>
            <w:tcW w:w="5540" w:type="dxa"/>
            <w:vAlign w:val="bottom"/>
            <w:tcBorders>
              <w:left w:val="single" w:sz="8" w:color="auto"/>
              <w:right w:val="single" w:sz="8" w:color="auto"/>
            </w:tcBorders>
            <w:gridSpan w:val="2"/>
          </w:tcPr>
          <w:p>
            <w:pPr>
              <w:ind w:left="100"/>
              <w:spacing w:after="0" w:line="202" w:lineRule="exact"/>
              <w:rPr>
                <w:sz w:val="20"/>
                <w:szCs w:val="20"/>
                <w:color w:val="auto"/>
              </w:rPr>
            </w:pPr>
            <w:r>
              <w:rPr>
                <w:rFonts w:ascii="Arial" w:cs="Arial" w:eastAsia="Arial" w:hAnsi="Arial"/>
                <w:sz w:val="18"/>
                <w:szCs w:val="18"/>
                <w:color w:val="auto"/>
              </w:rPr>
              <w:t>Compensation Committee. The amount of the performance-related</w:t>
            </w:r>
          </w:p>
        </w:tc>
        <w:tc>
          <w:tcPr>
            <w:tcW w:w="22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gridSpan w:val="2"/>
          </w:tcPr>
          <w:p>
            <w:pPr>
              <w:ind w:left="60"/>
              <w:spacing w:after="0" w:line="202" w:lineRule="exact"/>
              <w:rPr>
                <w:sz w:val="20"/>
                <w:szCs w:val="20"/>
                <w:color w:val="auto"/>
              </w:rPr>
            </w:pPr>
            <w:r>
              <w:rPr>
                <w:rFonts w:ascii="Arial" w:cs="Arial" w:eastAsia="Arial" w:hAnsi="Arial"/>
                <w:sz w:val="18"/>
                <w:szCs w:val="18"/>
                <w:color w:val="auto"/>
              </w:rPr>
              <w:t>rémunération.  Le  montant  de  la  rémunération  liée  à  la</w:t>
            </w:r>
          </w:p>
        </w:tc>
        <w:tc>
          <w:tcPr>
            <w:tcW w:w="0" w:type="dxa"/>
            <w:vAlign w:val="bottom"/>
          </w:tcPr>
          <w:p>
            <w:pPr>
              <w:spacing w:after="0"/>
              <w:rPr>
                <w:sz w:val="1"/>
                <w:szCs w:val="1"/>
                <w:color w:val="auto"/>
              </w:rPr>
            </w:pPr>
          </w:p>
        </w:tc>
      </w:tr>
      <w:tr>
        <w:trPr>
          <w:trHeight w:val="202"/>
        </w:trPr>
        <w:tc>
          <w:tcPr>
            <w:tcW w:w="5540" w:type="dxa"/>
            <w:vAlign w:val="bottom"/>
            <w:tcBorders>
              <w:left w:val="single" w:sz="8" w:color="auto"/>
              <w:right w:val="single" w:sz="8" w:color="auto"/>
            </w:tcBorders>
            <w:gridSpan w:val="2"/>
          </w:tcPr>
          <w:p>
            <w:pPr>
              <w:ind w:left="100"/>
              <w:spacing w:after="0" w:line="202" w:lineRule="exact"/>
              <w:rPr>
                <w:sz w:val="20"/>
                <w:szCs w:val="20"/>
                <w:color w:val="auto"/>
              </w:rPr>
            </w:pPr>
            <w:r>
              <w:rPr>
                <w:rFonts w:ascii="Arial" w:cs="Arial" w:eastAsia="Arial" w:hAnsi="Arial"/>
                <w:sz w:val="18"/>
                <w:szCs w:val="18"/>
                <w:color w:val="auto"/>
              </w:rPr>
              <w:t>remuneration for each member of the Executive Committee is</w:t>
            </w:r>
          </w:p>
        </w:tc>
        <w:tc>
          <w:tcPr>
            <w:tcW w:w="22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gridSpan w:val="2"/>
          </w:tcPr>
          <w:p>
            <w:pPr>
              <w:ind w:left="60"/>
              <w:spacing w:after="0" w:line="202" w:lineRule="exact"/>
              <w:rPr>
                <w:sz w:val="20"/>
                <w:szCs w:val="20"/>
                <w:color w:val="auto"/>
              </w:rPr>
            </w:pPr>
            <w:r>
              <w:rPr>
                <w:rFonts w:ascii="Arial" w:cs="Arial" w:eastAsia="Arial" w:hAnsi="Arial"/>
                <w:sz w:val="18"/>
                <w:szCs w:val="18"/>
                <w:color w:val="auto"/>
              </w:rPr>
              <w:t>performance  pour  chaque  membre  du  comité  exécutif  est</w:t>
            </w:r>
          </w:p>
        </w:tc>
        <w:tc>
          <w:tcPr>
            <w:tcW w:w="0" w:type="dxa"/>
            <w:vAlign w:val="bottom"/>
          </w:tcPr>
          <w:p>
            <w:pPr>
              <w:spacing w:after="0"/>
              <w:rPr>
                <w:sz w:val="1"/>
                <w:szCs w:val="1"/>
                <w:color w:val="auto"/>
              </w:rPr>
            </w:pPr>
          </w:p>
        </w:tc>
      </w:tr>
      <w:tr>
        <w:trPr>
          <w:trHeight w:val="203"/>
        </w:trPr>
        <w:tc>
          <w:tcPr>
            <w:tcW w:w="5540" w:type="dxa"/>
            <w:vAlign w:val="bottom"/>
            <w:tcBorders>
              <w:left w:val="single" w:sz="8" w:color="auto"/>
              <w:right w:val="single" w:sz="8" w:color="auto"/>
            </w:tcBorders>
            <w:gridSpan w:val="2"/>
          </w:tcPr>
          <w:p>
            <w:pPr>
              <w:ind w:left="100"/>
              <w:spacing w:after="0" w:line="202" w:lineRule="exact"/>
              <w:rPr>
                <w:sz w:val="20"/>
                <w:szCs w:val="20"/>
                <w:color w:val="auto"/>
              </w:rPr>
            </w:pPr>
            <w:r>
              <w:rPr>
                <w:rFonts w:ascii="Arial" w:cs="Arial" w:eastAsia="Arial" w:hAnsi="Arial"/>
                <w:sz w:val="18"/>
                <w:szCs w:val="18"/>
                <w:color w:val="auto"/>
              </w:rPr>
              <w:t>determined by the Board of Directors and may not exceed 100</w:t>
            </w:r>
          </w:p>
        </w:tc>
        <w:tc>
          <w:tcPr>
            <w:tcW w:w="22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gridSpan w:val="2"/>
          </w:tcPr>
          <w:p>
            <w:pPr>
              <w:ind w:left="60"/>
              <w:spacing w:after="0" w:line="202" w:lineRule="exact"/>
              <w:rPr>
                <w:sz w:val="20"/>
                <w:szCs w:val="20"/>
                <w:color w:val="auto"/>
              </w:rPr>
            </w:pPr>
            <w:r>
              <w:rPr>
                <w:rFonts w:ascii="Arial" w:cs="Arial" w:eastAsia="Arial" w:hAnsi="Arial"/>
                <w:sz w:val="18"/>
                <w:szCs w:val="18"/>
                <w:color w:val="auto"/>
              </w:rPr>
              <w:t>déterminé par le conseil d'administration et ne peut dépasser 100</w:t>
            </w:r>
          </w:p>
        </w:tc>
        <w:tc>
          <w:tcPr>
            <w:tcW w:w="0" w:type="dxa"/>
            <w:vAlign w:val="bottom"/>
          </w:tcPr>
          <w:p>
            <w:pPr>
              <w:spacing w:after="0"/>
              <w:rPr>
                <w:sz w:val="1"/>
                <w:szCs w:val="1"/>
                <w:color w:val="auto"/>
              </w:rPr>
            </w:pPr>
          </w:p>
        </w:tc>
      </w:tr>
      <w:tr>
        <w:trPr>
          <w:trHeight w:val="203"/>
        </w:trPr>
        <w:tc>
          <w:tcPr>
            <w:tcW w:w="5540" w:type="dxa"/>
            <w:vAlign w:val="bottom"/>
            <w:tcBorders>
              <w:left w:val="single" w:sz="8" w:color="auto"/>
              <w:right w:val="single" w:sz="8" w:color="auto"/>
            </w:tcBorders>
            <w:gridSpan w:val="2"/>
          </w:tcPr>
          <w:p>
            <w:pPr>
              <w:ind w:left="100"/>
              <w:spacing w:after="0" w:line="202" w:lineRule="exact"/>
              <w:rPr>
                <w:sz w:val="20"/>
                <w:szCs w:val="20"/>
                <w:color w:val="auto"/>
              </w:rPr>
            </w:pPr>
            <w:r>
              <w:rPr>
                <w:rFonts w:ascii="Arial" w:cs="Arial" w:eastAsia="Arial" w:hAnsi="Arial"/>
                <w:sz w:val="18"/>
                <w:szCs w:val="18"/>
                <w:color w:val="auto"/>
              </w:rPr>
              <w:t>percent of the respective individual fixed remuneration for the</w:t>
            </w:r>
          </w:p>
        </w:tc>
        <w:tc>
          <w:tcPr>
            <w:tcW w:w="22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gridSpan w:val="2"/>
          </w:tcPr>
          <w:p>
            <w:pPr>
              <w:ind w:left="60"/>
              <w:spacing w:after="0" w:line="202" w:lineRule="exact"/>
              <w:rPr>
                <w:sz w:val="20"/>
                <w:szCs w:val="20"/>
                <w:color w:val="auto"/>
              </w:rPr>
            </w:pPr>
            <w:r>
              <w:rPr>
                <w:rFonts w:ascii="Arial" w:cs="Arial" w:eastAsia="Arial" w:hAnsi="Arial"/>
                <w:sz w:val="18"/>
                <w:szCs w:val="18"/>
                <w:color w:val="auto"/>
              </w:rPr>
              <w:t>pour cent de la rémunération fixe individuelle respective pour la</w:t>
            </w:r>
          </w:p>
        </w:tc>
        <w:tc>
          <w:tcPr>
            <w:tcW w:w="0" w:type="dxa"/>
            <w:vAlign w:val="bottom"/>
          </w:tcPr>
          <w:p>
            <w:pPr>
              <w:spacing w:after="0"/>
              <w:rPr>
                <w:sz w:val="1"/>
                <w:szCs w:val="1"/>
                <w:color w:val="auto"/>
              </w:rPr>
            </w:pPr>
          </w:p>
        </w:tc>
      </w:tr>
      <w:tr>
        <w:trPr>
          <w:trHeight w:val="217"/>
        </w:trPr>
        <w:tc>
          <w:tcPr>
            <w:tcW w:w="5540" w:type="dxa"/>
            <w:vAlign w:val="bottom"/>
            <w:tcBorders>
              <w:left w:val="single" w:sz="8" w:color="auto"/>
              <w:right w:val="single" w:sz="8" w:color="auto"/>
            </w:tcBorders>
            <w:gridSpan w:val="2"/>
          </w:tcPr>
          <w:p>
            <w:pPr>
              <w:ind w:left="100"/>
              <w:spacing w:after="0"/>
              <w:rPr>
                <w:sz w:val="20"/>
                <w:szCs w:val="20"/>
                <w:color w:val="auto"/>
              </w:rPr>
            </w:pPr>
            <w:r>
              <w:rPr>
                <w:rFonts w:ascii="Arial" w:cs="Arial" w:eastAsia="Arial" w:hAnsi="Arial"/>
                <w:sz w:val="18"/>
                <w:szCs w:val="18"/>
                <w:color w:val="auto"/>
              </w:rPr>
              <w:t>same year.</w:t>
            </w:r>
          </w:p>
        </w:tc>
        <w:tc>
          <w:tcPr>
            <w:tcW w:w="220" w:type="dxa"/>
            <w:vAlign w:val="bottom"/>
            <w:tcBorders>
              <w:right w:val="single" w:sz="8" w:color="auto"/>
            </w:tcBorders>
          </w:tcPr>
          <w:p>
            <w:pPr>
              <w:spacing w:after="0"/>
              <w:rPr>
                <w:sz w:val="18"/>
                <w:szCs w:val="18"/>
                <w:color w:val="auto"/>
              </w:rPr>
            </w:pPr>
          </w:p>
        </w:tc>
        <w:tc>
          <w:tcPr>
            <w:tcW w:w="5480" w:type="dxa"/>
            <w:vAlign w:val="bottom"/>
            <w:tcBorders>
              <w:right w:val="single" w:sz="8" w:color="auto"/>
            </w:tcBorders>
            <w:gridSpan w:val="2"/>
          </w:tcPr>
          <w:p>
            <w:pPr>
              <w:ind w:left="60"/>
              <w:spacing w:after="0"/>
              <w:rPr>
                <w:sz w:val="20"/>
                <w:szCs w:val="20"/>
                <w:color w:val="auto"/>
              </w:rPr>
            </w:pPr>
            <w:r>
              <w:rPr>
                <w:rFonts w:ascii="Arial" w:cs="Arial" w:eastAsia="Arial" w:hAnsi="Arial"/>
                <w:sz w:val="18"/>
                <w:szCs w:val="18"/>
                <w:color w:val="auto"/>
              </w:rPr>
              <w:t>même année.</w:t>
            </w:r>
          </w:p>
        </w:tc>
        <w:tc>
          <w:tcPr>
            <w:tcW w:w="0" w:type="dxa"/>
            <w:vAlign w:val="bottom"/>
          </w:tcPr>
          <w:p>
            <w:pPr>
              <w:spacing w:after="0"/>
              <w:rPr>
                <w:sz w:val="1"/>
                <w:szCs w:val="1"/>
                <w:color w:val="auto"/>
              </w:rPr>
            </w:pPr>
          </w:p>
        </w:tc>
      </w:tr>
      <w:tr>
        <w:trPr>
          <w:trHeight w:val="54"/>
        </w:trPr>
        <w:tc>
          <w:tcPr>
            <w:tcW w:w="5540" w:type="dxa"/>
            <w:vAlign w:val="bottom"/>
            <w:tcBorders>
              <w:left w:val="single" w:sz="8" w:color="auto"/>
              <w:bottom w:val="single" w:sz="8" w:color="auto"/>
              <w:right w:val="single" w:sz="8" w:color="auto"/>
            </w:tcBorders>
            <w:gridSpan w:val="2"/>
          </w:tcPr>
          <w:p>
            <w:pPr>
              <w:spacing w:after="0"/>
              <w:rPr>
                <w:sz w:val="4"/>
                <w:szCs w:val="4"/>
                <w:color w:val="auto"/>
              </w:rPr>
            </w:pPr>
          </w:p>
        </w:tc>
        <w:tc>
          <w:tcPr>
            <w:tcW w:w="220" w:type="dxa"/>
            <w:vAlign w:val="bottom"/>
            <w:tcBorders>
              <w:bottom w:val="single" w:sz="8" w:color="auto"/>
              <w:right w:val="single" w:sz="8" w:color="auto"/>
            </w:tcBorders>
          </w:tcPr>
          <w:p>
            <w:pPr>
              <w:spacing w:after="0"/>
              <w:rPr>
                <w:sz w:val="4"/>
                <w:szCs w:val="4"/>
                <w:color w:val="auto"/>
              </w:rPr>
            </w:pPr>
          </w:p>
        </w:tc>
        <w:tc>
          <w:tcPr>
            <w:tcW w:w="5480" w:type="dxa"/>
            <w:vAlign w:val="bottom"/>
            <w:tcBorders>
              <w:bottom w:val="single" w:sz="8" w:color="auto"/>
              <w:right w:val="single" w:sz="8" w:color="auto"/>
            </w:tcBorders>
            <w:gridSpan w:val="2"/>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5540" w:type="dxa"/>
            <w:vAlign w:val="bottom"/>
            <w:tcBorders>
              <w:left w:val="single" w:sz="8" w:color="auto"/>
              <w:right w:val="single" w:sz="8" w:color="auto"/>
            </w:tcBorders>
            <w:gridSpan w:val="2"/>
          </w:tcPr>
          <w:p>
            <w:pPr>
              <w:ind w:left="100"/>
              <w:spacing w:after="0"/>
              <w:rPr>
                <w:sz w:val="20"/>
                <w:szCs w:val="20"/>
                <w:color w:val="auto"/>
              </w:rPr>
            </w:pPr>
            <w:r>
              <w:rPr>
                <w:rFonts w:ascii="Arial" w:cs="Arial" w:eastAsia="Arial" w:hAnsi="Arial"/>
                <w:sz w:val="18"/>
                <w:szCs w:val="18"/>
                <w:color w:val="auto"/>
              </w:rPr>
              <w:t>The compensation may also be paid for activities in companies that</w:t>
            </w:r>
          </w:p>
        </w:tc>
        <w:tc>
          <w:tcPr>
            <w:tcW w:w="220" w:type="dxa"/>
            <w:vAlign w:val="bottom"/>
            <w:tcBorders>
              <w:right w:val="single" w:sz="8" w:color="auto"/>
            </w:tcBorders>
          </w:tcPr>
          <w:p>
            <w:pPr>
              <w:spacing w:after="0"/>
              <w:rPr>
                <w:sz w:val="22"/>
                <w:szCs w:val="22"/>
                <w:color w:val="auto"/>
              </w:rPr>
            </w:pPr>
          </w:p>
        </w:tc>
        <w:tc>
          <w:tcPr>
            <w:tcW w:w="5480" w:type="dxa"/>
            <w:vAlign w:val="bottom"/>
            <w:tcBorders>
              <w:right w:val="single" w:sz="8" w:color="auto"/>
            </w:tcBorders>
            <w:gridSpan w:val="2"/>
          </w:tcPr>
          <w:p>
            <w:pPr>
              <w:ind w:left="60"/>
              <w:spacing w:after="0"/>
              <w:rPr>
                <w:sz w:val="20"/>
                <w:szCs w:val="20"/>
                <w:color w:val="auto"/>
              </w:rPr>
            </w:pPr>
            <w:r>
              <w:rPr>
                <w:rFonts w:ascii="Arial" w:cs="Arial" w:eastAsia="Arial" w:hAnsi="Arial"/>
                <w:sz w:val="18"/>
                <w:szCs w:val="18"/>
                <w:color w:val="auto"/>
              </w:rPr>
              <w:t>La rémunération peut également être versée pour activités dans</w:t>
            </w:r>
          </w:p>
        </w:tc>
        <w:tc>
          <w:tcPr>
            <w:tcW w:w="0" w:type="dxa"/>
            <w:vAlign w:val="bottom"/>
          </w:tcPr>
          <w:p>
            <w:pPr>
              <w:spacing w:after="0"/>
              <w:rPr>
                <w:sz w:val="1"/>
                <w:szCs w:val="1"/>
                <w:color w:val="auto"/>
              </w:rPr>
            </w:pPr>
          </w:p>
        </w:tc>
      </w:tr>
      <w:tr>
        <w:trPr>
          <w:trHeight w:val="203"/>
        </w:trPr>
        <w:tc>
          <w:tcPr>
            <w:tcW w:w="5540" w:type="dxa"/>
            <w:vAlign w:val="bottom"/>
            <w:tcBorders>
              <w:left w:val="single" w:sz="8" w:color="auto"/>
              <w:right w:val="single" w:sz="8" w:color="auto"/>
            </w:tcBorders>
            <w:gridSpan w:val="2"/>
          </w:tcPr>
          <w:p>
            <w:pPr>
              <w:ind w:left="100"/>
              <w:spacing w:after="0" w:line="202" w:lineRule="exact"/>
              <w:rPr>
                <w:sz w:val="20"/>
                <w:szCs w:val="20"/>
                <w:color w:val="auto"/>
              </w:rPr>
            </w:pPr>
            <w:r>
              <w:rPr>
                <w:rFonts w:ascii="Arial" w:cs="Arial" w:eastAsia="Arial" w:hAnsi="Arial"/>
                <w:sz w:val="18"/>
                <w:szCs w:val="18"/>
                <w:color w:val="auto"/>
              </w:rPr>
              <w:t>are directly or indirectly controlled by the Company and may be</w:t>
            </w:r>
          </w:p>
        </w:tc>
        <w:tc>
          <w:tcPr>
            <w:tcW w:w="22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gridSpan w:val="2"/>
          </w:tcPr>
          <w:p>
            <w:pPr>
              <w:ind w:left="60"/>
              <w:spacing w:after="0" w:line="202" w:lineRule="exact"/>
              <w:rPr>
                <w:sz w:val="20"/>
                <w:szCs w:val="20"/>
                <w:color w:val="auto"/>
              </w:rPr>
            </w:pPr>
            <w:r>
              <w:rPr>
                <w:rFonts w:ascii="Arial" w:cs="Arial" w:eastAsia="Arial" w:hAnsi="Arial"/>
                <w:sz w:val="18"/>
                <w:szCs w:val="18"/>
                <w:color w:val="auto"/>
              </w:rPr>
              <w:t>des entreprises qui sont contrôlées directement ou indirectement</w:t>
            </w:r>
          </w:p>
        </w:tc>
        <w:tc>
          <w:tcPr>
            <w:tcW w:w="0" w:type="dxa"/>
            <w:vAlign w:val="bottom"/>
          </w:tcPr>
          <w:p>
            <w:pPr>
              <w:spacing w:after="0"/>
              <w:rPr>
                <w:sz w:val="1"/>
                <w:szCs w:val="1"/>
                <w:color w:val="auto"/>
              </w:rPr>
            </w:pPr>
          </w:p>
        </w:tc>
      </w:tr>
      <w:tr>
        <w:trPr>
          <w:trHeight w:val="202"/>
        </w:trPr>
        <w:tc>
          <w:tcPr>
            <w:tcW w:w="5540" w:type="dxa"/>
            <w:vAlign w:val="bottom"/>
            <w:tcBorders>
              <w:left w:val="single" w:sz="8" w:color="auto"/>
              <w:right w:val="single" w:sz="8" w:color="auto"/>
            </w:tcBorders>
            <w:gridSpan w:val="2"/>
          </w:tcPr>
          <w:p>
            <w:pPr>
              <w:ind w:left="100"/>
              <w:spacing w:after="0" w:line="202" w:lineRule="exact"/>
              <w:rPr>
                <w:sz w:val="20"/>
                <w:szCs w:val="20"/>
                <w:color w:val="auto"/>
              </w:rPr>
            </w:pPr>
            <w:r>
              <w:rPr>
                <w:rFonts w:ascii="Arial" w:cs="Arial" w:eastAsia="Arial" w:hAnsi="Arial"/>
                <w:sz w:val="18"/>
                <w:szCs w:val="18"/>
                <w:color w:val="auto"/>
              </w:rPr>
              <w:t>paid by the Company or by a company controlled by it.</w:t>
            </w:r>
          </w:p>
        </w:tc>
        <w:tc>
          <w:tcPr>
            <w:tcW w:w="22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gridSpan w:val="2"/>
          </w:tcPr>
          <w:p>
            <w:pPr>
              <w:ind w:left="60"/>
              <w:spacing w:after="0" w:line="202" w:lineRule="exact"/>
              <w:rPr>
                <w:sz w:val="20"/>
                <w:szCs w:val="20"/>
                <w:color w:val="auto"/>
              </w:rPr>
            </w:pPr>
            <w:r>
              <w:rPr>
                <w:rFonts w:ascii="Arial" w:cs="Arial" w:eastAsia="Arial" w:hAnsi="Arial"/>
                <w:sz w:val="18"/>
                <w:szCs w:val="18"/>
                <w:color w:val="auto"/>
              </w:rPr>
              <w:t>par la société et peut être versée par la société ou par une société</w:t>
            </w:r>
          </w:p>
        </w:tc>
        <w:tc>
          <w:tcPr>
            <w:tcW w:w="0" w:type="dxa"/>
            <w:vAlign w:val="bottom"/>
          </w:tcPr>
          <w:p>
            <w:pPr>
              <w:spacing w:after="0"/>
              <w:rPr>
                <w:sz w:val="1"/>
                <w:szCs w:val="1"/>
                <w:color w:val="auto"/>
              </w:rPr>
            </w:pPr>
          </w:p>
        </w:tc>
      </w:tr>
      <w:tr>
        <w:trPr>
          <w:trHeight w:val="217"/>
        </w:trPr>
        <w:tc>
          <w:tcPr>
            <w:tcW w:w="360" w:type="dxa"/>
            <w:vAlign w:val="bottom"/>
            <w:tcBorders>
              <w:left w:val="single" w:sz="8" w:color="auto"/>
            </w:tcBorders>
          </w:tcPr>
          <w:p>
            <w:pPr>
              <w:spacing w:after="0"/>
              <w:rPr>
                <w:sz w:val="18"/>
                <w:szCs w:val="18"/>
                <w:color w:val="auto"/>
              </w:rPr>
            </w:pPr>
          </w:p>
        </w:tc>
        <w:tc>
          <w:tcPr>
            <w:tcW w:w="5180" w:type="dxa"/>
            <w:vAlign w:val="bottom"/>
            <w:tcBorders>
              <w:right w:val="single" w:sz="8" w:color="auto"/>
            </w:tcBorders>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5480" w:type="dxa"/>
            <w:vAlign w:val="bottom"/>
            <w:tcBorders>
              <w:right w:val="single" w:sz="8" w:color="auto"/>
            </w:tcBorders>
            <w:gridSpan w:val="2"/>
          </w:tcPr>
          <w:p>
            <w:pPr>
              <w:ind w:left="60"/>
              <w:spacing w:after="0"/>
              <w:rPr>
                <w:sz w:val="20"/>
                <w:szCs w:val="20"/>
                <w:color w:val="auto"/>
              </w:rPr>
            </w:pPr>
            <w:r>
              <w:rPr>
                <w:rFonts w:ascii="Arial" w:cs="Arial" w:eastAsia="Arial" w:hAnsi="Arial"/>
                <w:sz w:val="18"/>
                <w:szCs w:val="18"/>
                <w:color w:val="auto"/>
              </w:rPr>
              <w:t>contrôlée par elle.</w:t>
            </w:r>
          </w:p>
        </w:tc>
        <w:tc>
          <w:tcPr>
            <w:tcW w:w="0" w:type="dxa"/>
            <w:vAlign w:val="bottom"/>
          </w:tcPr>
          <w:p>
            <w:pPr>
              <w:spacing w:after="0"/>
              <w:rPr>
                <w:sz w:val="1"/>
                <w:szCs w:val="1"/>
                <w:color w:val="auto"/>
              </w:rPr>
            </w:pPr>
          </w:p>
        </w:tc>
      </w:tr>
      <w:tr>
        <w:trPr>
          <w:trHeight w:val="54"/>
        </w:trPr>
        <w:tc>
          <w:tcPr>
            <w:tcW w:w="360" w:type="dxa"/>
            <w:vAlign w:val="bottom"/>
            <w:tcBorders>
              <w:left w:val="single" w:sz="8" w:color="auto"/>
              <w:bottom w:val="single" w:sz="8" w:color="auto"/>
            </w:tcBorders>
          </w:tcPr>
          <w:p>
            <w:pPr>
              <w:spacing w:after="0"/>
              <w:rPr>
                <w:sz w:val="4"/>
                <w:szCs w:val="4"/>
                <w:color w:val="auto"/>
              </w:rPr>
            </w:pPr>
          </w:p>
        </w:tc>
        <w:tc>
          <w:tcPr>
            <w:tcW w:w="5180" w:type="dxa"/>
            <w:vAlign w:val="bottom"/>
            <w:tcBorders>
              <w:bottom w:val="single" w:sz="8" w:color="auto"/>
              <w:right w:val="single" w:sz="8" w:color="auto"/>
            </w:tcBorders>
          </w:tcPr>
          <w:p>
            <w:pPr>
              <w:spacing w:after="0"/>
              <w:rPr>
                <w:sz w:val="4"/>
                <w:szCs w:val="4"/>
                <w:color w:val="auto"/>
              </w:rPr>
            </w:pPr>
          </w:p>
        </w:tc>
        <w:tc>
          <w:tcPr>
            <w:tcW w:w="220" w:type="dxa"/>
            <w:vAlign w:val="bottom"/>
            <w:tcBorders>
              <w:bottom w:val="single" w:sz="8" w:color="auto"/>
              <w:right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512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453"/>
        </w:trPr>
        <w:tc>
          <w:tcPr>
            <w:tcW w:w="360" w:type="dxa"/>
            <w:vAlign w:val="bottom"/>
            <w:tcBorders>
              <w:bottom w:val="single" w:sz="8" w:color="auto"/>
            </w:tcBorders>
          </w:tcPr>
          <w:p>
            <w:pPr>
              <w:spacing w:after="0"/>
              <w:rPr>
                <w:sz w:val="24"/>
                <w:szCs w:val="24"/>
                <w:color w:val="auto"/>
              </w:rPr>
            </w:pPr>
          </w:p>
        </w:tc>
        <w:tc>
          <w:tcPr>
            <w:tcW w:w="51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51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249" w:right="339" w:bottom="1440" w:gutter="0" w:footer="0" w:header="0"/>
        </w:sectPr>
      </w:pPr>
    </w:p>
    <w:bookmarkStart w:id="65" w:name="page66"/>
    <w:bookmarkEnd w:id="65"/>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187"/>
        </w:trPr>
        <w:tc>
          <w:tcPr>
            <w:tcW w:w="554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5480" w:type="dxa"/>
            <w:vAlign w:val="bottom"/>
            <w:tcBorders>
              <w:bottom w:val="single" w:sz="8" w:color="auto"/>
            </w:tcBorders>
          </w:tcPr>
          <w:p>
            <w:pPr>
              <w:ind w:left="5260"/>
              <w:spacing w:after="0"/>
              <w:rPr>
                <w:sz w:val="20"/>
                <w:szCs w:val="20"/>
                <w:color w:val="auto"/>
              </w:rPr>
            </w:pPr>
            <w:r>
              <w:rPr>
                <w:rFonts w:ascii="Arial" w:cs="Arial" w:eastAsia="Arial" w:hAnsi="Arial"/>
                <w:sz w:val="16"/>
                <w:szCs w:val="16"/>
                <w:color w:val="auto"/>
              </w:rPr>
              <w:t>27</w:t>
            </w:r>
          </w:p>
        </w:tc>
      </w:tr>
      <w:tr>
        <w:trPr>
          <w:trHeight w:val="241"/>
        </w:trPr>
        <w:tc>
          <w:tcPr>
            <w:tcW w:w="554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b w:val="1"/>
                <w:bCs w:val="1"/>
                <w:color w:val="auto"/>
              </w:rPr>
              <w:t>Art. 34 Compensation for new Members of the Executive</w:t>
            </w:r>
          </w:p>
        </w:tc>
        <w:tc>
          <w:tcPr>
            <w:tcW w:w="220" w:type="dxa"/>
            <w:vAlign w:val="bottom"/>
            <w:tcBorders>
              <w:right w:val="single" w:sz="8" w:color="auto"/>
            </w:tcBorders>
          </w:tcPr>
          <w:p>
            <w:pPr>
              <w:spacing w:after="0"/>
              <w:rPr>
                <w:sz w:val="20"/>
                <w:szCs w:val="20"/>
                <w:color w:val="auto"/>
              </w:rPr>
            </w:pPr>
          </w:p>
        </w:tc>
        <w:tc>
          <w:tcPr>
            <w:tcW w:w="5480" w:type="dxa"/>
            <w:vAlign w:val="bottom"/>
            <w:tcBorders>
              <w:right w:val="single" w:sz="8" w:color="auto"/>
            </w:tcBorders>
          </w:tcPr>
          <w:p>
            <w:pPr>
              <w:ind w:left="60"/>
              <w:spacing w:after="0"/>
              <w:rPr>
                <w:sz w:val="20"/>
                <w:szCs w:val="20"/>
                <w:color w:val="auto"/>
              </w:rPr>
            </w:pPr>
            <w:r>
              <w:rPr>
                <w:rFonts w:ascii="Arial" w:cs="Arial" w:eastAsia="Arial" w:hAnsi="Arial"/>
                <w:sz w:val="18"/>
                <w:szCs w:val="18"/>
                <w:b w:val="1"/>
                <w:bCs w:val="1"/>
                <w:color w:val="auto"/>
              </w:rPr>
              <w:t>Art. 34 Rémunération pour les nouveaux membres du comité</w:t>
            </w:r>
          </w:p>
        </w:tc>
      </w:tr>
      <w:tr>
        <w:trPr>
          <w:trHeight w:val="239"/>
        </w:trPr>
        <w:tc>
          <w:tcPr>
            <w:tcW w:w="554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b w:val="1"/>
                <w:bCs w:val="1"/>
                <w:color w:val="auto"/>
              </w:rPr>
              <w:t>Committee</w:t>
            </w:r>
          </w:p>
        </w:tc>
        <w:tc>
          <w:tcPr>
            <w:tcW w:w="220" w:type="dxa"/>
            <w:vAlign w:val="bottom"/>
            <w:tcBorders>
              <w:right w:val="single" w:sz="8" w:color="auto"/>
            </w:tcBorders>
          </w:tcPr>
          <w:p>
            <w:pPr>
              <w:spacing w:after="0"/>
              <w:rPr>
                <w:sz w:val="20"/>
                <w:szCs w:val="20"/>
                <w:color w:val="auto"/>
              </w:rPr>
            </w:pPr>
          </w:p>
        </w:tc>
        <w:tc>
          <w:tcPr>
            <w:tcW w:w="5480" w:type="dxa"/>
            <w:vAlign w:val="bottom"/>
            <w:tcBorders>
              <w:right w:val="single" w:sz="8" w:color="auto"/>
            </w:tcBorders>
          </w:tcPr>
          <w:p>
            <w:pPr>
              <w:ind w:left="60"/>
              <w:spacing w:after="0"/>
              <w:rPr>
                <w:sz w:val="20"/>
                <w:szCs w:val="20"/>
                <w:color w:val="auto"/>
              </w:rPr>
            </w:pPr>
            <w:r>
              <w:rPr>
                <w:rFonts w:ascii="Arial" w:cs="Arial" w:eastAsia="Arial" w:hAnsi="Arial"/>
                <w:sz w:val="18"/>
                <w:szCs w:val="18"/>
                <w:b w:val="1"/>
                <w:bCs w:val="1"/>
                <w:color w:val="auto"/>
              </w:rPr>
              <w:t>exécutif</w:t>
            </w:r>
          </w:p>
        </w:tc>
      </w:tr>
      <w:tr>
        <w:trPr>
          <w:trHeight w:val="391"/>
        </w:trPr>
        <w:tc>
          <w:tcPr>
            <w:tcW w:w="554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If new members of the Executive Committee are appointed and</w:t>
            </w:r>
          </w:p>
        </w:tc>
        <w:tc>
          <w:tcPr>
            <w:tcW w:w="220" w:type="dxa"/>
            <w:vAlign w:val="bottom"/>
            <w:tcBorders>
              <w:right w:val="single" w:sz="8" w:color="auto"/>
            </w:tcBorders>
          </w:tcPr>
          <w:p>
            <w:pPr>
              <w:spacing w:after="0"/>
              <w:rPr>
                <w:sz w:val="24"/>
                <w:szCs w:val="24"/>
                <w:color w:val="auto"/>
              </w:rPr>
            </w:pPr>
          </w:p>
        </w:tc>
        <w:tc>
          <w:tcPr>
            <w:tcW w:w="548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Si de nouveaux membres du comité exécutif sont nommés et</w:t>
            </w:r>
          </w:p>
        </w:tc>
      </w:tr>
      <w:tr>
        <w:trPr>
          <w:trHeight w:val="203"/>
        </w:trPr>
        <w:tc>
          <w:tcPr>
            <w:tcW w:w="5540" w:type="dxa"/>
            <w:vAlign w:val="bottom"/>
            <w:tcBorders>
              <w:left w:val="single" w:sz="8" w:color="auto"/>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take up their position in the Company after the General Meeting</w:t>
            </w:r>
          </w:p>
        </w:tc>
        <w:tc>
          <w:tcPr>
            <w:tcW w:w="22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prennent leur position dans la société après que l'assemblée</w:t>
            </w:r>
          </w:p>
        </w:tc>
      </w:tr>
      <w:tr>
        <w:trPr>
          <w:trHeight w:val="203"/>
        </w:trPr>
        <w:tc>
          <w:tcPr>
            <w:tcW w:w="5540" w:type="dxa"/>
            <w:vAlign w:val="bottom"/>
            <w:tcBorders>
              <w:left w:val="single" w:sz="8" w:color="auto"/>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has approved the maximum total compensation for members of the</w:t>
            </w:r>
          </w:p>
        </w:tc>
        <w:tc>
          <w:tcPr>
            <w:tcW w:w="22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générale a approuvé la rémunération totale maximale pour les</w:t>
            </w:r>
          </w:p>
        </w:tc>
      </w:tr>
      <w:tr>
        <w:trPr>
          <w:trHeight w:val="203"/>
        </w:trPr>
        <w:tc>
          <w:tcPr>
            <w:tcW w:w="5540" w:type="dxa"/>
            <w:vAlign w:val="bottom"/>
            <w:tcBorders>
              <w:left w:val="single" w:sz="8" w:color="auto"/>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Executive Committee for the year in question, the new members</w:t>
            </w:r>
          </w:p>
        </w:tc>
        <w:tc>
          <w:tcPr>
            <w:tcW w:w="22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membres  du  comité  exécutif  pour  l'année  en  question,  les</w:t>
            </w:r>
          </w:p>
        </w:tc>
      </w:tr>
      <w:tr>
        <w:trPr>
          <w:trHeight w:val="203"/>
        </w:trPr>
        <w:tc>
          <w:tcPr>
            <w:tcW w:w="5540" w:type="dxa"/>
            <w:vAlign w:val="bottom"/>
            <w:tcBorders>
              <w:left w:val="single" w:sz="8" w:color="auto"/>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may be paid an additional amount for the period until the next</w:t>
            </w:r>
          </w:p>
        </w:tc>
        <w:tc>
          <w:tcPr>
            <w:tcW w:w="22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nouveaux membres peuvent être payés au moyen d'un montant</w:t>
            </w:r>
          </w:p>
        </w:tc>
      </w:tr>
      <w:tr>
        <w:trPr>
          <w:trHeight w:val="202"/>
        </w:trPr>
        <w:tc>
          <w:tcPr>
            <w:tcW w:w="5540" w:type="dxa"/>
            <w:vAlign w:val="bottom"/>
            <w:tcBorders>
              <w:left w:val="single" w:sz="8" w:color="auto"/>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Ordinary Meeting of Shareholder. The additional amount payable</w:t>
            </w:r>
          </w:p>
        </w:tc>
        <w:tc>
          <w:tcPr>
            <w:tcW w:w="22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additionnel pour la période allant jusqu'à la prochaine assemblée</w:t>
            </w:r>
          </w:p>
        </w:tc>
      </w:tr>
      <w:tr>
        <w:trPr>
          <w:trHeight w:val="203"/>
        </w:trPr>
        <w:tc>
          <w:tcPr>
            <w:tcW w:w="5540" w:type="dxa"/>
            <w:vAlign w:val="bottom"/>
            <w:tcBorders>
              <w:left w:val="single" w:sz="8" w:color="auto"/>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to all new members of the Executive Committee may not exceed</w:t>
            </w:r>
          </w:p>
        </w:tc>
        <w:tc>
          <w:tcPr>
            <w:tcW w:w="22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ordinaire des actionnaires. Le montant additionnel payable à tous</w:t>
            </w:r>
          </w:p>
        </w:tc>
      </w:tr>
      <w:tr>
        <w:trPr>
          <w:trHeight w:val="203"/>
        </w:trPr>
        <w:tc>
          <w:tcPr>
            <w:tcW w:w="5540" w:type="dxa"/>
            <w:vAlign w:val="bottom"/>
            <w:tcBorders>
              <w:left w:val="single" w:sz="8" w:color="auto"/>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50 percent of the respective total compensation already approved</w:t>
            </w:r>
          </w:p>
        </w:tc>
        <w:tc>
          <w:tcPr>
            <w:tcW w:w="22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les nouveaux membres du comité exécutif ne peut pas dépasser</w:t>
            </w:r>
          </w:p>
        </w:tc>
      </w:tr>
      <w:tr>
        <w:trPr>
          <w:trHeight w:val="203"/>
        </w:trPr>
        <w:tc>
          <w:tcPr>
            <w:tcW w:w="5540" w:type="dxa"/>
            <w:vAlign w:val="bottom"/>
            <w:tcBorders>
              <w:left w:val="single" w:sz="8" w:color="auto"/>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by the General Meeting. The additional compensation may only be</w:t>
            </w:r>
          </w:p>
        </w:tc>
        <w:tc>
          <w:tcPr>
            <w:tcW w:w="22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50 pour cent de la rémunération totale respective déjà approuvé</w:t>
            </w:r>
          </w:p>
        </w:tc>
      </w:tr>
      <w:tr>
        <w:trPr>
          <w:trHeight w:val="203"/>
        </w:trPr>
        <w:tc>
          <w:tcPr>
            <w:tcW w:w="5540" w:type="dxa"/>
            <w:vAlign w:val="bottom"/>
            <w:tcBorders>
              <w:left w:val="single" w:sz="8" w:color="auto"/>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paid if the total compensation amount that has been approved by</w:t>
            </w:r>
          </w:p>
        </w:tc>
        <w:tc>
          <w:tcPr>
            <w:tcW w:w="22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par l'assemblée générale. La rémunération additionnelle ne peut</w:t>
            </w:r>
          </w:p>
        </w:tc>
      </w:tr>
      <w:tr>
        <w:trPr>
          <w:trHeight w:val="203"/>
        </w:trPr>
        <w:tc>
          <w:tcPr>
            <w:tcW w:w="5540" w:type="dxa"/>
            <w:vAlign w:val="bottom"/>
            <w:tcBorders>
              <w:left w:val="single" w:sz="8" w:color="auto"/>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the General Meeting for the compensation of the members of the</w:t>
            </w:r>
          </w:p>
        </w:tc>
        <w:tc>
          <w:tcPr>
            <w:tcW w:w="22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être versée que si le montant total de la rémunération qui a été</w:t>
            </w:r>
          </w:p>
        </w:tc>
      </w:tr>
      <w:tr>
        <w:trPr>
          <w:trHeight w:val="203"/>
        </w:trPr>
        <w:tc>
          <w:tcPr>
            <w:tcW w:w="5540" w:type="dxa"/>
            <w:vAlign w:val="bottom"/>
            <w:tcBorders>
              <w:left w:val="single" w:sz="8" w:color="auto"/>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Executive  Committee  is  insufficient  to  compensate  the  newly</w:t>
            </w:r>
          </w:p>
        </w:tc>
        <w:tc>
          <w:tcPr>
            <w:tcW w:w="22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approuvé par l'assemblée générale pour la rémunération des</w:t>
            </w:r>
          </w:p>
        </w:tc>
      </w:tr>
      <w:tr>
        <w:trPr>
          <w:trHeight w:val="203"/>
        </w:trPr>
        <w:tc>
          <w:tcPr>
            <w:tcW w:w="5540" w:type="dxa"/>
            <w:vAlign w:val="bottom"/>
            <w:tcBorders>
              <w:left w:val="single" w:sz="8" w:color="auto"/>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appointed members. The General Meeting is not required to vote</w:t>
            </w:r>
          </w:p>
        </w:tc>
        <w:tc>
          <w:tcPr>
            <w:tcW w:w="22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membres du comité exécutif est insuffisant pour rémunérer les</w:t>
            </w:r>
          </w:p>
        </w:tc>
      </w:tr>
      <w:tr>
        <w:trPr>
          <w:trHeight w:val="203"/>
        </w:trPr>
        <w:tc>
          <w:tcPr>
            <w:tcW w:w="5540" w:type="dxa"/>
            <w:vAlign w:val="bottom"/>
            <w:tcBorders>
              <w:left w:val="single" w:sz="8" w:color="auto"/>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on this additional amount.</w:t>
            </w:r>
          </w:p>
        </w:tc>
        <w:tc>
          <w:tcPr>
            <w:tcW w:w="22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membres nouvellement nommés. L'assemblée générale n'a pas à</w:t>
            </w:r>
          </w:p>
        </w:tc>
      </w:tr>
      <w:tr>
        <w:trPr>
          <w:trHeight w:val="217"/>
        </w:trPr>
        <w:tc>
          <w:tcPr>
            <w:tcW w:w="5540" w:type="dxa"/>
            <w:vAlign w:val="bottom"/>
            <w:tcBorders>
              <w:left w:val="single" w:sz="8" w:color="auto"/>
              <w:right w:val="single" w:sz="8" w:color="auto"/>
            </w:tcBorders>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548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se prononcer sur ce montant supplémentaire.</w:t>
            </w:r>
          </w:p>
        </w:tc>
      </w:tr>
      <w:tr>
        <w:trPr>
          <w:trHeight w:val="54"/>
        </w:trPr>
        <w:tc>
          <w:tcPr>
            <w:tcW w:w="5540" w:type="dxa"/>
            <w:vAlign w:val="bottom"/>
            <w:tcBorders>
              <w:left w:val="single" w:sz="8" w:color="auto"/>
              <w:bottom w:val="single" w:sz="8" w:color="auto"/>
              <w:right w:val="single" w:sz="8" w:color="auto"/>
            </w:tcBorders>
          </w:tcPr>
          <w:p>
            <w:pPr>
              <w:spacing w:after="0"/>
              <w:rPr>
                <w:sz w:val="4"/>
                <w:szCs w:val="4"/>
                <w:color w:val="auto"/>
              </w:rPr>
            </w:pPr>
          </w:p>
        </w:tc>
        <w:tc>
          <w:tcPr>
            <w:tcW w:w="220" w:type="dxa"/>
            <w:vAlign w:val="bottom"/>
            <w:tcBorders>
              <w:bottom w:val="single" w:sz="8" w:color="auto"/>
              <w:right w:val="single" w:sz="8" w:color="auto"/>
            </w:tcBorders>
          </w:tcPr>
          <w:p>
            <w:pPr>
              <w:spacing w:after="0"/>
              <w:rPr>
                <w:sz w:val="4"/>
                <w:szCs w:val="4"/>
                <w:color w:val="auto"/>
              </w:rPr>
            </w:pPr>
          </w:p>
        </w:tc>
        <w:tc>
          <w:tcPr>
            <w:tcW w:w="5480" w:type="dxa"/>
            <w:vAlign w:val="bottom"/>
            <w:tcBorders>
              <w:bottom w:val="single" w:sz="8" w:color="auto"/>
              <w:right w:val="single" w:sz="8" w:color="auto"/>
            </w:tcBorders>
          </w:tcPr>
          <w:p>
            <w:pPr>
              <w:spacing w:after="0"/>
              <w:rPr>
                <w:sz w:val="4"/>
                <w:szCs w:val="4"/>
                <w:color w:val="auto"/>
              </w:rPr>
            </w:pPr>
          </w:p>
        </w:tc>
      </w:tr>
      <w:tr>
        <w:trPr>
          <w:trHeight w:val="263"/>
        </w:trPr>
        <w:tc>
          <w:tcPr>
            <w:tcW w:w="554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This additional overall compensation is understood to include any</w:t>
            </w:r>
          </w:p>
        </w:tc>
        <w:tc>
          <w:tcPr>
            <w:tcW w:w="220" w:type="dxa"/>
            <w:vAlign w:val="bottom"/>
            <w:tcBorders>
              <w:right w:val="single" w:sz="8" w:color="auto"/>
            </w:tcBorders>
          </w:tcPr>
          <w:p>
            <w:pPr>
              <w:spacing w:after="0"/>
              <w:rPr>
                <w:sz w:val="22"/>
                <w:szCs w:val="22"/>
                <w:color w:val="auto"/>
              </w:rPr>
            </w:pPr>
          </w:p>
        </w:tc>
        <w:tc>
          <w:tcPr>
            <w:tcW w:w="548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Cette rémunération additionnelle globale est sensée comprendre</w:t>
            </w:r>
          </w:p>
        </w:tc>
      </w:tr>
      <w:tr>
        <w:trPr>
          <w:trHeight w:val="203"/>
        </w:trPr>
        <w:tc>
          <w:tcPr>
            <w:tcW w:w="5540" w:type="dxa"/>
            <w:vAlign w:val="bottom"/>
            <w:tcBorders>
              <w:left w:val="single" w:sz="8" w:color="auto"/>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settlements for any disadvantage suffered as a result of the</w:t>
            </w:r>
          </w:p>
        </w:tc>
        <w:tc>
          <w:tcPr>
            <w:tcW w:w="22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tous les règlements pour tout inconvénient subi à la suite du</w:t>
            </w:r>
          </w:p>
        </w:tc>
      </w:tr>
      <w:tr>
        <w:trPr>
          <w:trHeight w:val="217"/>
        </w:trPr>
        <w:tc>
          <w:tcPr>
            <w:tcW w:w="554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change of job.</w:t>
            </w:r>
          </w:p>
        </w:tc>
        <w:tc>
          <w:tcPr>
            <w:tcW w:w="220" w:type="dxa"/>
            <w:vAlign w:val="bottom"/>
            <w:tcBorders>
              <w:right w:val="single" w:sz="8" w:color="auto"/>
            </w:tcBorders>
          </w:tcPr>
          <w:p>
            <w:pPr>
              <w:spacing w:after="0"/>
              <w:rPr>
                <w:sz w:val="18"/>
                <w:szCs w:val="18"/>
                <w:color w:val="auto"/>
              </w:rPr>
            </w:pPr>
          </w:p>
        </w:tc>
        <w:tc>
          <w:tcPr>
            <w:tcW w:w="548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changement de travail.</w:t>
            </w:r>
          </w:p>
        </w:tc>
      </w:tr>
      <w:tr>
        <w:trPr>
          <w:trHeight w:val="54"/>
        </w:trPr>
        <w:tc>
          <w:tcPr>
            <w:tcW w:w="5540" w:type="dxa"/>
            <w:vAlign w:val="bottom"/>
            <w:tcBorders>
              <w:left w:val="single" w:sz="8" w:color="auto"/>
              <w:bottom w:val="single" w:sz="8" w:color="auto"/>
              <w:right w:val="single" w:sz="8" w:color="auto"/>
            </w:tcBorders>
          </w:tcPr>
          <w:p>
            <w:pPr>
              <w:spacing w:after="0"/>
              <w:rPr>
                <w:sz w:val="4"/>
                <w:szCs w:val="4"/>
                <w:color w:val="auto"/>
              </w:rPr>
            </w:pPr>
          </w:p>
        </w:tc>
        <w:tc>
          <w:tcPr>
            <w:tcW w:w="220" w:type="dxa"/>
            <w:vAlign w:val="bottom"/>
            <w:tcBorders>
              <w:bottom w:val="single" w:sz="8" w:color="auto"/>
              <w:right w:val="single" w:sz="8" w:color="auto"/>
            </w:tcBorders>
          </w:tcPr>
          <w:p>
            <w:pPr>
              <w:spacing w:after="0"/>
              <w:rPr>
                <w:sz w:val="4"/>
                <w:szCs w:val="4"/>
                <w:color w:val="auto"/>
              </w:rPr>
            </w:pPr>
          </w:p>
        </w:tc>
        <w:tc>
          <w:tcPr>
            <w:tcW w:w="5480" w:type="dxa"/>
            <w:vAlign w:val="bottom"/>
            <w:tcBorders>
              <w:bottom w:val="single" w:sz="8" w:color="auto"/>
              <w:right w:val="single" w:sz="8" w:color="auto"/>
            </w:tcBorders>
          </w:tcPr>
          <w:p>
            <w:pPr>
              <w:spacing w:after="0"/>
              <w:rPr>
                <w:sz w:val="4"/>
                <w:szCs w:val="4"/>
                <w:color w:val="auto"/>
              </w:rPr>
            </w:pPr>
          </w:p>
        </w:tc>
      </w:tr>
      <w:tr>
        <w:trPr>
          <w:trHeight w:val="277"/>
        </w:trPr>
        <w:tc>
          <w:tcPr>
            <w:tcW w:w="554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b w:val="1"/>
                <w:bCs w:val="1"/>
                <w:color w:val="auto"/>
              </w:rPr>
              <w:t>Art. 35 Expenses</w:t>
            </w:r>
          </w:p>
        </w:tc>
        <w:tc>
          <w:tcPr>
            <w:tcW w:w="220" w:type="dxa"/>
            <w:vAlign w:val="bottom"/>
            <w:tcBorders>
              <w:right w:val="single" w:sz="8" w:color="auto"/>
            </w:tcBorders>
          </w:tcPr>
          <w:p>
            <w:pPr>
              <w:spacing w:after="0"/>
              <w:rPr>
                <w:sz w:val="24"/>
                <w:szCs w:val="24"/>
                <w:color w:val="auto"/>
              </w:rPr>
            </w:pPr>
          </w:p>
        </w:tc>
        <w:tc>
          <w:tcPr>
            <w:tcW w:w="5480" w:type="dxa"/>
            <w:vAlign w:val="bottom"/>
            <w:tcBorders>
              <w:right w:val="single" w:sz="8" w:color="auto"/>
            </w:tcBorders>
          </w:tcPr>
          <w:p>
            <w:pPr>
              <w:ind w:left="60"/>
              <w:spacing w:after="0"/>
              <w:rPr>
                <w:sz w:val="20"/>
                <w:szCs w:val="20"/>
                <w:color w:val="auto"/>
              </w:rPr>
            </w:pPr>
            <w:r>
              <w:rPr>
                <w:rFonts w:ascii="Arial" w:cs="Arial" w:eastAsia="Arial" w:hAnsi="Arial"/>
                <w:sz w:val="18"/>
                <w:szCs w:val="18"/>
                <w:b w:val="1"/>
                <w:bCs w:val="1"/>
                <w:color w:val="auto"/>
              </w:rPr>
              <w:t>Art. 35 Dépenses</w:t>
            </w:r>
          </w:p>
        </w:tc>
      </w:tr>
      <w:tr>
        <w:trPr>
          <w:trHeight w:val="391"/>
        </w:trPr>
        <w:tc>
          <w:tcPr>
            <w:tcW w:w="554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Expenses which are not covered by the lump sum compensation</w:t>
            </w:r>
          </w:p>
        </w:tc>
        <w:tc>
          <w:tcPr>
            <w:tcW w:w="220" w:type="dxa"/>
            <w:vAlign w:val="bottom"/>
            <w:tcBorders>
              <w:right w:val="single" w:sz="8" w:color="auto"/>
            </w:tcBorders>
          </w:tcPr>
          <w:p>
            <w:pPr>
              <w:spacing w:after="0"/>
              <w:rPr>
                <w:sz w:val="24"/>
                <w:szCs w:val="24"/>
                <w:color w:val="auto"/>
              </w:rPr>
            </w:pPr>
          </w:p>
        </w:tc>
        <w:tc>
          <w:tcPr>
            <w:tcW w:w="548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Les dépenses qui ne sont pas couvertes par l'indemnité forfaitaire</w:t>
            </w:r>
          </w:p>
        </w:tc>
      </w:tr>
      <w:tr>
        <w:trPr>
          <w:trHeight w:val="203"/>
        </w:trPr>
        <w:tc>
          <w:tcPr>
            <w:tcW w:w="5540" w:type="dxa"/>
            <w:vAlign w:val="bottom"/>
            <w:tcBorders>
              <w:left w:val="single" w:sz="8" w:color="auto"/>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pursuant  to  the  Company's  expense  regulations  shall  be</w:t>
            </w:r>
          </w:p>
        </w:tc>
        <w:tc>
          <w:tcPr>
            <w:tcW w:w="22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conformément  aux  règlements  de  frais  de  la  société  sont</w:t>
            </w:r>
          </w:p>
        </w:tc>
      </w:tr>
      <w:tr>
        <w:trPr>
          <w:trHeight w:val="203"/>
        </w:trPr>
        <w:tc>
          <w:tcPr>
            <w:tcW w:w="5540" w:type="dxa"/>
            <w:vAlign w:val="bottom"/>
            <w:tcBorders>
              <w:left w:val="single" w:sz="8" w:color="auto"/>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reimbursed following presentation of the supporting receipts. This</w:t>
            </w:r>
          </w:p>
        </w:tc>
        <w:tc>
          <w:tcPr>
            <w:tcW w:w="22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remboursées  à  la  suite  de  la  présentation  des  reçus</w:t>
            </w:r>
          </w:p>
        </w:tc>
      </w:tr>
      <w:tr>
        <w:trPr>
          <w:trHeight w:val="203"/>
        </w:trPr>
        <w:tc>
          <w:tcPr>
            <w:tcW w:w="5540" w:type="dxa"/>
            <w:vAlign w:val="bottom"/>
            <w:tcBorders>
              <w:left w:val="single" w:sz="8" w:color="auto"/>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additional remuneration is not subject to a separate vote by the</w:t>
            </w:r>
          </w:p>
        </w:tc>
        <w:tc>
          <w:tcPr>
            <w:tcW w:w="22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correspondants.  Cette  rémunération  additionnelle  n'est  pas</w:t>
            </w:r>
          </w:p>
        </w:tc>
      </w:tr>
      <w:tr>
        <w:trPr>
          <w:trHeight w:val="217"/>
        </w:trPr>
        <w:tc>
          <w:tcPr>
            <w:tcW w:w="554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General Meeting.</w:t>
            </w:r>
          </w:p>
        </w:tc>
        <w:tc>
          <w:tcPr>
            <w:tcW w:w="220" w:type="dxa"/>
            <w:vAlign w:val="bottom"/>
            <w:tcBorders>
              <w:right w:val="single" w:sz="8" w:color="auto"/>
            </w:tcBorders>
          </w:tcPr>
          <w:p>
            <w:pPr>
              <w:spacing w:after="0"/>
              <w:rPr>
                <w:sz w:val="18"/>
                <w:szCs w:val="18"/>
                <w:color w:val="auto"/>
              </w:rPr>
            </w:pPr>
          </w:p>
        </w:tc>
        <w:tc>
          <w:tcPr>
            <w:tcW w:w="548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soumise à un vote séparé par l'assemblée générale.</w:t>
            </w:r>
          </w:p>
        </w:tc>
      </w:tr>
      <w:tr>
        <w:trPr>
          <w:trHeight w:val="54"/>
        </w:trPr>
        <w:tc>
          <w:tcPr>
            <w:tcW w:w="5540" w:type="dxa"/>
            <w:vAlign w:val="bottom"/>
            <w:tcBorders>
              <w:left w:val="single" w:sz="8" w:color="auto"/>
              <w:bottom w:val="single" w:sz="8" w:color="auto"/>
              <w:right w:val="single" w:sz="8" w:color="auto"/>
            </w:tcBorders>
          </w:tcPr>
          <w:p>
            <w:pPr>
              <w:spacing w:after="0"/>
              <w:rPr>
                <w:sz w:val="4"/>
                <w:szCs w:val="4"/>
                <w:color w:val="auto"/>
              </w:rPr>
            </w:pPr>
          </w:p>
        </w:tc>
        <w:tc>
          <w:tcPr>
            <w:tcW w:w="220" w:type="dxa"/>
            <w:vAlign w:val="bottom"/>
            <w:tcBorders>
              <w:bottom w:val="single" w:sz="8" w:color="auto"/>
              <w:right w:val="single" w:sz="8" w:color="auto"/>
            </w:tcBorders>
          </w:tcPr>
          <w:p>
            <w:pPr>
              <w:spacing w:after="0"/>
              <w:rPr>
                <w:sz w:val="4"/>
                <w:szCs w:val="4"/>
                <w:color w:val="auto"/>
              </w:rPr>
            </w:pPr>
          </w:p>
        </w:tc>
        <w:tc>
          <w:tcPr>
            <w:tcW w:w="5480" w:type="dxa"/>
            <w:vAlign w:val="bottom"/>
            <w:tcBorders>
              <w:bottom w:val="single" w:sz="8" w:color="auto"/>
              <w:right w:val="single" w:sz="8" w:color="auto"/>
            </w:tcBorders>
          </w:tcPr>
          <w:p>
            <w:pPr>
              <w:spacing w:after="0"/>
              <w:rPr>
                <w:sz w:val="4"/>
                <w:szCs w:val="4"/>
                <w:color w:val="auto"/>
              </w:rPr>
            </w:pPr>
          </w:p>
        </w:tc>
      </w:tr>
      <w:tr>
        <w:trPr>
          <w:trHeight w:val="277"/>
        </w:trPr>
        <w:tc>
          <w:tcPr>
            <w:tcW w:w="554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b w:val="1"/>
                <w:bCs w:val="1"/>
                <w:color w:val="auto"/>
              </w:rPr>
              <w:t>Art. 36 Compensation Agreements</w:t>
            </w:r>
          </w:p>
        </w:tc>
        <w:tc>
          <w:tcPr>
            <w:tcW w:w="220" w:type="dxa"/>
            <w:vAlign w:val="bottom"/>
            <w:tcBorders>
              <w:right w:val="single" w:sz="8" w:color="auto"/>
            </w:tcBorders>
          </w:tcPr>
          <w:p>
            <w:pPr>
              <w:spacing w:after="0"/>
              <w:rPr>
                <w:sz w:val="24"/>
                <w:szCs w:val="24"/>
                <w:color w:val="auto"/>
              </w:rPr>
            </w:pPr>
          </w:p>
        </w:tc>
        <w:tc>
          <w:tcPr>
            <w:tcW w:w="5480" w:type="dxa"/>
            <w:vAlign w:val="bottom"/>
            <w:tcBorders>
              <w:right w:val="single" w:sz="8" w:color="auto"/>
            </w:tcBorders>
          </w:tcPr>
          <w:p>
            <w:pPr>
              <w:ind w:left="60"/>
              <w:spacing w:after="0"/>
              <w:rPr>
                <w:sz w:val="20"/>
                <w:szCs w:val="20"/>
                <w:color w:val="auto"/>
              </w:rPr>
            </w:pPr>
            <w:r>
              <w:rPr>
                <w:rFonts w:ascii="Arial" w:cs="Arial" w:eastAsia="Arial" w:hAnsi="Arial"/>
                <w:sz w:val="18"/>
                <w:szCs w:val="18"/>
                <w:b w:val="1"/>
                <w:bCs w:val="1"/>
                <w:color w:val="auto"/>
              </w:rPr>
              <w:t>Art. 36 Accords sur la rémunération</w:t>
            </w:r>
          </w:p>
        </w:tc>
      </w:tr>
      <w:tr>
        <w:trPr>
          <w:trHeight w:val="391"/>
        </w:trPr>
        <w:tc>
          <w:tcPr>
            <w:tcW w:w="554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Agreements on compensation with members of the Board of</w:t>
            </w:r>
          </w:p>
        </w:tc>
        <w:tc>
          <w:tcPr>
            <w:tcW w:w="220" w:type="dxa"/>
            <w:vAlign w:val="bottom"/>
            <w:tcBorders>
              <w:right w:val="single" w:sz="8" w:color="auto"/>
            </w:tcBorders>
          </w:tcPr>
          <w:p>
            <w:pPr>
              <w:spacing w:after="0"/>
              <w:rPr>
                <w:sz w:val="24"/>
                <w:szCs w:val="24"/>
                <w:color w:val="auto"/>
              </w:rPr>
            </w:pPr>
          </w:p>
        </w:tc>
        <w:tc>
          <w:tcPr>
            <w:tcW w:w="548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Les  accords  sur  la  rémunération  des  membres  du  conseil</w:t>
            </w:r>
          </w:p>
        </w:tc>
      </w:tr>
      <w:tr>
        <w:trPr>
          <w:trHeight w:val="203"/>
        </w:trPr>
        <w:tc>
          <w:tcPr>
            <w:tcW w:w="5540" w:type="dxa"/>
            <w:vAlign w:val="bottom"/>
            <w:tcBorders>
              <w:left w:val="single" w:sz="8" w:color="auto"/>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Directors may not exceed the term of maximal one year.</w:t>
            </w:r>
          </w:p>
        </w:tc>
        <w:tc>
          <w:tcPr>
            <w:tcW w:w="22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d'administration ne peuvent pas excéder la durée maximale d'une</w:t>
            </w:r>
          </w:p>
        </w:tc>
      </w:tr>
      <w:tr>
        <w:trPr>
          <w:trHeight w:val="217"/>
        </w:trPr>
        <w:tc>
          <w:tcPr>
            <w:tcW w:w="5540" w:type="dxa"/>
            <w:vAlign w:val="bottom"/>
            <w:tcBorders>
              <w:left w:val="single" w:sz="8" w:color="auto"/>
              <w:right w:val="single" w:sz="8" w:color="auto"/>
            </w:tcBorders>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548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année.</w:t>
            </w:r>
          </w:p>
        </w:tc>
      </w:tr>
      <w:tr>
        <w:trPr>
          <w:trHeight w:val="54"/>
        </w:trPr>
        <w:tc>
          <w:tcPr>
            <w:tcW w:w="5540" w:type="dxa"/>
            <w:vAlign w:val="bottom"/>
            <w:tcBorders>
              <w:left w:val="single" w:sz="8" w:color="auto"/>
              <w:bottom w:val="single" w:sz="8" w:color="auto"/>
              <w:right w:val="single" w:sz="8" w:color="auto"/>
            </w:tcBorders>
          </w:tcPr>
          <w:p>
            <w:pPr>
              <w:spacing w:after="0"/>
              <w:rPr>
                <w:sz w:val="4"/>
                <w:szCs w:val="4"/>
                <w:color w:val="auto"/>
              </w:rPr>
            </w:pPr>
          </w:p>
        </w:tc>
        <w:tc>
          <w:tcPr>
            <w:tcW w:w="220" w:type="dxa"/>
            <w:vAlign w:val="bottom"/>
            <w:tcBorders>
              <w:bottom w:val="single" w:sz="8" w:color="auto"/>
              <w:right w:val="single" w:sz="8" w:color="auto"/>
            </w:tcBorders>
          </w:tcPr>
          <w:p>
            <w:pPr>
              <w:spacing w:after="0"/>
              <w:rPr>
                <w:sz w:val="4"/>
                <w:szCs w:val="4"/>
                <w:color w:val="auto"/>
              </w:rPr>
            </w:pPr>
          </w:p>
        </w:tc>
        <w:tc>
          <w:tcPr>
            <w:tcW w:w="5480" w:type="dxa"/>
            <w:vAlign w:val="bottom"/>
            <w:tcBorders>
              <w:bottom w:val="single" w:sz="8" w:color="auto"/>
              <w:right w:val="single" w:sz="8" w:color="auto"/>
            </w:tcBorders>
          </w:tcPr>
          <w:p>
            <w:pPr>
              <w:spacing w:after="0"/>
              <w:rPr>
                <w:sz w:val="4"/>
                <w:szCs w:val="4"/>
                <w:color w:val="auto"/>
              </w:rPr>
            </w:pPr>
          </w:p>
        </w:tc>
      </w:tr>
      <w:tr>
        <w:trPr>
          <w:trHeight w:val="263"/>
        </w:trPr>
        <w:tc>
          <w:tcPr>
            <w:tcW w:w="554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Employment  agreements  of  the  members  of  the  Executive</w:t>
            </w:r>
          </w:p>
        </w:tc>
        <w:tc>
          <w:tcPr>
            <w:tcW w:w="220" w:type="dxa"/>
            <w:vAlign w:val="bottom"/>
            <w:tcBorders>
              <w:right w:val="single" w:sz="8" w:color="auto"/>
            </w:tcBorders>
          </w:tcPr>
          <w:p>
            <w:pPr>
              <w:spacing w:after="0"/>
              <w:rPr>
                <w:sz w:val="22"/>
                <w:szCs w:val="22"/>
                <w:color w:val="auto"/>
              </w:rPr>
            </w:pPr>
          </w:p>
        </w:tc>
        <w:tc>
          <w:tcPr>
            <w:tcW w:w="548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Les contrats de travail des membres du comité exécutif sont</w:t>
            </w:r>
          </w:p>
        </w:tc>
      </w:tr>
      <w:tr>
        <w:trPr>
          <w:trHeight w:val="217"/>
        </w:trPr>
        <w:tc>
          <w:tcPr>
            <w:tcW w:w="554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Committee are principally concluded for an indefinite period of time</w:t>
            </w:r>
          </w:p>
        </w:tc>
        <w:tc>
          <w:tcPr>
            <w:tcW w:w="220" w:type="dxa"/>
            <w:vAlign w:val="bottom"/>
            <w:tcBorders>
              <w:right w:val="single" w:sz="8" w:color="auto"/>
            </w:tcBorders>
          </w:tcPr>
          <w:p>
            <w:pPr>
              <w:spacing w:after="0"/>
              <w:rPr>
                <w:sz w:val="18"/>
                <w:szCs w:val="18"/>
                <w:color w:val="auto"/>
              </w:rPr>
            </w:pPr>
          </w:p>
        </w:tc>
        <w:tc>
          <w:tcPr>
            <w:tcW w:w="548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principalement conclus pour une durée indéterminée. Un délai de</w:t>
            </w:r>
          </w:p>
        </w:tc>
      </w:tr>
      <w:tr>
        <w:trPr>
          <w:trHeight w:val="54"/>
        </w:trPr>
        <w:tc>
          <w:tcPr>
            <w:tcW w:w="5540" w:type="dxa"/>
            <w:vAlign w:val="bottom"/>
            <w:tcBorders>
              <w:left w:val="single" w:sz="8" w:color="auto"/>
              <w:bottom w:val="single" w:sz="8" w:color="auto"/>
              <w:right w:val="single" w:sz="8" w:color="auto"/>
            </w:tcBorders>
          </w:tcPr>
          <w:p>
            <w:pPr>
              <w:spacing w:after="0"/>
              <w:rPr>
                <w:sz w:val="4"/>
                <w:szCs w:val="4"/>
                <w:color w:val="auto"/>
              </w:rPr>
            </w:pPr>
          </w:p>
        </w:tc>
        <w:tc>
          <w:tcPr>
            <w:tcW w:w="220" w:type="dxa"/>
            <w:vAlign w:val="bottom"/>
            <w:tcBorders>
              <w:bottom w:val="single" w:sz="8" w:color="auto"/>
              <w:right w:val="single" w:sz="8" w:color="auto"/>
            </w:tcBorders>
          </w:tcPr>
          <w:p>
            <w:pPr>
              <w:spacing w:after="0"/>
              <w:rPr>
                <w:sz w:val="4"/>
                <w:szCs w:val="4"/>
                <w:color w:val="auto"/>
              </w:rPr>
            </w:pPr>
          </w:p>
        </w:tc>
        <w:tc>
          <w:tcPr>
            <w:tcW w:w="5480" w:type="dxa"/>
            <w:vAlign w:val="bottom"/>
            <w:tcBorders>
              <w:bottom w:val="single" w:sz="8" w:color="auto"/>
              <w:right w:val="single" w:sz="8" w:color="auto"/>
            </w:tcBorders>
          </w:tcPr>
          <w:p>
            <w:pPr>
              <w:spacing w:after="0"/>
              <w:rPr>
                <w:sz w:val="4"/>
                <w:szCs w:val="4"/>
                <w:color w:val="auto"/>
              </w:rPr>
            </w:pPr>
          </w:p>
        </w:tc>
      </w:tr>
      <w:tr>
        <w:trPr>
          <w:trHeight w:val="453"/>
        </w:trPr>
        <w:tc>
          <w:tcPr>
            <w:tcW w:w="55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54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249" w:right="339" w:bottom="1440" w:gutter="0" w:footer="0" w:header="0"/>
        </w:sectPr>
      </w:pPr>
    </w:p>
    <w:bookmarkStart w:id="66" w:name="page67"/>
    <w:bookmarkEnd w:id="66"/>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187"/>
        </w:trPr>
        <w:tc>
          <w:tcPr>
            <w:tcW w:w="360" w:type="dxa"/>
            <w:vAlign w:val="bottom"/>
            <w:tcBorders>
              <w:bottom w:val="single" w:sz="8" w:color="auto"/>
            </w:tcBorders>
          </w:tcPr>
          <w:p>
            <w:pPr>
              <w:spacing w:after="0"/>
              <w:rPr>
                <w:sz w:val="16"/>
                <w:szCs w:val="16"/>
                <w:color w:val="auto"/>
              </w:rPr>
            </w:pPr>
          </w:p>
        </w:tc>
        <w:tc>
          <w:tcPr>
            <w:tcW w:w="518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5120" w:type="dxa"/>
            <w:vAlign w:val="bottom"/>
            <w:tcBorders>
              <w:bottom w:val="single" w:sz="8" w:color="auto"/>
            </w:tcBorders>
          </w:tcPr>
          <w:p>
            <w:pPr>
              <w:ind w:left="4900"/>
              <w:spacing w:after="0"/>
              <w:rPr>
                <w:sz w:val="20"/>
                <w:szCs w:val="20"/>
                <w:color w:val="auto"/>
              </w:rPr>
            </w:pPr>
            <w:r>
              <w:rPr>
                <w:rFonts w:ascii="Arial" w:cs="Arial" w:eastAsia="Arial" w:hAnsi="Arial"/>
                <w:sz w:val="16"/>
                <w:szCs w:val="16"/>
                <w:color w:val="auto"/>
              </w:rPr>
              <w:t>28</w:t>
            </w:r>
          </w:p>
        </w:tc>
        <w:tc>
          <w:tcPr>
            <w:tcW w:w="0" w:type="dxa"/>
            <w:vAlign w:val="bottom"/>
          </w:tcPr>
          <w:p>
            <w:pPr>
              <w:spacing w:after="0"/>
              <w:rPr>
                <w:sz w:val="1"/>
                <w:szCs w:val="1"/>
                <w:color w:val="auto"/>
              </w:rPr>
            </w:pPr>
          </w:p>
        </w:tc>
      </w:tr>
      <w:tr>
        <w:trPr>
          <w:trHeight w:val="263"/>
        </w:trPr>
        <w:tc>
          <w:tcPr>
            <w:tcW w:w="5540" w:type="dxa"/>
            <w:vAlign w:val="bottom"/>
            <w:tcBorders>
              <w:left w:val="single" w:sz="8" w:color="auto"/>
              <w:right w:val="single" w:sz="8" w:color="auto"/>
            </w:tcBorders>
            <w:gridSpan w:val="2"/>
          </w:tcPr>
          <w:p>
            <w:pPr>
              <w:ind w:left="100"/>
              <w:spacing w:after="0"/>
              <w:rPr>
                <w:sz w:val="20"/>
                <w:szCs w:val="20"/>
                <w:color w:val="auto"/>
              </w:rPr>
            </w:pPr>
            <w:r>
              <w:rPr>
                <w:rFonts w:ascii="Arial" w:cs="Arial" w:eastAsia="Arial" w:hAnsi="Arial"/>
                <w:sz w:val="18"/>
                <w:szCs w:val="18"/>
                <w:color w:val="auto"/>
              </w:rPr>
              <w:t>whereas  a  notice  period  may  not  exceed  12  months.  If  an</w:t>
            </w:r>
          </w:p>
        </w:tc>
        <w:tc>
          <w:tcPr>
            <w:tcW w:w="220" w:type="dxa"/>
            <w:vAlign w:val="bottom"/>
            <w:tcBorders>
              <w:right w:val="single" w:sz="8" w:color="auto"/>
            </w:tcBorders>
          </w:tcPr>
          <w:p>
            <w:pPr>
              <w:spacing w:after="0"/>
              <w:rPr>
                <w:sz w:val="22"/>
                <w:szCs w:val="22"/>
                <w:color w:val="auto"/>
              </w:rPr>
            </w:pPr>
          </w:p>
        </w:tc>
        <w:tc>
          <w:tcPr>
            <w:tcW w:w="5480" w:type="dxa"/>
            <w:vAlign w:val="bottom"/>
            <w:tcBorders>
              <w:right w:val="single" w:sz="8" w:color="auto"/>
            </w:tcBorders>
            <w:gridSpan w:val="2"/>
          </w:tcPr>
          <w:p>
            <w:pPr>
              <w:ind w:left="60"/>
              <w:spacing w:after="0"/>
              <w:rPr>
                <w:sz w:val="20"/>
                <w:szCs w:val="20"/>
                <w:color w:val="auto"/>
              </w:rPr>
            </w:pPr>
            <w:r>
              <w:rPr>
                <w:rFonts w:ascii="Arial" w:cs="Arial" w:eastAsia="Arial" w:hAnsi="Arial"/>
                <w:sz w:val="18"/>
                <w:szCs w:val="18"/>
                <w:color w:val="auto"/>
              </w:rPr>
              <w:t>préavis ne peut pas excéder 12 mois. Si un accord de travail est</w:t>
            </w:r>
          </w:p>
        </w:tc>
        <w:tc>
          <w:tcPr>
            <w:tcW w:w="0" w:type="dxa"/>
            <w:vAlign w:val="bottom"/>
          </w:tcPr>
          <w:p>
            <w:pPr>
              <w:spacing w:after="0"/>
              <w:rPr>
                <w:sz w:val="1"/>
                <w:szCs w:val="1"/>
                <w:color w:val="auto"/>
              </w:rPr>
            </w:pPr>
          </w:p>
        </w:tc>
      </w:tr>
      <w:tr>
        <w:trPr>
          <w:trHeight w:val="203"/>
        </w:trPr>
        <w:tc>
          <w:tcPr>
            <w:tcW w:w="5540" w:type="dxa"/>
            <w:vAlign w:val="bottom"/>
            <w:tcBorders>
              <w:left w:val="single" w:sz="8" w:color="auto"/>
              <w:right w:val="single" w:sz="8" w:color="auto"/>
            </w:tcBorders>
            <w:gridSpan w:val="2"/>
          </w:tcPr>
          <w:p>
            <w:pPr>
              <w:ind w:left="100"/>
              <w:spacing w:after="0" w:line="202" w:lineRule="exact"/>
              <w:rPr>
                <w:sz w:val="20"/>
                <w:szCs w:val="20"/>
                <w:color w:val="auto"/>
              </w:rPr>
            </w:pPr>
            <w:r>
              <w:rPr>
                <w:rFonts w:ascii="Arial" w:cs="Arial" w:eastAsia="Arial" w:hAnsi="Arial"/>
                <w:sz w:val="18"/>
                <w:szCs w:val="18"/>
                <w:color w:val="auto"/>
              </w:rPr>
              <w:t>employment agreement is concluded for a fixed term such term</w:t>
            </w:r>
          </w:p>
        </w:tc>
        <w:tc>
          <w:tcPr>
            <w:tcW w:w="22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gridSpan w:val="2"/>
          </w:tcPr>
          <w:p>
            <w:pPr>
              <w:ind w:left="60"/>
              <w:spacing w:after="0" w:line="202" w:lineRule="exact"/>
              <w:rPr>
                <w:sz w:val="20"/>
                <w:szCs w:val="20"/>
                <w:color w:val="auto"/>
              </w:rPr>
            </w:pPr>
            <w:r>
              <w:rPr>
                <w:rFonts w:ascii="Arial" w:cs="Arial" w:eastAsia="Arial" w:hAnsi="Arial"/>
                <w:sz w:val="18"/>
                <w:szCs w:val="18"/>
                <w:color w:val="auto"/>
              </w:rPr>
              <w:t>conclu  pour  une  durée  déterminée,  telle  durée  ne  peut  pas</w:t>
            </w:r>
          </w:p>
        </w:tc>
        <w:tc>
          <w:tcPr>
            <w:tcW w:w="0" w:type="dxa"/>
            <w:vAlign w:val="bottom"/>
          </w:tcPr>
          <w:p>
            <w:pPr>
              <w:spacing w:after="0"/>
              <w:rPr>
                <w:sz w:val="1"/>
                <w:szCs w:val="1"/>
                <w:color w:val="auto"/>
              </w:rPr>
            </w:pPr>
          </w:p>
        </w:tc>
      </w:tr>
      <w:tr>
        <w:trPr>
          <w:trHeight w:val="217"/>
        </w:trPr>
        <w:tc>
          <w:tcPr>
            <w:tcW w:w="5540" w:type="dxa"/>
            <w:vAlign w:val="bottom"/>
            <w:tcBorders>
              <w:left w:val="single" w:sz="8" w:color="auto"/>
              <w:right w:val="single" w:sz="8" w:color="auto"/>
            </w:tcBorders>
            <w:gridSpan w:val="2"/>
          </w:tcPr>
          <w:p>
            <w:pPr>
              <w:ind w:left="100"/>
              <w:spacing w:after="0"/>
              <w:rPr>
                <w:sz w:val="20"/>
                <w:szCs w:val="20"/>
                <w:color w:val="auto"/>
              </w:rPr>
            </w:pPr>
            <w:r>
              <w:rPr>
                <w:rFonts w:ascii="Arial" w:cs="Arial" w:eastAsia="Arial" w:hAnsi="Arial"/>
                <w:sz w:val="18"/>
                <w:szCs w:val="18"/>
                <w:color w:val="auto"/>
              </w:rPr>
              <w:t>may not exceed one year.</w:t>
            </w:r>
          </w:p>
        </w:tc>
        <w:tc>
          <w:tcPr>
            <w:tcW w:w="220" w:type="dxa"/>
            <w:vAlign w:val="bottom"/>
            <w:tcBorders>
              <w:right w:val="single" w:sz="8" w:color="auto"/>
            </w:tcBorders>
          </w:tcPr>
          <w:p>
            <w:pPr>
              <w:spacing w:after="0"/>
              <w:rPr>
                <w:sz w:val="18"/>
                <w:szCs w:val="18"/>
                <w:color w:val="auto"/>
              </w:rPr>
            </w:pPr>
          </w:p>
        </w:tc>
        <w:tc>
          <w:tcPr>
            <w:tcW w:w="5480" w:type="dxa"/>
            <w:vAlign w:val="bottom"/>
            <w:tcBorders>
              <w:right w:val="single" w:sz="8" w:color="auto"/>
            </w:tcBorders>
            <w:gridSpan w:val="2"/>
          </w:tcPr>
          <w:p>
            <w:pPr>
              <w:ind w:left="60"/>
              <w:spacing w:after="0"/>
              <w:rPr>
                <w:sz w:val="20"/>
                <w:szCs w:val="20"/>
                <w:color w:val="auto"/>
              </w:rPr>
            </w:pPr>
            <w:r>
              <w:rPr>
                <w:rFonts w:ascii="Arial" w:cs="Arial" w:eastAsia="Arial" w:hAnsi="Arial"/>
                <w:sz w:val="18"/>
                <w:szCs w:val="18"/>
                <w:color w:val="auto"/>
              </w:rPr>
              <w:t>excéder un an.</w:t>
            </w:r>
          </w:p>
        </w:tc>
        <w:tc>
          <w:tcPr>
            <w:tcW w:w="0" w:type="dxa"/>
            <w:vAlign w:val="bottom"/>
          </w:tcPr>
          <w:p>
            <w:pPr>
              <w:spacing w:after="0"/>
              <w:rPr>
                <w:sz w:val="1"/>
                <w:szCs w:val="1"/>
                <w:color w:val="auto"/>
              </w:rPr>
            </w:pPr>
          </w:p>
        </w:tc>
      </w:tr>
      <w:tr>
        <w:trPr>
          <w:trHeight w:val="54"/>
        </w:trPr>
        <w:tc>
          <w:tcPr>
            <w:tcW w:w="5540" w:type="dxa"/>
            <w:vAlign w:val="bottom"/>
            <w:tcBorders>
              <w:left w:val="single" w:sz="8" w:color="auto"/>
              <w:bottom w:val="single" w:sz="8" w:color="auto"/>
              <w:right w:val="single" w:sz="8" w:color="auto"/>
            </w:tcBorders>
            <w:gridSpan w:val="2"/>
          </w:tcPr>
          <w:p>
            <w:pPr>
              <w:spacing w:after="0"/>
              <w:rPr>
                <w:sz w:val="4"/>
                <w:szCs w:val="4"/>
                <w:color w:val="auto"/>
              </w:rPr>
            </w:pPr>
          </w:p>
        </w:tc>
        <w:tc>
          <w:tcPr>
            <w:tcW w:w="220" w:type="dxa"/>
            <w:vAlign w:val="bottom"/>
            <w:tcBorders>
              <w:bottom w:val="single" w:sz="8" w:color="auto"/>
              <w:right w:val="single" w:sz="8" w:color="auto"/>
            </w:tcBorders>
          </w:tcPr>
          <w:p>
            <w:pPr>
              <w:spacing w:after="0"/>
              <w:rPr>
                <w:sz w:val="4"/>
                <w:szCs w:val="4"/>
                <w:color w:val="auto"/>
              </w:rPr>
            </w:pPr>
          </w:p>
        </w:tc>
        <w:tc>
          <w:tcPr>
            <w:tcW w:w="5480" w:type="dxa"/>
            <w:vAlign w:val="bottom"/>
            <w:tcBorders>
              <w:bottom w:val="single" w:sz="8" w:color="auto"/>
              <w:right w:val="single" w:sz="8" w:color="auto"/>
            </w:tcBorders>
            <w:gridSpan w:val="2"/>
          </w:tcPr>
          <w:p>
            <w:pPr>
              <w:spacing w:after="0"/>
              <w:rPr>
                <w:sz w:val="4"/>
                <w:szCs w:val="4"/>
                <w:color w:val="auto"/>
              </w:rPr>
            </w:pPr>
          </w:p>
        </w:tc>
        <w:tc>
          <w:tcPr>
            <w:tcW w:w="0" w:type="dxa"/>
            <w:vAlign w:val="bottom"/>
          </w:tcPr>
          <w:p>
            <w:pPr>
              <w:spacing w:after="0"/>
              <w:rPr>
                <w:sz w:val="1"/>
                <w:szCs w:val="1"/>
                <w:color w:val="auto"/>
              </w:rPr>
            </w:pPr>
          </w:p>
        </w:tc>
      </w:tr>
      <w:tr>
        <w:trPr>
          <w:trHeight w:val="241"/>
        </w:trPr>
        <w:tc>
          <w:tcPr>
            <w:tcW w:w="5540" w:type="dxa"/>
            <w:vAlign w:val="bottom"/>
            <w:tcBorders>
              <w:left w:val="single" w:sz="8" w:color="auto"/>
              <w:right w:val="single" w:sz="8" w:color="auto"/>
            </w:tcBorders>
            <w:gridSpan w:val="2"/>
          </w:tcPr>
          <w:p>
            <w:pPr>
              <w:ind w:left="100"/>
              <w:spacing w:after="0"/>
              <w:rPr>
                <w:sz w:val="20"/>
                <w:szCs w:val="20"/>
                <w:color w:val="auto"/>
              </w:rPr>
            </w:pPr>
            <w:r>
              <w:rPr>
                <w:rFonts w:ascii="Arial" w:cs="Arial" w:eastAsia="Arial" w:hAnsi="Arial"/>
                <w:sz w:val="18"/>
                <w:szCs w:val="18"/>
                <w:b w:val="1"/>
                <w:bCs w:val="1"/>
                <w:color w:val="auto"/>
              </w:rPr>
              <w:t>Art. 37 Mandates of a Member of the Board of Directors</w:t>
            </w:r>
          </w:p>
        </w:tc>
        <w:tc>
          <w:tcPr>
            <w:tcW w:w="220" w:type="dxa"/>
            <w:vAlign w:val="bottom"/>
            <w:tcBorders>
              <w:right w:val="single" w:sz="8" w:color="auto"/>
            </w:tcBorders>
          </w:tcPr>
          <w:p>
            <w:pPr>
              <w:spacing w:after="0"/>
              <w:rPr>
                <w:sz w:val="20"/>
                <w:szCs w:val="20"/>
                <w:color w:val="auto"/>
              </w:rPr>
            </w:pPr>
          </w:p>
        </w:tc>
        <w:tc>
          <w:tcPr>
            <w:tcW w:w="5480" w:type="dxa"/>
            <w:vAlign w:val="bottom"/>
            <w:tcBorders>
              <w:right w:val="single" w:sz="8" w:color="auto"/>
            </w:tcBorders>
            <w:gridSpan w:val="2"/>
          </w:tcPr>
          <w:p>
            <w:pPr>
              <w:ind w:left="60"/>
              <w:spacing w:after="0"/>
              <w:rPr>
                <w:sz w:val="20"/>
                <w:szCs w:val="20"/>
                <w:color w:val="auto"/>
              </w:rPr>
            </w:pPr>
            <w:r>
              <w:rPr>
                <w:rFonts w:ascii="Arial" w:cs="Arial" w:eastAsia="Arial" w:hAnsi="Arial"/>
                <w:sz w:val="18"/>
                <w:szCs w:val="18"/>
                <w:b w:val="1"/>
                <w:bCs w:val="1"/>
                <w:color w:val="auto"/>
              </w:rPr>
              <w:t>Art. 37 Mandats d'un membre du conseil d'administration de</w:t>
            </w:r>
          </w:p>
        </w:tc>
        <w:tc>
          <w:tcPr>
            <w:tcW w:w="0" w:type="dxa"/>
            <w:vAlign w:val="bottom"/>
          </w:tcPr>
          <w:p>
            <w:pPr>
              <w:spacing w:after="0"/>
              <w:rPr>
                <w:sz w:val="1"/>
                <w:szCs w:val="1"/>
                <w:color w:val="auto"/>
              </w:rPr>
            </w:pPr>
          </w:p>
        </w:tc>
      </w:tr>
      <w:tr>
        <w:trPr>
          <w:trHeight w:val="239"/>
        </w:trPr>
        <w:tc>
          <w:tcPr>
            <w:tcW w:w="5540" w:type="dxa"/>
            <w:vAlign w:val="bottom"/>
            <w:tcBorders>
              <w:left w:val="single" w:sz="8" w:color="auto"/>
              <w:right w:val="single" w:sz="8" w:color="auto"/>
            </w:tcBorders>
            <w:gridSpan w:val="2"/>
          </w:tcPr>
          <w:p>
            <w:pPr>
              <w:ind w:left="100"/>
              <w:spacing w:after="0"/>
              <w:rPr>
                <w:sz w:val="20"/>
                <w:szCs w:val="20"/>
                <w:color w:val="auto"/>
              </w:rPr>
            </w:pPr>
            <w:r>
              <w:rPr>
                <w:rFonts w:ascii="Arial" w:cs="Arial" w:eastAsia="Arial" w:hAnsi="Arial"/>
                <w:sz w:val="18"/>
                <w:szCs w:val="18"/>
                <w:b w:val="1"/>
                <w:bCs w:val="1"/>
                <w:color w:val="auto"/>
              </w:rPr>
              <w:t>outside the Company</w:t>
            </w:r>
          </w:p>
        </w:tc>
        <w:tc>
          <w:tcPr>
            <w:tcW w:w="220" w:type="dxa"/>
            <w:vAlign w:val="bottom"/>
            <w:tcBorders>
              <w:right w:val="single" w:sz="8" w:color="auto"/>
            </w:tcBorders>
          </w:tcPr>
          <w:p>
            <w:pPr>
              <w:spacing w:after="0"/>
              <w:rPr>
                <w:sz w:val="20"/>
                <w:szCs w:val="20"/>
                <w:color w:val="auto"/>
              </w:rPr>
            </w:pPr>
          </w:p>
        </w:tc>
        <w:tc>
          <w:tcPr>
            <w:tcW w:w="5480" w:type="dxa"/>
            <w:vAlign w:val="bottom"/>
            <w:tcBorders>
              <w:right w:val="single" w:sz="8" w:color="auto"/>
            </w:tcBorders>
            <w:gridSpan w:val="2"/>
          </w:tcPr>
          <w:p>
            <w:pPr>
              <w:ind w:left="60"/>
              <w:spacing w:after="0"/>
              <w:rPr>
                <w:sz w:val="20"/>
                <w:szCs w:val="20"/>
                <w:color w:val="auto"/>
              </w:rPr>
            </w:pPr>
            <w:r>
              <w:rPr>
                <w:rFonts w:ascii="Arial" w:cs="Arial" w:eastAsia="Arial" w:hAnsi="Arial"/>
                <w:sz w:val="18"/>
                <w:szCs w:val="18"/>
                <w:b w:val="1"/>
                <w:bCs w:val="1"/>
                <w:color w:val="auto"/>
              </w:rPr>
              <w:t>la société</w:t>
            </w:r>
          </w:p>
        </w:tc>
        <w:tc>
          <w:tcPr>
            <w:tcW w:w="0" w:type="dxa"/>
            <w:vAlign w:val="bottom"/>
          </w:tcPr>
          <w:p>
            <w:pPr>
              <w:spacing w:after="0"/>
              <w:rPr>
                <w:sz w:val="1"/>
                <w:szCs w:val="1"/>
                <w:color w:val="auto"/>
              </w:rPr>
            </w:pPr>
          </w:p>
        </w:tc>
      </w:tr>
      <w:tr>
        <w:trPr>
          <w:trHeight w:val="391"/>
        </w:trPr>
        <w:tc>
          <w:tcPr>
            <w:tcW w:w="5540" w:type="dxa"/>
            <w:vAlign w:val="bottom"/>
            <w:tcBorders>
              <w:left w:val="single" w:sz="8" w:color="auto"/>
              <w:right w:val="single" w:sz="8" w:color="auto"/>
            </w:tcBorders>
            <w:gridSpan w:val="2"/>
          </w:tcPr>
          <w:p>
            <w:pPr>
              <w:ind w:left="100"/>
              <w:spacing w:after="0"/>
              <w:rPr>
                <w:sz w:val="20"/>
                <w:szCs w:val="20"/>
                <w:color w:val="auto"/>
              </w:rPr>
            </w:pPr>
            <w:r>
              <w:rPr>
                <w:rFonts w:ascii="Arial" w:cs="Arial" w:eastAsia="Arial" w:hAnsi="Arial"/>
                <w:sz w:val="18"/>
                <w:szCs w:val="18"/>
                <w:color w:val="auto"/>
              </w:rPr>
              <w:t>A member of the Board of Directors may cumulatively assume not</w:t>
            </w:r>
          </w:p>
        </w:tc>
        <w:tc>
          <w:tcPr>
            <w:tcW w:w="220" w:type="dxa"/>
            <w:vAlign w:val="bottom"/>
            <w:tcBorders>
              <w:right w:val="single" w:sz="8" w:color="auto"/>
            </w:tcBorders>
          </w:tcPr>
          <w:p>
            <w:pPr>
              <w:spacing w:after="0"/>
              <w:rPr>
                <w:sz w:val="24"/>
                <w:szCs w:val="24"/>
                <w:color w:val="auto"/>
              </w:rPr>
            </w:pPr>
          </w:p>
        </w:tc>
        <w:tc>
          <w:tcPr>
            <w:tcW w:w="5480" w:type="dxa"/>
            <w:vAlign w:val="bottom"/>
            <w:tcBorders>
              <w:right w:val="single" w:sz="8" w:color="auto"/>
            </w:tcBorders>
            <w:gridSpan w:val="2"/>
          </w:tcPr>
          <w:p>
            <w:pPr>
              <w:ind w:left="60"/>
              <w:spacing w:after="0"/>
              <w:rPr>
                <w:sz w:val="20"/>
                <w:szCs w:val="20"/>
                <w:color w:val="auto"/>
              </w:rPr>
            </w:pPr>
            <w:r>
              <w:rPr>
                <w:rFonts w:ascii="Arial" w:cs="Arial" w:eastAsia="Arial" w:hAnsi="Arial"/>
                <w:sz w:val="18"/>
                <w:szCs w:val="18"/>
                <w:color w:val="auto"/>
              </w:rPr>
              <w:t>Un membre du conseil d'administration ne peut pas cumuler plus</w:t>
            </w:r>
          </w:p>
        </w:tc>
        <w:tc>
          <w:tcPr>
            <w:tcW w:w="0" w:type="dxa"/>
            <w:vAlign w:val="bottom"/>
          </w:tcPr>
          <w:p>
            <w:pPr>
              <w:spacing w:after="0"/>
              <w:rPr>
                <w:sz w:val="1"/>
                <w:szCs w:val="1"/>
                <w:color w:val="auto"/>
              </w:rPr>
            </w:pPr>
          </w:p>
        </w:tc>
      </w:tr>
      <w:tr>
        <w:trPr>
          <w:trHeight w:val="203"/>
        </w:trPr>
        <w:tc>
          <w:tcPr>
            <w:tcW w:w="5540" w:type="dxa"/>
            <w:vAlign w:val="bottom"/>
            <w:tcBorders>
              <w:left w:val="single" w:sz="8" w:color="auto"/>
              <w:right w:val="single" w:sz="8" w:color="auto"/>
            </w:tcBorders>
            <w:gridSpan w:val="2"/>
          </w:tcPr>
          <w:p>
            <w:pPr>
              <w:ind w:left="100"/>
              <w:spacing w:after="0" w:line="202" w:lineRule="exact"/>
              <w:rPr>
                <w:sz w:val="20"/>
                <w:szCs w:val="20"/>
                <w:color w:val="auto"/>
              </w:rPr>
            </w:pPr>
            <w:r>
              <w:rPr>
                <w:rFonts w:ascii="Arial" w:cs="Arial" w:eastAsia="Arial" w:hAnsi="Arial"/>
                <w:sz w:val="18"/>
                <w:szCs w:val="18"/>
                <w:color w:val="auto"/>
              </w:rPr>
              <w:t>more than the following number of mandates in the board of</w:t>
            </w:r>
          </w:p>
        </w:tc>
        <w:tc>
          <w:tcPr>
            <w:tcW w:w="22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gridSpan w:val="2"/>
          </w:tcPr>
          <w:p>
            <w:pPr>
              <w:ind w:left="60"/>
              <w:spacing w:after="0" w:line="202" w:lineRule="exact"/>
              <w:rPr>
                <w:sz w:val="20"/>
                <w:szCs w:val="20"/>
                <w:color w:val="auto"/>
              </w:rPr>
            </w:pPr>
            <w:r>
              <w:rPr>
                <w:rFonts w:ascii="Arial" w:cs="Arial" w:eastAsia="Arial" w:hAnsi="Arial"/>
                <w:sz w:val="18"/>
                <w:szCs w:val="18"/>
                <w:color w:val="auto"/>
              </w:rPr>
              <w:t>que  le  nombre  suivant  de  mandats  dans  un  conseil</w:t>
            </w:r>
          </w:p>
        </w:tc>
        <w:tc>
          <w:tcPr>
            <w:tcW w:w="0" w:type="dxa"/>
            <w:vAlign w:val="bottom"/>
          </w:tcPr>
          <w:p>
            <w:pPr>
              <w:spacing w:after="0"/>
              <w:rPr>
                <w:sz w:val="1"/>
                <w:szCs w:val="1"/>
                <w:color w:val="auto"/>
              </w:rPr>
            </w:pPr>
          </w:p>
        </w:tc>
      </w:tr>
      <w:tr>
        <w:trPr>
          <w:trHeight w:val="203"/>
        </w:trPr>
        <w:tc>
          <w:tcPr>
            <w:tcW w:w="5540" w:type="dxa"/>
            <w:vAlign w:val="bottom"/>
            <w:tcBorders>
              <w:left w:val="single" w:sz="8" w:color="auto"/>
              <w:right w:val="single" w:sz="8" w:color="auto"/>
            </w:tcBorders>
            <w:gridSpan w:val="2"/>
          </w:tcPr>
          <w:p>
            <w:pPr>
              <w:ind w:left="100"/>
              <w:spacing w:after="0" w:line="202" w:lineRule="exact"/>
              <w:rPr>
                <w:sz w:val="20"/>
                <w:szCs w:val="20"/>
                <w:color w:val="auto"/>
              </w:rPr>
            </w:pPr>
            <w:r>
              <w:rPr>
                <w:rFonts w:ascii="Arial" w:cs="Arial" w:eastAsia="Arial" w:hAnsi="Arial"/>
                <w:sz w:val="18"/>
                <w:szCs w:val="18"/>
                <w:color w:val="auto"/>
              </w:rPr>
              <w:t>directors, the superior management or an administrative body of a</w:t>
            </w:r>
          </w:p>
        </w:tc>
        <w:tc>
          <w:tcPr>
            <w:tcW w:w="22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gridSpan w:val="2"/>
          </w:tcPr>
          <w:p>
            <w:pPr>
              <w:ind w:left="60"/>
              <w:spacing w:after="0" w:line="202" w:lineRule="exact"/>
              <w:rPr>
                <w:sz w:val="20"/>
                <w:szCs w:val="20"/>
                <w:color w:val="auto"/>
              </w:rPr>
            </w:pPr>
            <w:r>
              <w:rPr>
                <w:rFonts w:ascii="Arial" w:cs="Arial" w:eastAsia="Arial" w:hAnsi="Arial"/>
                <w:sz w:val="18"/>
                <w:szCs w:val="18"/>
                <w:color w:val="auto"/>
              </w:rPr>
              <w:t>d'administration,  une  direction  supérieure  ou  un  organisme</w:t>
            </w:r>
          </w:p>
        </w:tc>
        <w:tc>
          <w:tcPr>
            <w:tcW w:w="0" w:type="dxa"/>
            <w:vAlign w:val="bottom"/>
          </w:tcPr>
          <w:p>
            <w:pPr>
              <w:spacing w:after="0"/>
              <w:rPr>
                <w:sz w:val="1"/>
                <w:szCs w:val="1"/>
                <w:color w:val="auto"/>
              </w:rPr>
            </w:pPr>
          </w:p>
        </w:tc>
      </w:tr>
      <w:tr>
        <w:trPr>
          <w:trHeight w:val="203"/>
        </w:trPr>
        <w:tc>
          <w:tcPr>
            <w:tcW w:w="5540" w:type="dxa"/>
            <w:vAlign w:val="bottom"/>
            <w:tcBorders>
              <w:left w:val="single" w:sz="8" w:color="auto"/>
              <w:right w:val="single" w:sz="8" w:color="auto"/>
            </w:tcBorders>
            <w:gridSpan w:val="2"/>
          </w:tcPr>
          <w:p>
            <w:pPr>
              <w:ind w:left="100"/>
              <w:spacing w:after="0" w:line="202" w:lineRule="exact"/>
              <w:rPr>
                <w:sz w:val="20"/>
                <w:szCs w:val="20"/>
                <w:color w:val="auto"/>
              </w:rPr>
            </w:pPr>
            <w:r>
              <w:rPr>
                <w:rFonts w:ascii="Arial" w:cs="Arial" w:eastAsia="Arial" w:hAnsi="Arial"/>
                <w:sz w:val="18"/>
                <w:szCs w:val="18"/>
                <w:color w:val="auto"/>
              </w:rPr>
              <w:t>legal  entity  which  is  obliged  to  be  registered  in  the  Swiss</w:t>
            </w:r>
          </w:p>
        </w:tc>
        <w:tc>
          <w:tcPr>
            <w:tcW w:w="22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gridSpan w:val="2"/>
          </w:tcPr>
          <w:p>
            <w:pPr>
              <w:ind w:left="60"/>
              <w:spacing w:after="0" w:line="202" w:lineRule="exact"/>
              <w:rPr>
                <w:sz w:val="20"/>
                <w:szCs w:val="20"/>
                <w:color w:val="auto"/>
              </w:rPr>
            </w:pPr>
            <w:r>
              <w:rPr>
                <w:rFonts w:ascii="Arial" w:cs="Arial" w:eastAsia="Arial" w:hAnsi="Arial"/>
                <w:sz w:val="18"/>
                <w:szCs w:val="18"/>
                <w:color w:val="auto"/>
              </w:rPr>
              <w:t>administratif d'une personne morale qui est obligée d'être inscrite</w:t>
            </w:r>
          </w:p>
        </w:tc>
        <w:tc>
          <w:tcPr>
            <w:tcW w:w="0" w:type="dxa"/>
            <w:vAlign w:val="bottom"/>
          </w:tcPr>
          <w:p>
            <w:pPr>
              <w:spacing w:after="0"/>
              <w:rPr>
                <w:sz w:val="1"/>
                <w:szCs w:val="1"/>
                <w:color w:val="auto"/>
              </w:rPr>
            </w:pPr>
          </w:p>
        </w:tc>
      </w:tr>
      <w:tr>
        <w:trPr>
          <w:trHeight w:val="203"/>
        </w:trPr>
        <w:tc>
          <w:tcPr>
            <w:tcW w:w="5540" w:type="dxa"/>
            <w:vAlign w:val="bottom"/>
            <w:tcBorders>
              <w:left w:val="single" w:sz="8" w:color="auto"/>
              <w:right w:val="single" w:sz="8" w:color="auto"/>
            </w:tcBorders>
            <w:gridSpan w:val="2"/>
          </w:tcPr>
          <w:p>
            <w:pPr>
              <w:ind w:left="100"/>
              <w:spacing w:after="0" w:line="202" w:lineRule="exact"/>
              <w:rPr>
                <w:sz w:val="20"/>
                <w:szCs w:val="20"/>
                <w:color w:val="auto"/>
              </w:rPr>
            </w:pPr>
            <w:r>
              <w:rPr>
                <w:rFonts w:ascii="Arial" w:cs="Arial" w:eastAsia="Arial" w:hAnsi="Arial"/>
                <w:sz w:val="18"/>
                <w:szCs w:val="18"/>
                <w:color w:val="auto"/>
              </w:rPr>
              <w:t>commercial register or an equivalent foreign register:</w:t>
            </w:r>
          </w:p>
        </w:tc>
        <w:tc>
          <w:tcPr>
            <w:tcW w:w="22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gridSpan w:val="2"/>
          </w:tcPr>
          <w:p>
            <w:pPr>
              <w:ind w:left="60"/>
              <w:spacing w:after="0" w:line="202" w:lineRule="exact"/>
              <w:rPr>
                <w:sz w:val="20"/>
                <w:szCs w:val="20"/>
                <w:color w:val="auto"/>
              </w:rPr>
            </w:pPr>
            <w:r>
              <w:rPr>
                <w:rFonts w:ascii="Arial" w:cs="Arial" w:eastAsia="Arial" w:hAnsi="Arial"/>
                <w:sz w:val="18"/>
                <w:szCs w:val="18"/>
                <w:color w:val="auto"/>
              </w:rPr>
              <w:t>au  registre  du  commerce  suisse  ou  un  registre  étranger</w:t>
            </w:r>
          </w:p>
        </w:tc>
        <w:tc>
          <w:tcPr>
            <w:tcW w:w="0" w:type="dxa"/>
            <w:vAlign w:val="bottom"/>
          </w:tcPr>
          <w:p>
            <w:pPr>
              <w:spacing w:after="0"/>
              <w:rPr>
                <w:sz w:val="1"/>
                <w:szCs w:val="1"/>
                <w:color w:val="auto"/>
              </w:rPr>
            </w:pPr>
          </w:p>
        </w:tc>
      </w:tr>
      <w:tr>
        <w:trPr>
          <w:trHeight w:val="217"/>
        </w:trPr>
        <w:tc>
          <w:tcPr>
            <w:tcW w:w="5540" w:type="dxa"/>
            <w:vAlign w:val="bottom"/>
            <w:tcBorders>
              <w:left w:val="single" w:sz="8" w:color="auto"/>
              <w:right w:val="single" w:sz="8" w:color="auto"/>
            </w:tcBorders>
            <w:gridSpan w:val="2"/>
            <w:vMerge w:val="restart"/>
          </w:tcPr>
          <w:p>
            <w:pPr>
              <w:ind w:left="100"/>
              <w:spacing w:after="0"/>
              <w:rPr>
                <w:sz w:val="20"/>
                <w:szCs w:val="20"/>
                <w:color w:val="auto"/>
              </w:rPr>
            </w:pPr>
            <w:r>
              <w:rPr>
                <w:rFonts w:ascii="Arial" w:cs="Arial" w:eastAsia="Arial" w:hAnsi="Arial"/>
                <w:sz w:val="18"/>
                <w:szCs w:val="18"/>
                <w:color w:val="auto"/>
              </w:rPr>
              <w:t>a)   7 mandates for publicly traded companies pursuant to art. 727</w:t>
            </w:r>
          </w:p>
        </w:tc>
        <w:tc>
          <w:tcPr>
            <w:tcW w:w="220" w:type="dxa"/>
            <w:vAlign w:val="bottom"/>
            <w:tcBorders>
              <w:right w:val="single" w:sz="8" w:color="auto"/>
            </w:tcBorders>
          </w:tcPr>
          <w:p>
            <w:pPr>
              <w:spacing w:after="0"/>
              <w:rPr>
                <w:sz w:val="18"/>
                <w:szCs w:val="18"/>
                <w:color w:val="auto"/>
              </w:rPr>
            </w:pPr>
          </w:p>
        </w:tc>
        <w:tc>
          <w:tcPr>
            <w:tcW w:w="5480" w:type="dxa"/>
            <w:vAlign w:val="bottom"/>
            <w:tcBorders>
              <w:right w:val="single" w:sz="8" w:color="auto"/>
            </w:tcBorders>
            <w:gridSpan w:val="2"/>
          </w:tcPr>
          <w:p>
            <w:pPr>
              <w:ind w:left="60"/>
              <w:spacing w:after="0"/>
              <w:rPr>
                <w:sz w:val="20"/>
                <w:szCs w:val="20"/>
                <w:color w:val="auto"/>
              </w:rPr>
            </w:pPr>
            <w:r>
              <w:rPr>
                <w:rFonts w:ascii="Arial" w:cs="Arial" w:eastAsia="Arial" w:hAnsi="Arial"/>
                <w:sz w:val="18"/>
                <w:szCs w:val="18"/>
                <w:color w:val="auto"/>
              </w:rPr>
              <w:t>équivalent:</w:t>
            </w:r>
          </w:p>
        </w:tc>
        <w:tc>
          <w:tcPr>
            <w:tcW w:w="0" w:type="dxa"/>
            <w:vAlign w:val="bottom"/>
          </w:tcPr>
          <w:p>
            <w:pPr>
              <w:spacing w:after="0"/>
              <w:rPr>
                <w:sz w:val="1"/>
                <w:szCs w:val="1"/>
                <w:color w:val="auto"/>
              </w:rPr>
            </w:pPr>
          </w:p>
        </w:tc>
      </w:tr>
      <w:tr>
        <w:trPr>
          <w:trHeight w:val="188"/>
        </w:trPr>
        <w:tc>
          <w:tcPr>
            <w:tcW w:w="5540" w:type="dxa"/>
            <w:vAlign w:val="bottom"/>
            <w:tcBorders>
              <w:left w:val="single" w:sz="8" w:color="auto"/>
              <w:right w:val="single" w:sz="8" w:color="auto"/>
            </w:tcBorders>
            <w:gridSpan w:val="2"/>
            <w:vMerge w:val="continue"/>
          </w:tcPr>
          <w:p>
            <w:pPr>
              <w:spacing w:after="0"/>
              <w:rPr>
                <w:sz w:val="16"/>
                <w:szCs w:val="16"/>
                <w:color w:val="auto"/>
              </w:rPr>
            </w:pPr>
          </w:p>
        </w:tc>
        <w:tc>
          <w:tcPr>
            <w:tcW w:w="220" w:type="dxa"/>
            <w:vAlign w:val="bottom"/>
            <w:tcBorders>
              <w:right w:val="single" w:sz="8" w:color="auto"/>
            </w:tcBorders>
          </w:tcPr>
          <w:p>
            <w:pPr>
              <w:spacing w:after="0"/>
              <w:rPr>
                <w:sz w:val="16"/>
                <w:szCs w:val="16"/>
                <w:color w:val="auto"/>
              </w:rPr>
            </w:pPr>
          </w:p>
        </w:tc>
        <w:tc>
          <w:tcPr>
            <w:tcW w:w="360" w:type="dxa"/>
            <w:vAlign w:val="bottom"/>
          </w:tcPr>
          <w:p>
            <w:pPr>
              <w:spacing w:after="0"/>
              <w:rPr>
                <w:sz w:val="16"/>
                <w:szCs w:val="16"/>
                <w:color w:val="auto"/>
              </w:rPr>
            </w:pPr>
          </w:p>
        </w:tc>
        <w:tc>
          <w:tcPr>
            <w:tcW w:w="512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360" w:type="dxa"/>
            <w:vAlign w:val="bottom"/>
            <w:tcBorders>
              <w:left w:val="single" w:sz="8" w:color="auto"/>
            </w:tcBorders>
          </w:tcPr>
          <w:p>
            <w:pPr>
              <w:spacing w:after="0"/>
              <w:rPr>
                <w:sz w:val="17"/>
                <w:szCs w:val="17"/>
                <w:color w:val="auto"/>
              </w:rPr>
            </w:pPr>
          </w:p>
        </w:tc>
        <w:tc>
          <w:tcPr>
            <w:tcW w:w="5180" w:type="dxa"/>
            <w:vAlign w:val="bottom"/>
            <w:tcBorders>
              <w:right w:val="single" w:sz="8" w:color="auto"/>
            </w:tcBorders>
          </w:tcPr>
          <w:p>
            <w:pPr>
              <w:ind w:left="120"/>
              <w:spacing w:after="0" w:line="202" w:lineRule="exact"/>
              <w:rPr>
                <w:sz w:val="20"/>
                <w:szCs w:val="20"/>
                <w:color w:val="auto"/>
              </w:rPr>
            </w:pPr>
            <w:r>
              <w:rPr>
                <w:rFonts w:ascii="Arial" w:cs="Arial" w:eastAsia="Arial" w:hAnsi="Arial"/>
                <w:sz w:val="18"/>
                <w:szCs w:val="18"/>
                <w:color w:val="auto"/>
              </w:rPr>
              <w:t>para. 1 number 1 CO; and</w:t>
            </w:r>
          </w:p>
        </w:tc>
        <w:tc>
          <w:tcPr>
            <w:tcW w:w="220" w:type="dxa"/>
            <w:vAlign w:val="bottom"/>
            <w:tcBorders>
              <w:right w:val="single" w:sz="8" w:color="auto"/>
            </w:tcBorders>
          </w:tcPr>
          <w:p>
            <w:pPr>
              <w:spacing w:after="0"/>
              <w:rPr>
                <w:sz w:val="17"/>
                <w:szCs w:val="17"/>
                <w:color w:val="auto"/>
              </w:rPr>
            </w:pPr>
          </w:p>
        </w:tc>
        <w:tc>
          <w:tcPr>
            <w:tcW w:w="360" w:type="dxa"/>
            <w:vAlign w:val="bottom"/>
          </w:tcPr>
          <w:p>
            <w:pPr>
              <w:ind w:left="60"/>
              <w:spacing w:after="0" w:line="202" w:lineRule="exact"/>
              <w:rPr>
                <w:sz w:val="20"/>
                <w:szCs w:val="20"/>
                <w:color w:val="auto"/>
              </w:rPr>
            </w:pPr>
            <w:r>
              <w:rPr>
                <w:rFonts w:ascii="Arial" w:cs="Arial" w:eastAsia="Arial" w:hAnsi="Arial"/>
                <w:sz w:val="18"/>
                <w:szCs w:val="18"/>
                <w:color w:val="auto"/>
              </w:rPr>
              <w:t>a)</w:t>
            </w:r>
          </w:p>
        </w:tc>
        <w:tc>
          <w:tcPr>
            <w:tcW w:w="5120" w:type="dxa"/>
            <w:vAlign w:val="bottom"/>
            <w:tcBorders>
              <w:right w:val="single" w:sz="8" w:color="auto"/>
            </w:tcBorders>
          </w:tcPr>
          <w:p>
            <w:pPr>
              <w:ind w:left="160"/>
              <w:spacing w:after="0" w:line="202" w:lineRule="exact"/>
              <w:rPr>
                <w:sz w:val="20"/>
                <w:szCs w:val="20"/>
                <w:color w:val="auto"/>
              </w:rPr>
            </w:pPr>
            <w:r>
              <w:rPr>
                <w:rFonts w:ascii="Arial" w:cs="Arial" w:eastAsia="Arial" w:hAnsi="Arial"/>
                <w:sz w:val="18"/>
                <w:szCs w:val="18"/>
                <w:color w:val="auto"/>
              </w:rPr>
              <w:t>7 mandats pour les entreprises cotées en bourse selon l'art.</w:t>
            </w:r>
          </w:p>
        </w:tc>
        <w:tc>
          <w:tcPr>
            <w:tcW w:w="0" w:type="dxa"/>
            <w:vAlign w:val="bottom"/>
          </w:tcPr>
          <w:p>
            <w:pPr>
              <w:spacing w:after="0"/>
              <w:rPr>
                <w:sz w:val="1"/>
                <w:szCs w:val="1"/>
                <w:color w:val="auto"/>
              </w:rPr>
            </w:pPr>
          </w:p>
        </w:tc>
      </w:tr>
      <w:tr>
        <w:trPr>
          <w:trHeight w:val="217"/>
        </w:trPr>
        <w:tc>
          <w:tcPr>
            <w:tcW w:w="360" w:type="dxa"/>
            <w:vAlign w:val="bottom"/>
            <w:tcBorders>
              <w:left w:val="single" w:sz="8" w:color="auto"/>
            </w:tcBorders>
            <w:vMerge w:val="restart"/>
          </w:tcPr>
          <w:p>
            <w:pPr>
              <w:ind w:left="100"/>
              <w:spacing w:after="0"/>
              <w:rPr>
                <w:sz w:val="20"/>
                <w:szCs w:val="20"/>
                <w:color w:val="auto"/>
              </w:rPr>
            </w:pPr>
            <w:r>
              <w:rPr>
                <w:rFonts w:ascii="Arial" w:cs="Arial" w:eastAsia="Arial" w:hAnsi="Arial"/>
                <w:sz w:val="18"/>
                <w:szCs w:val="18"/>
                <w:color w:val="auto"/>
              </w:rPr>
              <w:t>b)</w:t>
            </w:r>
          </w:p>
        </w:tc>
        <w:tc>
          <w:tcPr>
            <w:tcW w:w="5180" w:type="dxa"/>
            <w:vAlign w:val="bottom"/>
            <w:tcBorders>
              <w:right w:val="single" w:sz="8" w:color="auto"/>
            </w:tcBorders>
            <w:vMerge w:val="restart"/>
          </w:tcPr>
          <w:p>
            <w:pPr>
              <w:jc w:val="right"/>
              <w:ind w:right="10"/>
              <w:spacing w:after="0"/>
              <w:rPr>
                <w:sz w:val="20"/>
                <w:szCs w:val="20"/>
                <w:color w:val="auto"/>
              </w:rPr>
            </w:pPr>
            <w:r>
              <w:rPr>
                <w:rFonts w:ascii="Arial" w:cs="Arial" w:eastAsia="Arial" w:hAnsi="Arial"/>
                <w:sz w:val="18"/>
                <w:szCs w:val="18"/>
                <w:color w:val="auto"/>
              </w:rPr>
              <w:t>8 mandates for companies pursuant to art. 727 para. 1</w:t>
            </w:r>
          </w:p>
        </w:tc>
        <w:tc>
          <w:tcPr>
            <w:tcW w:w="220" w:type="dxa"/>
            <w:vAlign w:val="bottom"/>
            <w:tcBorders>
              <w:right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5120" w:type="dxa"/>
            <w:vAlign w:val="bottom"/>
            <w:tcBorders>
              <w:right w:val="single" w:sz="8" w:color="auto"/>
            </w:tcBorders>
          </w:tcPr>
          <w:p>
            <w:pPr>
              <w:ind w:left="160"/>
              <w:spacing w:after="0"/>
              <w:rPr>
                <w:sz w:val="20"/>
                <w:szCs w:val="20"/>
                <w:color w:val="auto"/>
              </w:rPr>
            </w:pPr>
            <w:r>
              <w:rPr>
                <w:rFonts w:ascii="Arial" w:cs="Arial" w:eastAsia="Arial" w:hAnsi="Arial"/>
                <w:sz w:val="18"/>
                <w:szCs w:val="18"/>
                <w:color w:val="auto"/>
              </w:rPr>
              <w:t>727 al. 1 chiffre 1 CO; et</w:t>
            </w:r>
          </w:p>
        </w:tc>
        <w:tc>
          <w:tcPr>
            <w:tcW w:w="0" w:type="dxa"/>
            <w:vAlign w:val="bottom"/>
          </w:tcPr>
          <w:p>
            <w:pPr>
              <w:spacing w:after="0"/>
              <w:rPr>
                <w:sz w:val="1"/>
                <w:szCs w:val="1"/>
                <w:color w:val="auto"/>
              </w:rPr>
            </w:pPr>
          </w:p>
        </w:tc>
      </w:tr>
      <w:tr>
        <w:trPr>
          <w:trHeight w:val="188"/>
        </w:trPr>
        <w:tc>
          <w:tcPr>
            <w:tcW w:w="360" w:type="dxa"/>
            <w:vAlign w:val="bottom"/>
            <w:tcBorders>
              <w:left w:val="single" w:sz="8" w:color="auto"/>
            </w:tcBorders>
            <w:vMerge w:val="continue"/>
          </w:tcPr>
          <w:p>
            <w:pPr>
              <w:spacing w:after="0"/>
              <w:rPr>
                <w:sz w:val="16"/>
                <w:szCs w:val="16"/>
                <w:color w:val="auto"/>
              </w:rPr>
            </w:pPr>
          </w:p>
        </w:tc>
        <w:tc>
          <w:tcPr>
            <w:tcW w:w="5180" w:type="dxa"/>
            <w:vAlign w:val="bottom"/>
            <w:tcBorders>
              <w:right w:val="single" w:sz="8" w:color="auto"/>
            </w:tcBorders>
            <w:vMerge w:val="continue"/>
          </w:tcPr>
          <w:p>
            <w:pPr>
              <w:spacing w:after="0"/>
              <w:rPr>
                <w:sz w:val="16"/>
                <w:szCs w:val="16"/>
                <w:color w:val="auto"/>
              </w:rPr>
            </w:pPr>
          </w:p>
        </w:tc>
        <w:tc>
          <w:tcPr>
            <w:tcW w:w="220" w:type="dxa"/>
            <w:vAlign w:val="bottom"/>
            <w:tcBorders>
              <w:right w:val="single" w:sz="8" w:color="auto"/>
            </w:tcBorders>
          </w:tcPr>
          <w:p>
            <w:pPr>
              <w:spacing w:after="0"/>
              <w:rPr>
                <w:sz w:val="16"/>
                <w:szCs w:val="16"/>
                <w:color w:val="auto"/>
              </w:rPr>
            </w:pPr>
          </w:p>
        </w:tc>
        <w:tc>
          <w:tcPr>
            <w:tcW w:w="360" w:type="dxa"/>
            <w:vAlign w:val="bottom"/>
          </w:tcPr>
          <w:p>
            <w:pPr>
              <w:spacing w:after="0"/>
              <w:rPr>
                <w:sz w:val="16"/>
                <w:szCs w:val="16"/>
                <w:color w:val="auto"/>
              </w:rPr>
            </w:pPr>
          </w:p>
        </w:tc>
        <w:tc>
          <w:tcPr>
            <w:tcW w:w="512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360" w:type="dxa"/>
            <w:vAlign w:val="bottom"/>
            <w:tcBorders>
              <w:left w:val="single" w:sz="8" w:color="auto"/>
            </w:tcBorders>
          </w:tcPr>
          <w:p>
            <w:pPr>
              <w:spacing w:after="0"/>
              <w:rPr>
                <w:sz w:val="17"/>
                <w:szCs w:val="17"/>
                <w:color w:val="auto"/>
              </w:rPr>
            </w:pPr>
          </w:p>
        </w:tc>
        <w:tc>
          <w:tcPr>
            <w:tcW w:w="5180" w:type="dxa"/>
            <w:vAlign w:val="bottom"/>
            <w:tcBorders>
              <w:right w:val="single" w:sz="8" w:color="auto"/>
            </w:tcBorders>
          </w:tcPr>
          <w:p>
            <w:pPr>
              <w:ind w:left="120"/>
              <w:spacing w:after="0" w:line="202" w:lineRule="exact"/>
              <w:rPr>
                <w:sz w:val="20"/>
                <w:szCs w:val="20"/>
                <w:color w:val="auto"/>
              </w:rPr>
            </w:pPr>
            <w:r>
              <w:rPr>
                <w:rFonts w:ascii="Arial" w:cs="Arial" w:eastAsia="Arial" w:hAnsi="Arial"/>
                <w:sz w:val="18"/>
                <w:szCs w:val="18"/>
                <w:color w:val="auto"/>
              </w:rPr>
              <w:t>number 2 CO; and</w:t>
            </w:r>
          </w:p>
        </w:tc>
        <w:tc>
          <w:tcPr>
            <w:tcW w:w="22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gridSpan w:val="2"/>
          </w:tcPr>
          <w:p>
            <w:pPr>
              <w:ind w:left="60"/>
              <w:spacing w:after="0" w:line="202" w:lineRule="exact"/>
              <w:rPr>
                <w:sz w:val="20"/>
                <w:szCs w:val="20"/>
                <w:color w:val="auto"/>
              </w:rPr>
            </w:pPr>
            <w:r>
              <w:rPr>
                <w:rFonts w:ascii="Arial" w:cs="Arial" w:eastAsia="Arial" w:hAnsi="Arial"/>
                <w:sz w:val="18"/>
                <w:szCs w:val="18"/>
                <w:color w:val="auto"/>
              </w:rPr>
              <w:t>b)   8 mandats pour des entreprises selon l'art. 727 al. 1 chiffre 2</w:t>
            </w:r>
          </w:p>
        </w:tc>
        <w:tc>
          <w:tcPr>
            <w:tcW w:w="0" w:type="dxa"/>
            <w:vAlign w:val="bottom"/>
          </w:tcPr>
          <w:p>
            <w:pPr>
              <w:spacing w:after="0"/>
              <w:rPr>
                <w:sz w:val="1"/>
                <w:szCs w:val="1"/>
                <w:color w:val="auto"/>
              </w:rPr>
            </w:pPr>
          </w:p>
        </w:tc>
      </w:tr>
      <w:tr>
        <w:trPr>
          <w:trHeight w:val="217"/>
        </w:trPr>
        <w:tc>
          <w:tcPr>
            <w:tcW w:w="5540" w:type="dxa"/>
            <w:vAlign w:val="bottom"/>
            <w:tcBorders>
              <w:left w:val="single" w:sz="8" w:color="auto"/>
              <w:right w:val="single" w:sz="8" w:color="auto"/>
            </w:tcBorders>
            <w:gridSpan w:val="2"/>
            <w:vMerge w:val="restart"/>
          </w:tcPr>
          <w:p>
            <w:pPr>
              <w:ind w:left="100"/>
              <w:spacing w:after="0"/>
              <w:rPr>
                <w:sz w:val="20"/>
                <w:szCs w:val="20"/>
                <w:color w:val="auto"/>
              </w:rPr>
            </w:pPr>
            <w:r>
              <w:rPr>
                <w:rFonts w:ascii="Arial" w:cs="Arial" w:eastAsia="Arial" w:hAnsi="Arial"/>
                <w:sz w:val="18"/>
                <w:szCs w:val="18"/>
                <w:color w:val="auto"/>
              </w:rPr>
              <w:t>c)  5 mandates for companies which do not fulfil the criteria under</w:t>
            </w:r>
          </w:p>
        </w:tc>
        <w:tc>
          <w:tcPr>
            <w:tcW w:w="220" w:type="dxa"/>
            <w:vAlign w:val="bottom"/>
            <w:tcBorders>
              <w:right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5120" w:type="dxa"/>
            <w:vAlign w:val="bottom"/>
            <w:tcBorders>
              <w:right w:val="single" w:sz="8" w:color="auto"/>
            </w:tcBorders>
          </w:tcPr>
          <w:p>
            <w:pPr>
              <w:ind w:left="160"/>
              <w:spacing w:after="0"/>
              <w:rPr>
                <w:sz w:val="20"/>
                <w:szCs w:val="20"/>
                <w:color w:val="auto"/>
              </w:rPr>
            </w:pPr>
            <w:r>
              <w:rPr>
                <w:rFonts w:ascii="Arial" w:cs="Arial" w:eastAsia="Arial" w:hAnsi="Arial"/>
                <w:sz w:val="18"/>
                <w:szCs w:val="18"/>
                <w:color w:val="auto"/>
              </w:rPr>
              <w:t>CO; et</w:t>
            </w:r>
          </w:p>
        </w:tc>
        <w:tc>
          <w:tcPr>
            <w:tcW w:w="0" w:type="dxa"/>
            <w:vAlign w:val="bottom"/>
          </w:tcPr>
          <w:p>
            <w:pPr>
              <w:spacing w:after="0"/>
              <w:rPr>
                <w:sz w:val="1"/>
                <w:szCs w:val="1"/>
                <w:color w:val="auto"/>
              </w:rPr>
            </w:pPr>
          </w:p>
        </w:tc>
      </w:tr>
      <w:tr>
        <w:trPr>
          <w:trHeight w:val="188"/>
        </w:trPr>
        <w:tc>
          <w:tcPr>
            <w:tcW w:w="5540" w:type="dxa"/>
            <w:vAlign w:val="bottom"/>
            <w:tcBorders>
              <w:left w:val="single" w:sz="8" w:color="auto"/>
              <w:right w:val="single" w:sz="8" w:color="auto"/>
            </w:tcBorders>
            <w:gridSpan w:val="2"/>
            <w:vMerge w:val="continue"/>
          </w:tcPr>
          <w:p>
            <w:pPr>
              <w:spacing w:after="0"/>
              <w:rPr>
                <w:sz w:val="16"/>
                <w:szCs w:val="16"/>
                <w:color w:val="auto"/>
              </w:rPr>
            </w:pPr>
          </w:p>
        </w:tc>
        <w:tc>
          <w:tcPr>
            <w:tcW w:w="220" w:type="dxa"/>
            <w:vAlign w:val="bottom"/>
            <w:tcBorders>
              <w:right w:val="single" w:sz="8" w:color="auto"/>
            </w:tcBorders>
          </w:tcPr>
          <w:p>
            <w:pPr>
              <w:spacing w:after="0"/>
              <w:rPr>
                <w:sz w:val="16"/>
                <w:szCs w:val="16"/>
                <w:color w:val="auto"/>
              </w:rPr>
            </w:pPr>
          </w:p>
        </w:tc>
        <w:tc>
          <w:tcPr>
            <w:tcW w:w="360" w:type="dxa"/>
            <w:vAlign w:val="bottom"/>
          </w:tcPr>
          <w:p>
            <w:pPr>
              <w:spacing w:after="0"/>
              <w:rPr>
                <w:sz w:val="16"/>
                <w:szCs w:val="16"/>
                <w:color w:val="auto"/>
              </w:rPr>
            </w:pPr>
          </w:p>
        </w:tc>
        <w:tc>
          <w:tcPr>
            <w:tcW w:w="512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360" w:type="dxa"/>
            <w:vAlign w:val="bottom"/>
            <w:tcBorders>
              <w:left w:val="single" w:sz="8" w:color="auto"/>
            </w:tcBorders>
          </w:tcPr>
          <w:p>
            <w:pPr>
              <w:spacing w:after="0"/>
              <w:rPr>
                <w:sz w:val="17"/>
                <w:szCs w:val="17"/>
                <w:color w:val="auto"/>
              </w:rPr>
            </w:pPr>
          </w:p>
        </w:tc>
        <w:tc>
          <w:tcPr>
            <w:tcW w:w="5180" w:type="dxa"/>
            <w:vAlign w:val="bottom"/>
            <w:tcBorders>
              <w:right w:val="single" w:sz="8" w:color="auto"/>
            </w:tcBorders>
          </w:tcPr>
          <w:p>
            <w:pPr>
              <w:ind w:left="120"/>
              <w:spacing w:after="0" w:line="202" w:lineRule="exact"/>
              <w:rPr>
                <w:sz w:val="20"/>
                <w:szCs w:val="20"/>
                <w:color w:val="auto"/>
              </w:rPr>
            </w:pPr>
            <w:r>
              <w:rPr>
                <w:rFonts w:ascii="Arial" w:cs="Arial" w:eastAsia="Arial" w:hAnsi="Arial"/>
                <w:sz w:val="18"/>
                <w:szCs w:val="18"/>
                <w:color w:val="auto"/>
              </w:rPr>
              <w:t>a) and b) above.</w:t>
            </w:r>
          </w:p>
        </w:tc>
        <w:tc>
          <w:tcPr>
            <w:tcW w:w="220" w:type="dxa"/>
            <w:vAlign w:val="bottom"/>
            <w:tcBorders>
              <w:right w:val="single" w:sz="8" w:color="auto"/>
            </w:tcBorders>
          </w:tcPr>
          <w:p>
            <w:pPr>
              <w:spacing w:after="0"/>
              <w:rPr>
                <w:sz w:val="17"/>
                <w:szCs w:val="17"/>
                <w:color w:val="auto"/>
              </w:rPr>
            </w:pPr>
          </w:p>
        </w:tc>
        <w:tc>
          <w:tcPr>
            <w:tcW w:w="360" w:type="dxa"/>
            <w:vAlign w:val="bottom"/>
          </w:tcPr>
          <w:p>
            <w:pPr>
              <w:ind w:left="60"/>
              <w:spacing w:after="0" w:line="202" w:lineRule="exact"/>
              <w:rPr>
                <w:sz w:val="20"/>
                <w:szCs w:val="20"/>
                <w:color w:val="auto"/>
              </w:rPr>
            </w:pPr>
            <w:r>
              <w:rPr>
                <w:rFonts w:ascii="Arial" w:cs="Arial" w:eastAsia="Arial" w:hAnsi="Arial"/>
                <w:sz w:val="18"/>
                <w:szCs w:val="18"/>
                <w:color w:val="auto"/>
              </w:rPr>
              <w:t>c)</w:t>
            </w:r>
          </w:p>
        </w:tc>
        <w:tc>
          <w:tcPr>
            <w:tcW w:w="5120" w:type="dxa"/>
            <w:vAlign w:val="bottom"/>
            <w:tcBorders>
              <w:right w:val="single" w:sz="8" w:color="auto"/>
            </w:tcBorders>
          </w:tcPr>
          <w:p>
            <w:pPr>
              <w:jc w:val="right"/>
              <w:ind w:right="11"/>
              <w:spacing w:after="0" w:line="202" w:lineRule="exact"/>
              <w:rPr>
                <w:sz w:val="20"/>
                <w:szCs w:val="20"/>
                <w:color w:val="auto"/>
              </w:rPr>
            </w:pPr>
            <w:r>
              <w:rPr>
                <w:rFonts w:ascii="Arial" w:cs="Arial" w:eastAsia="Arial" w:hAnsi="Arial"/>
                <w:sz w:val="18"/>
                <w:szCs w:val="18"/>
                <w:color w:val="auto"/>
              </w:rPr>
              <w:t>5 mandats pour les entreprises qui ne remplissent pas les</w:t>
            </w:r>
          </w:p>
        </w:tc>
        <w:tc>
          <w:tcPr>
            <w:tcW w:w="0" w:type="dxa"/>
            <w:vAlign w:val="bottom"/>
          </w:tcPr>
          <w:p>
            <w:pPr>
              <w:spacing w:after="0"/>
              <w:rPr>
                <w:sz w:val="1"/>
                <w:szCs w:val="1"/>
                <w:color w:val="auto"/>
              </w:rPr>
            </w:pPr>
          </w:p>
        </w:tc>
      </w:tr>
      <w:tr>
        <w:trPr>
          <w:trHeight w:val="217"/>
        </w:trPr>
        <w:tc>
          <w:tcPr>
            <w:tcW w:w="360" w:type="dxa"/>
            <w:vAlign w:val="bottom"/>
            <w:tcBorders>
              <w:left w:val="single" w:sz="8" w:color="auto"/>
            </w:tcBorders>
          </w:tcPr>
          <w:p>
            <w:pPr>
              <w:spacing w:after="0"/>
              <w:rPr>
                <w:sz w:val="18"/>
                <w:szCs w:val="18"/>
                <w:color w:val="auto"/>
              </w:rPr>
            </w:pPr>
          </w:p>
        </w:tc>
        <w:tc>
          <w:tcPr>
            <w:tcW w:w="5180" w:type="dxa"/>
            <w:vAlign w:val="bottom"/>
            <w:tcBorders>
              <w:right w:val="single" w:sz="8" w:color="auto"/>
            </w:tcBorders>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5120" w:type="dxa"/>
            <w:vAlign w:val="bottom"/>
            <w:tcBorders>
              <w:right w:val="single" w:sz="8" w:color="auto"/>
            </w:tcBorders>
          </w:tcPr>
          <w:p>
            <w:pPr>
              <w:ind w:left="160"/>
              <w:spacing w:after="0"/>
              <w:rPr>
                <w:sz w:val="20"/>
                <w:szCs w:val="20"/>
                <w:color w:val="auto"/>
              </w:rPr>
            </w:pPr>
            <w:r>
              <w:rPr>
                <w:rFonts w:ascii="Arial" w:cs="Arial" w:eastAsia="Arial" w:hAnsi="Arial"/>
                <w:sz w:val="18"/>
                <w:szCs w:val="18"/>
                <w:color w:val="auto"/>
              </w:rPr>
              <w:t>critères sous a) et b) ci-dessus.</w:t>
            </w:r>
          </w:p>
        </w:tc>
        <w:tc>
          <w:tcPr>
            <w:tcW w:w="0" w:type="dxa"/>
            <w:vAlign w:val="bottom"/>
          </w:tcPr>
          <w:p>
            <w:pPr>
              <w:spacing w:after="0"/>
              <w:rPr>
                <w:sz w:val="1"/>
                <w:szCs w:val="1"/>
                <w:color w:val="auto"/>
              </w:rPr>
            </w:pPr>
          </w:p>
        </w:tc>
      </w:tr>
      <w:tr>
        <w:trPr>
          <w:trHeight w:val="54"/>
        </w:trPr>
        <w:tc>
          <w:tcPr>
            <w:tcW w:w="5540" w:type="dxa"/>
            <w:vAlign w:val="bottom"/>
            <w:tcBorders>
              <w:left w:val="single" w:sz="8" w:color="auto"/>
              <w:bottom w:val="single" w:sz="8" w:color="auto"/>
              <w:right w:val="single" w:sz="8" w:color="auto"/>
            </w:tcBorders>
            <w:gridSpan w:val="2"/>
          </w:tcPr>
          <w:p>
            <w:pPr>
              <w:spacing w:after="0"/>
              <w:rPr>
                <w:sz w:val="4"/>
                <w:szCs w:val="4"/>
                <w:color w:val="auto"/>
              </w:rPr>
            </w:pPr>
          </w:p>
        </w:tc>
        <w:tc>
          <w:tcPr>
            <w:tcW w:w="220" w:type="dxa"/>
            <w:vAlign w:val="bottom"/>
            <w:tcBorders>
              <w:bottom w:val="single" w:sz="8" w:color="auto"/>
              <w:right w:val="single" w:sz="8" w:color="auto"/>
            </w:tcBorders>
          </w:tcPr>
          <w:p>
            <w:pPr>
              <w:spacing w:after="0"/>
              <w:rPr>
                <w:sz w:val="4"/>
                <w:szCs w:val="4"/>
                <w:color w:val="auto"/>
              </w:rPr>
            </w:pPr>
          </w:p>
        </w:tc>
        <w:tc>
          <w:tcPr>
            <w:tcW w:w="5480" w:type="dxa"/>
            <w:vAlign w:val="bottom"/>
            <w:tcBorders>
              <w:bottom w:val="single" w:sz="8" w:color="auto"/>
              <w:right w:val="single" w:sz="8" w:color="auto"/>
            </w:tcBorders>
            <w:gridSpan w:val="2"/>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5540" w:type="dxa"/>
            <w:vAlign w:val="bottom"/>
            <w:tcBorders>
              <w:left w:val="single" w:sz="8" w:color="auto"/>
              <w:right w:val="single" w:sz="8" w:color="auto"/>
            </w:tcBorders>
            <w:gridSpan w:val="2"/>
          </w:tcPr>
          <w:p>
            <w:pPr>
              <w:ind w:left="100"/>
              <w:spacing w:after="0"/>
              <w:rPr>
                <w:sz w:val="20"/>
                <w:szCs w:val="20"/>
                <w:color w:val="auto"/>
              </w:rPr>
            </w:pPr>
            <w:r>
              <w:rPr>
                <w:rFonts w:ascii="Arial" w:cs="Arial" w:eastAsia="Arial" w:hAnsi="Arial"/>
                <w:sz w:val="18"/>
                <w:szCs w:val="18"/>
                <w:color w:val="auto"/>
              </w:rPr>
              <w:t>Mandates held in several legal entities each operating under the</w:t>
            </w:r>
          </w:p>
        </w:tc>
        <w:tc>
          <w:tcPr>
            <w:tcW w:w="220" w:type="dxa"/>
            <w:vAlign w:val="bottom"/>
            <w:tcBorders>
              <w:right w:val="single" w:sz="8" w:color="auto"/>
            </w:tcBorders>
          </w:tcPr>
          <w:p>
            <w:pPr>
              <w:spacing w:after="0"/>
              <w:rPr>
                <w:sz w:val="22"/>
                <w:szCs w:val="22"/>
                <w:color w:val="auto"/>
              </w:rPr>
            </w:pPr>
          </w:p>
        </w:tc>
        <w:tc>
          <w:tcPr>
            <w:tcW w:w="5480" w:type="dxa"/>
            <w:vAlign w:val="bottom"/>
            <w:tcBorders>
              <w:right w:val="single" w:sz="8" w:color="auto"/>
            </w:tcBorders>
            <w:gridSpan w:val="2"/>
          </w:tcPr>
          <w:p>
            <w:pPr>
              <w:ind w:left="60"/>
              <w:spacing w:after="0"/>
              <w:rPr>
                <w:sz w:val="20"/>
                <w:szCs w:val="20"/>
                <w:color w:val="auto"/>
              </w:rPr>
            </w:pPr>
            <w:r>
              <w:rPr>
                <w:rFonts w:ascii="Arial" w:cs="Arial" w:eastAsia="Arial" w:hAnsi="Arial"/>
                <w:sz w:val="18"/>
                <w:szCs w:val="18"/>
                <w:color w:val="auto"/>
              </w:rPr>
              <w:t>Les mandats exercés dans plusieurs entités juridiques opérant</w:t>
            </w:r>
          </w:p>
        </w:tc>
        <w:tc>
          <w:tcPr>
            <w:tcW w:w="0" w:type="dxa"/>
            <w:vAlign w:val="bottom"/>
          </w:tcPr>
          <w:p>
            <w:pPr>
              <w:spacing w:after="0"/>
              <w:rPr>
                <w:sz w:val="1"/>
                <w:szCs w:val="1"/>
                <w:color w:val="auto"/>
              </w:rPr>
            </w:pPr>
          </w:p>
        </w:tc>
      </w:tr>
      <w:tr>
        <w:trPr>
          <w:trHeight w:val="203"/>
        </w:trPr>
        <w:tc>
          <w:tcPr>
            <w:tcW w:w="5540" w:type="dxa"/>
            <w:vAlign w:val="bottom"/>
            <w:tcBorders>
              <w:left w:val="single" w:sz="8" w:color="auto"/>
              <w:right w:val="single" w:sz="8" w:color="auto"/>
            </w:tcBorders>
            <w:gridSpan w:val="2"/>
          </w:tcPr>
          <w:p>
            <w:pPr>
              <w:ind w:left="100"/>
              <w:spacing w:after="0" w:line="202" w:lineRule="exact"/>
              <w:rPr>
                <w:sz w:val="20"/>
                <w:szCs w:val="20"/>
                <w:color w:val="auto"/>
              </w:rPr>
            </w:pPr>
            <w:r>
              <w:rPr>
                <w:rFonts w:ascii="Arial" w:cs="Arial" w:eastAsia="Arial" w:hAnsi="Arial"/>
                <w:sz w:val="18"/>
                <w:szCs w:val="18"/>
                <w:color w:val="auto"/>
              </w:rPr>
              <w:t>same management or same beneficial owner (group) are deemed</w:t>
            </w:r>
          </w:p>
        </w:tc>
        <w:tc>
          <w:tcPr>
            <w:tcW w:w="22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gridSpan w:val="2"/>
          </w:tcPr>
          <w:p>
            <w:pPr>
              <w:ind w:left="60"/>
              <w:spacing w:after="0" w:line="202" w:lineRule="exact"/>
              <w:rPr>
                <w:sz w:val="20"/>
                <w:szCs w:val="20"/>
                <w:color w:val="auto"/>
              </w:rPr>
            </w:pPr>
            <w:r>
              <w:rPr>
                <w:rFonts w:ascii="Arial" w:cs="Arial" w:eastAsia="Arial" w:hAnsi="Arial"/>
                <w:sz w:val="18"/>
                <w:szCs w:val="18"/>
                <w:color w:val="auto"/>
              </w:rPr>
              <w:t>chacune sous la même direction ou le même bénéficiaire effectif</w:t>
            </w:r>
          </w:p>
        </w:tc>
        <w:tc>
          <w:tcPr>
            <w:tcW w:w="0" w:type="dxa"/>
            <w:vAlign w:val="bottom"/>
          </w:tcPr>
          <w:p>
            <w:pPr>
              <w:spacing w:after="0"/>
              <w:rPr>
                <w:sz w:val="1"/>
                <w:szCs w:val="1"/>
                <w:color w:val="auto"/>
              </w:rPr>
            </w:pPr>
          </w:p>
        </w:tc>
      </w:tr>
      <w:tr>
        <w:trPr>
          <w:trHeight w:val="217"/>
        </w:trPr>
        <w:tc>
          <w:tcPr>
            <w:tcW w:w="5540" w:type="dxa"/>
            <w:vAlign w:val="bottom"/>
            <w:tcBorders>
              <w:left w:val="single" w:sz="8" w:color="auto"/>
              <w:right w:val="single" w:sz="8" w:color="auto"/>
            </w:tcBorders>
            <w:gridSpan w:val="2"/>
          </w:tcPr>
          <w:p>
            <w:pPr>
              <w:ind w:left="100"/>
              <w:spacing w:after="0"/>
              <w:rPr>
                <w:sz w:val="20"/>
                <w:szCs w:val="20"/>
                <w:color w:val="auto"/>
              </w:rPr>
            </w:pPr>
            <w:r>
              <w:rPr>
                <w:rFonts w:ascii="Arial" w:cs="Arial" w:eastAsia="Arial" w:hAnsi="Arial"/>
                <w:sz w:val="18"/>
                <w:szCs w:val="18"/>
                <w:color w:val="auto"/>
              </w:rPr>
              <w:t>to be a single mandate.</w:t>
            </w:r>
          </w:p>
        </w:tc>
        <w:tc>
          <w:tcPr>
            <w:tcW w:w="220" w:type="dxa"/>
            <w:vAlign w:val="bottom"/>
            <w:tcBorders>
              <w:right w:val="single" w:sz="8" w:color="auto"/>
            </w:tcBorders>
          </w:tcPr>
          <w:p>
            <w:pPr>
              <w:spacing w:after="0"/>
              <w:rPr>
                <w:sz w:val="18"/>
                <w:szCs w:val="18"/>
                <w:color w:val="auto"/>
              </w:rPr>
            </w:pPr>
          </w:p>
        </w:tc>
        <w:tc>
          <w:tcPr>
            <w:tcW w:w="5480" w:type="dxa"/>
            <w:vAlign w:val="bottom"/>
            <w:tcBorders>
              <w:right w:val="single" w:sz="8" w:color="auto"/>
            </w:tcBorders>
            <w:gridSpan w:val="2"/>
          </w:tcPr>
          <w:p>
            <w:pPr>
              <w:ind w:left="60"/>
              <w:spacing w:after="0"/>
              <w:rPr>
                <w:sz w:val="20"/>
                <w:szCs w:val="20"/>
                <w:color w:val="auto"/>
              </w:rPr>
            </w:pPr>
            <w:r>
              <w:rPr>
                <w:rFonts w:ascii="Arial" w:cs="Arial" w:eastAsia="Arial" w:hAnsi="Arial"/>
                <w:sz w:val="18"/>
                <w:szCs w:val="18"/>
                <w:color w:val="auto"/>
              </w:rPr>
              <w:t>(groupe) sont réputés être un seul mandat.</w:t>
            </w:r>
          </w:p>
        </w:tc>
        <w:tc>
          <w:tcPr>
            <w:tcW w:w="0" w:type="dxa"/>
            <w:vAlign w:val="bottom"/>
          </w:tcPr>
          <w:p>
            <w:pPr>
              <w:spacing w:after="0"/>
              <w:rPr>
                <w:sz w:val="1"/>
                <w:szCs w:val="1"/>
                <w:color w:val="auto"/>
              </w:rPr>
            </w:pPr>
          </w:p>
        </w:tc>
      </w:tr>
      <w:tr>
        <w:trPr>
          <w:trHeight w:val="54"/>
        </w:trPr>
        <w:tc>
          <w:tcPr>
            <w:tcW w:w="5540" w:type="dxa"/>
            <w:vAlign w:val="bottom"/>
            <w:tcBorders>
              <w:left w:val="single" w:sz="8" w:color="auto"/>
              <w:bottom w:val="single" w:sz="8" w:color="auto"/>
              <w:right w:val="single" w:sz="8" w:color="auto"/>
            </w:tcBorders>
            <w:gridSpan w:val="2"/>
          </w:tcPr>
          <w:p>
            <w:pPr>
              <w:spacing w:after="0"/>
              <w:rPr>
                <w:sz w:val="4"/>
                <w:szCs w:val="4"/>
                <w:color w:val="auto"/>
              </w:rPr>
            </w:pPr>
          </w:p>
        </w:tc>
        <w:tc>
          <w:tcPr>
            <w:tcW w:w="220" w:type="dxa"/>
            <w:vAlign w:val="bottom"/>
            <w:tcBorders>
              <w:bottom w:val="single" w:sz="8" w:color="auto"/>
              <w:right w:val="single" w:sz="8" w:color="auto"/>
            </w:tcBorders>
          </w:tcPr>
          <w:p>
            <w:pPr>
              <w:spacing w:after="0"/>
              <w:rPr>
                <w:sz w:val="4"/>
                <w:szCs w:val="4"/>
                <w:color w:val="auto"/>
              </w:rPr>
            </w:pPr>
          </w:p>
        </w:tc>
        <w:tc>
          <w:tcPr>
            <w:tcW w:w="5480" w:type="dxa"/>
            <w:vAlign w:val="bottom"/>
            <w:tcBorders>
              <w:bottom w:val="single" w:sz="8" w:color="auto"/>
              <w:right w:val="single" w:sz="8" w:color="auto"/>
            </w:tcBorders>
            <w:gridSpan w:val="2"/>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5540" w:type="dxa"/>
            <w:vAlign w:val="bottom"/>
            <w:tcBorders>
              <w:left w:val="single" w:sz="8" w:color="auto"/>
              <w:right w:val="single" w:sz="8" w:color="auto"/>
            </w:tcBorders>
            <w:gridSpan w:val="2"/>
          </w:tcPr>
          <w:p>
            <w:pPr>
              <w:ind w:left="100"/>
              <w:spacing w:after="0"/>
              <w:rPr>
                <w:sz w:val="20"/>
                <w:szCs w:val="20"/>
                <w:color w:val="auto"/>
              </w:rPr>
            </w:pPr>
            <w:r>
              <w:rPr>
                <w:rFonts w:ascii="Arial" w:cs="Arial" w:eastAsia="Arial" w:hAnsi="Arial"/>
                <w:sz w:val="18"/>
                <w:szCs w:val="18"/>
                <w:color w:val="auto"/>
              </w:rPr>
              <w:t>If a legal entity fulfills several of the above mentioned criteria, it can</w:t>
            </w:r>
          </w:p>
        </w:tc>
        <w:tc>
          <w:tcPr>
            <w:tcW w:w="220" w:type="dxa"/>
            <w:vAlign w:val="bottom"/>
            <w:tcBorders>
              <w:right w:val="single" w:sz="8" w:color="auto"/>
            </w:tcBorders>
          </w:tcPr>
          <w:p>
            <w:pPr>
              <w:spacing w:after="0"/>
              <w:rPr>
                <w:sz w:val="22"/>
                <w:szCs w:val="22"/>
                <w:color w:val="auto"/>
              </w:rPr>
            </w:pPr>
          </w:p>
        </w:tc>
        <w:tc>
          <w:tcPr>
            <w:tcW w:w="5480" w:type="dxa"/>
            <w:vAlign w:val="bottom"/>
            <w:tcBorders>
              <w:right w:val="single" w:sz="8" w:color="auto"/>
            </w:tcBorders>
            <w:gridSpan w:val="2"/>
          </w:tcPr>
          <w:p>
            <w:pPr>
              <w:ind w:left="60"/>
              <w:spacing w:after="0"/>
              <w:rPr>
                <w:sz w:val="20"/>
                <w:szCs w:val="20"/>
                <w:color w:val="auto"/>
              </w:rPr>
            </w:pPr>
            <w:r>
              <w:rPr>
                <w:rFonts w:ascii="Arial" w:cs="Arial" w:eastAsia="Arial" w:hAnsi="Arial"/>
                <w:sz w:val="18"/>
                <w:szCs w:val="18"/>
                <w:color w:val="auto"/>
              </w:rPr>
              <w:t>Si une entité juridique remplit plusieurs des critères mentionnés ci-</w:t>
            </w:r>
          </w:p>
        </w:tc>
        <w:tc>
          <w:tcPr>
            <w:tcW w:w="0" w:type="dxa"/>
            <w:vAlign w:val="bottom"/>
          </w:tcPr>
          <w:p>
            <w:pPr>
              <w:spacing w:after="0"/>
              <w:rPr>
                <w:sz w:val="1"/>
                <w:szCs w:val="1"/>
                <w:color w:val="auto"/>
              </w:rPr>
            </w:pPr>
          </w:p>
        </w:tc>
      </w:tr>
      <w:tr>
        <w:trPr>
          <w:trHeight w:val="203"/>
        </w:trPr>
        <w:tc>
          <w:tcPr>
            <w:tcW w:w="5540" w:type="dxa"/>
            <w:vAlign w:val="bottom"/>
            <w:tcBorders>
              <w:left w:val="single" w:sz="8" w:color="auto"/>
              <w:right w:val="single" w:sz="8" w:color="auto"/>
            </w:tcBorders>
            <w:gridSpan w:val="2"/>
          </w:tcPr>
          <w:p>
            <w:pPr>
              <w:ind w:left="100"/>
              <w:spacing w:after="0" w:line="202" w:lineRule="exact"/>
              <w:rPr>
                <w:sz w:val="20"/>
                <w:szCs w:val="20"/>
                <w:color w:val="auto"/>
              </w:rPr>
            </w:pPr>
            <w:r>
              <w:rPr>
                <w:rFonts w:ascii="Arial" w:cs="Arial" w:eastAsia="Arial" w:hAnsi="Arial"/>
                <w:sz w:val="18"/>
                <w:szCs w:val="18"/>
                <w:color w:val="auto"/>
              </w:rPr>
              <w:t>be freely counted towards any category. The following mandates</w:t>
            </w:r>
          </w:p>
        </w:tc>
        <w:tc>
          <w:tcPr>
            <w:tcW w:w="22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gridSpan w:val="2"/>
          </w:tcPr>
          <w:p>
            <w:pPr>
              <w:ind w:left="60"/>
              <w:spacing w:after="0" w:line="202" w:lineRule="exact"/>
              <w:rPr>
                <w:sz w:val="20"/>
                <w:szCs w:val="20"/>
                <w:color w:val="auto"/>
              </w:rPr>
            </w:pPr>
            <w:r>
              <w:rPr>
                <w:rFonts w:ascii="Arial" w:cs="Arial" w:eastAsia="Arial" w:hAnsi="Arial"/>
                <w:sz w:val="18"/>
                <w:szCs w:val="18"/>
                <w:color w:val="auto"/>
              </w:rPr>
              <w:t>dessus, elle peut être librement placée dans une catégorie. Les</w:t>
            </w:r>
          </w:p>
        </w:tc>
        <w:tc>
          <w:tcPr>
            <w:tcW w:w="0" w:type="dxa"/>
            <w:vAlign w:val="bottom"/>
          </w:tcPr>
          <w:p>
            <w:pPr>
              <w:spacing w:after="0"/>
              <w:rPr>
                <w:sz w:val="1"/>
                <w:szCs w:val="1"/>
                <w:color w:val="auto"/>
              </w:rPr>
            </w:pPr>
          </w:p>
        </w:tc>
      </w:tr>
      <w:tr>
        <w:trPr>
          <w:trHeight w:val="217"/>
        </w:trPr>
        <w:tc>
          <w:tcPr>
            <w:tcW w:w="5540" w:type="dxa"/>
            <w:vAlign w:val="bottom"/>
            <w:tcBorders>
              <w:left w:val="single" w:sz="8" w:color="auto"/>
              <w:right w:val="single" w:sz="8" w:color="auto"/>
            </w:tcBorders>
            <w:gridSpan w:val="2"/>
          </w:tcPr>
          <w:p>
            <w:pPr>
              <w:ind w:left="100"/>
              <w:spacing w:after="0"/>
              <w:rPr>
                <w:sz w:val="20"/>
                <w:szCs w:val="20"/>
                <w:color w:val="auto"/>
              </w:rPr>
            </w:pPr>
            <w:r>
              <w:rPr>
                <w:rFonts w:ascii="Arial" w:cs="Arial" w:eastAsia="Arial" w:hAnsi="Arial"/>
                <w:sz w:val="18"/>
                <w:szCs w:val="18"/>
                <w:color w:val="auto"/>
              </w:rPr>
              <w:t>are excepted from these restrictions:</w:t>
            </w:r>
          </w:p>
        </w:tc>
        <w:tc>
          <w:tcPr>
            <w:tcW w:w="220" w:type="dxa"/>
            <w:vAlign w:val="bottom"/>
            <w:tcBorders>
              <w:right w:val="single" w:sz="8" w:color="auto"/>
            </w:tcBorders>
          </w:tcPr>
          <w:p>
            <w:pPr>
              <w:spacing w:after="0"/>
              <w:rPr>
                <w:sz w:val="18"/>
                <w:szCs w:val="18"/>
                <w:color w:val="auto"/>
              </w:rPr>
            </w:pPr>
          </w:p>
        </w:tc>
        <w:tc>
          <w:tcPr>
            <w:tcW w:w="5480" w:type="dxa"/>
            <w:vAlign w:val="bottom"/>
            <w:tcBorders>
              <w:right w:val="single" w:sz="8" w:color="auto"/>
            </w:tcBorders>
            <w:gridSpan w:val="2"/>
          </w:tcPr>
          <w:p>
            <w:pPr>
              <w:ind w:left="60"/>
              <w:spacing w:after="0"/>
              <w:rPr>
                <w:sz w:val="20"/>
                <w:szCs w:val="20"/>
                <w:color w:val="auto"/>
              </w:rPr>
            </w:pPr>
            <w:r>
              <w:rPr>
                <w:rFonts w:ascii="Arial" w:cs="Arial" w:eastAsia="Arial" w:hAnsi="Arial"/>
                <w:sz w:val="18"/>
                <w:szCs w:val="18"/>
                <w:color w:val="auto"/>
              </w:rPr>
              <w:t>mandats suivants sont exceptés de ces restrictions:</w:t>
            </w:r>
          </w:p>
        </w:tc>
        <w:tc>
          <w:tcPr>
            <w:tcW w:w="0" w:type="dxa"/>
            <w:vAlign w:val="bottom"/>
          </w:tcPr>
          <w:p>
            <w:pPr>
              <w:spacing w:after="0"/>
              <w:rPr>
                <w:sz w:val="1"/>
                <w:szCs w:val="1"/>
                <w:color w:val="auto"/>
              </w:rPr>
            </w:pPr>
          </w:p>
        </w:tc>
      </w:tr>
      <w:tr>
        <w:trPr>
          <w:trHeight w:val="391"/>
        </w:trPr>
        <w:tc>
          <w:tcPr>
            <w:tcW w:w="360" w:type="dxa"/>
            <w:vAlign w:val="bottom"/>
            <w:tcBorders>
              <w:left w:val="single" w:sz="8" w:color="auto"/>
            </w:tcBorders>
          </w:tcPr>
          <w:p>
            <w:pPr>
              <w:ind w:left="100"/>
              <w:spacing w:after="0"/>
              <w:rPr>
                <w:sz w:val="20"/>
                <w:szCs w:val="20"/>
                <w:color w:val="auto"/>
              </w:rPr>
            </w:pPr>
            <w:r>
              <w:rPr>
                <w:rFonts w:ascii="Arial" w:cs="Arial" w:eastAsia="Arial" w:hAnsi="Arial"/>
                <w:sz w:val="18"/>
                <w:szCs w:val="18"/>
                <w:color w:val="auto"/>
              </w:rPr>
              <w:t>a)</w:t>
            </w:r>
          </w:p>
        </w:tc>
        <w:tc>
          <w:tcPr>
            <w:tcW w:w="5180" w:type="dxa"/>
            <w:vAlign w:val="bottom"/>
            <w:tcBorders>
              <w:right w:val="single" w:sz="8" w:color="auto"/>
            </w:tcBorders>
          </w:tcPr>
          <w:p>
            <w:pPr>
              <w:jc w:val="right"/>
              <w:ind w:right="10"/>
              <w:spacing w:after="0"/>
              <w:rPr>
                <w:sz w:val="20"/>
                <w:szCs w:val="20"/>
                <w:color w:val="auto"/>
              </w:rPr>
            </w:pPr>
            <w:r>
              <w:rPr>
                <w:rFonts w:ascii="Arial" w:cs="Arial" w:eastAsia="Arial" w:hAnsi="Arial"/>
                <w:sz w:val="18"/>
                <w:szCs w:val="18"/>
                <w:color w:val="auto"/>
              </w:rPr>
              <w:t>mandates in legal entities which are controlled by the</w:t>
            </w:r>
          </w:p>
        </w:tc>
        <w:tc>
          <w:tcPr>
            <w:tcW w:w="220" w:type="dxa"/>
            <w:vAlign w:val="bottom"/>
            <w:tcBorders>
              <w:right w:val="single" w:sz="8" w:color="auto"/>
            </w:tcBorders>
          </w:tcPr>
          <w:p>
            <w:pPr>
              <w:spacing w:after="0"/>
              <w:rPr>
                <w:sz w:val="24"/>
                <w:szCs w:val="24"/>
                <w:color w:val="auto"/>
              </w:rPr>
            </w:pPr>
          </w:p>
        </w:tc>
        <w:tc>
          <w:tcPr>
            <w:tcW w:w="360" w:type="dxa"/>
            <w:vAlign w:val="bottom"/>
          </w:tcPr>
          <w:p>
            <w:pPr>
              <w:ind w:left="60"/>
              <w:spacing w:after="0"/>
              <w:rPr>
                <w:sz w:val="20"/>
                <w:szCs w:val="20"/>
                <w:color w:val="auto"/>
              </w:rPr>
            </w:pPr>
            <w:r>
              <w:rPr>
                <w:rFonts w:ascii="Arial" w:cs="Arial" w:eastAsia="Arial" w:hAnsi="Arial"/>
                <w:sz w:val="18"/>
                <w:szCs w:val="18"/>
                <w:color w:val="auto"/>
              </w:rPr>
              <w:t>a)</w:t>
            </w:r>
          </w:p>
        </w:tc>
        <w:tc>
          <w:tcPr>
            <w:tcW w:w="512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les mandats dans des entités juridiques qui sont contrôlées</w:t>
            </w:r>
          </w:p>
        </w:tc>
        <w:tc>
          <w:tcPr>
            <w:tcW w:w="0" w:type="dxa"/>
            <w:vAlign w:val="bottom"/>
          </w:tcPr>
          <w:p>
            <w:pPr>
              <w:spacing w:after="0"/>
              <w:rPr>
                <w:sz w:val="1"/>
                <w:szCs w:val="1"/>
                <w:color w:val="auto"/>
              </w:rPr>
            </w:pPr>
          </w:p>
        </w:tc>
      </w:tr>
      <w:tr>
        <w:trPr>
          <w:trHeight w:val="217"/>
        </w:trPr>
        <w:tc>
          <w:tcPr>
            <w:tcW w:w="360" w:type="dxa"/>
            <w:vAlign w:val="bottom"/>
            <w:tcBorders>
              <w:left w:val="single" w:sz="8" w:color="auto"/>
            </w:tcBorders>
          </w:tcPr>
          <w:p>
            <w:pPr>
              <w:spacing w:after="0"/>
              <w:rPr>
                <w:sz w:val="18"/>
                <w:szCs w:val="18"/>
                <w:color w:val="auto"/>
              </w:rPr>
            </w:pPr>
          </w:p>
        </w:tc>
        <w:tc>
          <w:tcPr>
            <w:tcW w:w="518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Company or which control the Company;</w:t>
            </w:r>
          </w:p>
        </w:tc>
        <w:tc>
          <w:tcPr>
            <w:tcW w:w="220" w:type="dxa"/>
            <w:vAlign w:val="bottom"/>
            <w:tcBorders>
              <w:right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5120" w:type="dxa"/>
            <w:vAlign w:val="bottom"/>
            <w:tcBorders>
              <w:right w:val="single" w:sz="8" w:color="auto"/>
            </w:tcBorders>
          </w:tcPr>
          <w:p>
            <w:pPr>
              <w:ind w:left="160"/>
              <w:spacing w:after="0"/>
              <w:rPr>
                <w:sz w:val="20"/>
                <w:szCs w:val="20"/>
                <w:color w:val="auto"/>
              </w:rPr>
            </w:pPr>
            <w:r>
              <w:rPr>
                <w:rFonts w:ascii="Arial" w:cs="Arial" w:eastAsia="Arial" w:hAnsi="Arial"/>
                <w:sz w:val="18"/>
                <w:szCs w:val="18"/>
                <w:color w:val="auto"/>
              </w:rPr>
              <w:t>par la société ou qui contrôlent la société;</w:t>
            </w:r>
          </w:p>
        </w:tc>
        <w:tc>
          <w:tcPr>
            <w:tcW w:w="0" w:type="dxa"/>
            <w:vAlign w:val="bottom"/>
          </w:tcPr>
          <w:p>
            <w:pPr>
              <w:spacing w:after="0"/>
              <w:rPr>
                <w:sz w:val="1"/>
                <w:szCs w:val="1"/>
                <w:color w:val="auto"/>
              </w:rPr>
            </w:pPr>
          </w:p>
        </w:tc>
      </w:tr>
      <w:tr>
        <w:trPr>
          <w:trHeight w:val="391"/>
        </w:trPr>
        <w:tc>
          <w:tcPr>
            <w:tcW w:w="5540" w:type="dxa"/>
            <w:vAlign w:val="bottom"/>
            <w:tcBorders>
              <w:left w:val="single" w:sz="8" w:color="auto"/>
              <w:right w:val="single" w:sz="8" w:color="auto"/>
            </w:tcBorders>
            <w:gridSpan w:val="2"/>
          </w:tcPr>
          <w:p>
            <w:pPr>
              <w:ind w:left="100"/>
              <w:spacing w:after="0"/>
              <w:rPr>
                <w:sz w:val="20"/>
                <w:szCs w:val="20"/>
                <w:color w:val="auto"/>
              </w:rPr>
            </w:pPr>
            <w:r>
              <w:rPr>
                <w:rFonts w:ascii="Arial" w:cs="Arial" w:eastAsia="Arial" w:hAnsi="Arial"/>
                <w:sz w:val="18"/>
                <w:szCs w:val="18"/>
                <w:color w:val="auto"/>
              </w:rPr>
              <w:t>b)  honorary mandates in charitable legal entities.</w:t>
            </w:r>
          </w:p>
        </w:tc>
        <w:tc>
          <w:tcPr>
            <w:tcW w:w="220" w:type="dxa"/>
            <w:vAlign w:val="bottom"/>
            <w:tcBorders>
              <w:right w:val="single" w:sz="8" w:color="auto"/>
            </w:tcBorders>
          </w:tcPr>
          <w:p>
            <w:pPr>
              <w:spacing w:after="0"/>
              <w:rPr>
                <w:sz w:val="24"/>
                <w:szCs w:val="24"/>
                <w:color w:val="auto"/>
              </w:rPr>
            </w:pPr>
          </w:p>
        </w:tc>
        <w:tc>
          <w:tcPr>
            <w:tcW w:w="360" w:type="dxa"/>
            <w:vAlign w:val="bottom"/>
          </w:tcPr>
          <w:p>
            <w:pPr>
              <w:ind w:left="60"/>
              <w:spacing w:after="0"/>
              <w:rPr>
                <w:sz w:val="20"/>
                <w:szCs w:val="20"/>
                <w:color w:val="auto"/>
              </w:rPr>
            </w:pPr>
            <w:r>
              <w:rPr>
                <w:rFonts w:ascii="Arial" w:cs="Arial" w:eastAsia="Arial" w:hAnsi="Arial"/>
                <w:sz w:val="18"/>
                <w:szCs w:val="18"/>
                <w:color w:val="auto"/>
              </w:rPr>
              <w:t>b)</w:t>
            </w:r>
          </w:p>
        </w:tc>
        <w:tc>
          <w:tcPr>
            <w:tcW w:w="5120" w:type="dxa"/>
            <w:vAlign w:val="bottom"/>
            <w:tcBorders>
              <w:right w:val="single" w:sz="8" w:color="auto"/>
            </w:tcBorders>
          </w:tcPr>
          <w:p>
            <w:pPr>
              <w:jc w:val="right"/>
              <w:ind w:right="11"/>
              <w:spacing w:after="0"/>
              <w:rPr>
                <w:sz w:val="20"/>
                <w:szCs w:val="20"/>
                <w:color w:val="auto"/>
              </w:rPr>
            </w:pPr>
            <w:r>
              <w:rPr>
                <w:rFonts w:ascii="Arial" w:cs="Arial" w:eastAsia="Arial" w:hAnsi="Arial"/>
                <w:sz w:val="18"/>
                <w:szCs w:val="18"/>
                <w:color w:val="auto"/>
              </w:rPr>
              <w:t>des mandats d'honneur à des personnes morales de</w:t>
            </w:r>
          </w:p>
        </w:tc>
        <w:tc>
          <w:tcPr>
            <w:tcW w:w="0" w:type="dxa"/>
            <w:vAlign w:val="bottom"/>
          </w:tcPr>
          <w:p>
            <w:pPr>
              <w:spacing w:after="0"/>
              <w:rPr>
                <w:sz w:val="1"/>
                <w:szCs w:val="1"/>
                <w:color w:val="auto"/>
              </w:rPr>
            </w:pPr>
          </w:p>
        </w:tc>
      </w:tr>
      <w:tr>
        <w:trPr>
          <w:trHeight w:val="217"/>
        </w:trPr>
        <w:tc>
          <w:tcPr>
            <w:tcW w:w="360" w:type="dxa"/>
            <w:vAlign w:val="bottom"/>
            <w:tcBorders>
              <w:left w:val="single" w:sz="8" w:color="auto"/>
            </w:tcBorders>
          </w:tcPr>
          <w:p>
            <w:pPr>
              <w:spacing w:after="0"/>
              <w:rPr>
                <w:sz w:val="18"/>
                <w:szCs w:val="18"/>
                <w:color w:val="auto"/>
              </w:rPr>
            </w:pPr>
          </w:p>
        </w:tc>
        <w:tc>
          <w:tcPr>
            <w:tcW w:w="5180" w:type="dxa"/>
            <w:vAlign w:val="bottom"/>
            <w:tcBorders>
              <w:right w:val="single" w:sz="8" w:color="auto"/>
            </w:tcBorders>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5120" w:type="dxa"/>
            <w:vAlign w:val="bottom"/>
            <w:tcBorders>
              <w:right w:val="single" w:sz="8" w:color="auto"/>
            </w:tcBorders>
          </w:tcPr>
          <w:p>
            <w:pPr>
              <w:ind w:left="160"/>
              <w:spacing w:after="0"/>
              <w:rPr>
                <w:sz w:val="20"/>
                <w:szCs w:val="20"/>
                <w:color w:val="auto"/>
              </w:rPr>
            </w:pPr>
            <w:r>
              <w:rPr>
                <w:rFonts w:ascii="Arial" w:cs="Arial" w:eastAsia="Arial" w:hAnsi="Arial"/>
                <w:sz w:val="18"/>
                <w:szCs w:val="18"/>
                <w:color w:val="auto"/>
              </w:rPr>
              <w:t>bienfaisance.</w:t>
            </w:r>
          </w:p>
        </w:tc>
        <w:tc>
          <w:tcPr>
            <w:tcW w:w="0" w:type="dxa"/>
            <w:vAlign w:val="bottom"/>
          </w:tcPr>
          <w:p>
            <w:pPr>
              <w:spacing w:after="0"/>
              <w:rPr>
                <w:sz w:val="1"/>
                <w:szCs w:val="1"/>
                <w:color w:val="auto"/>
              </w:rPr>
            </w:pPr>
          </w:p>
        </w:tc>
      </w:tr>
      <w:tr>
        <w:trPr>
          <w:trHeight w:val="54"/>
        </w:trPr>
        <w:tc>
          <w:tcPr>
            <w:tcW w:w="5540" w:type="dxa"/>
            <w:vAlign w:val="bottom"/>
            <w:tcBorders>
              <w:left w:val="single" w:sz="8" w:color="auto"/>
              <w:bottom w:val="single" w:sz="8" w:color="auto"/>
              <w:right w:val="single" w:sz="8" w:color="auto"/>
            </w:tcBorders>
            <w:gridSpan w:val="2"/>
          </w:tcPr>
          <w:p>
            <w:pPr>
              <w:spacing w:after="0"/>
              <w:rPr>
                <w:sz w:val="4"/>
                <w:szCs w:val="4"/>
                <w:color w:val="auto"/>
              </w:rPr>
            </w:pPr>
          </w:p>
        </w:tc>
        <w:tc>
          <w:tcPr>
            <w:tcW w:w="220" w:type="dxa"/>
            <w:vAlign w:val="bottom"/>
            <w:tcBorders>
              <w:bottom w:val="single" w:sz="8" w:color="auto"/>
              <w:right w:val="single" w:sz="8" w:color="auto"/>
            </w:tcBorders>
          </w:tcPr>
          <w:p>
            <w:pPr>
              <w:spacing w:after="0"/>
              <w:rPr>
                <w:sz w:val="4"/>
                <w:szCs w:val="4"/>
                <w:color w:val="auto"/>
              </w:rPr>
            </w:pPr>
          </w:p>
        </w:tc>
        <w:tc>
          <w:tcPr>
            <w:tcW w:w="5480" w:type="dxa"/>
            <w:vAlign w:val="bottom"/>
            <w:tcBorders>
              <w:bottom w:val="single" w:sz="8" w:color="auto"/>
              <w:right w:val="single" w:sz="8" w:color="auto"/>
            </w:tcBorders>
            <w:gridSpan w:val="2"/>
          </w:tcPr>
          <w:p>
            <w:pPr>
              <w:spacing w:after="0"/>
              <w:rPr>
                <w:sz w:val="4"/>
                <w:szCs w:val="4"/>
                <w:color w:val="auto"/>
              </w:rPr>
            </w:pPr>
          </w:p>
        </w:tc>
        <w:tc>
          <w:tcPr>
            <w:tcW w:w="0" w:type="dxa"/>
            <w:vAlign w:val="bottom"/>
          </w:tcPr>
          <w:p>
            <w:pPr>
              <w:spacing w:after="0"/>
              <w:rPr>
                <w:sz w:val="1"/>
                <w:szCs w:val="1"/>
                <w:color w:val="auto"/>
              </w:rPr>
            </w:pPr>
          </w:p>
        </w:tc>
      </w:tr>
      <w:tr>
        <w:trPr>
          <w:trHeight w:val="241"/>
        </w:trPr>
        <w:tc>
          <w:tcPr>
            <w:tcW w:w="5540" w:type="dxa"/>
            <w:vAlign w:val="bottom"/>
            <w:tcBorders>
              <w:left w:val="single" w:sz="8" w:color="auto"/>
              <w:right w:val="single" w:sz="8" w:color="auto"/>
            </w:tcBorders>
            <w:gridSpan w:val="2"/>
          </w:tcPr>
          <w:p>
            <w:pPr>
              <w:ind w:left="100"/>
              <w:spacing w:after="0"/>
              <w:rPr>
                <w:sz w:val="20"/>
                <w:szCs w:val="20"/>
                <w:color w:val="auto"/>
              </w:rPr>
            </w:pPr>
            <w:r>
              <w:rPr>
                <w:rFonts w:ascii="Arial" w:cs="Arial" w:eastAsia="Arial" w:hAnsi="Arial"/>
                <w:sz w:val="18"/>
                <w:szCs w:val="18"/>
                <w:b w:val="1"/>
                <w:bCs w:val="1"/>
                <w:color w:val="auto"/>
              </w:rPr>
              <w:t>Art. 38 Mandates of a Member of the Executive Committee</w:t>
            </w:r>
          </w:p>
        </w:tc>
        <w:tc>
          <w:tcPr>
            <w:tcW w:w="220" w:type="dxa"/>
            <w:vAlign w:val="bottom"/>
            <w:tcBorders>
              <w:right w:val="single" w:sz="8" w:color="auto"/>
            </w:tcBorders>
          </w:tcPr>
          <w:p>
            <w:pPr>
              <w:spacing w:after="0"/>
              <w:rPr>
                <w:sz w:val="20"/>
                <w:szCs w:val="20"/>
                <w:color w:val="auto"/>
              </w:rPr>
            </w:pPr>
          </w:p>
        </w:tc>
        <w:tc>
          <w:tcPr>
            <w:tcW w:w="5480" w:type="dxa"/>
            <w:vAlign w:val="bottom"/>
            <w:tcBorders>
              <w:right w:val="single" w:sz="8" w:color="auto"/>
            </w:tcBorders>
            <w:gridSpan w:val="2"/>
          </w:tcPr>
          <w:p>
            <w:pPr>
              <w:ind w:left="60"/>
              <w:spacing w:after="0"/>
              <w:rPr>
                <w:sz w:val="20"/>
                <w:szCs w:val="20"/>
                <w:color w:val="auto"/>
              </w:rPr>
            </w:pPr>
            <w:r>
              <w:rPr>
                <w:rFonts w:ascii="Arial" w:cs="Arial" w:eastAsia="Arial" w:hAnsi="Arial"/>
                <w:sz w:val="18"/>
                <w:szCs w:val="18"/>
                <w:b w:val="1"/>
                <w:bCs w:val="1"/>
                <w:color w:val="auto"/>
              </w:rPr>
              <w:t>Art. 38 Mandats d'un membre du comité exécutif en-dehors de</w:t>
            </w:r>
          </w:p>
        </w:tc>
        <w:tc>
          <w:tcPr>
            <w:tcW w:w="0" w:type="dxa"/>
            <w:vAlign w:val="bottom"/>
          </w:tcPr>
          <w:p>
            <w:pPr>
              <w:spacing w:after="0"/>
              <w:rPr>
                <w:sz w:val="1"/>
                <w:szCs w:val="1"/>
                <w:color w:val="auto"/>
              </w:rPr>
            </w:pPr>
          </w:p>
        </w:tc>
      </w:tr>
      <w:tr>
        <w:trPr>
          <w:trHeight w:val="239"/>
        </w:trPr>
        <w:tc>
          <w:tcPr>
            <w:tcW w:w="5540" w:type="dxa"/>
            <w:vAlign w:val="bottom"/>
            <w:tcBorders>
              <w:left w:val="single" w:sz="8" w:color="auto"/>
              <w:right w:val="single" w:sz="8" w:color="auto"/>
            </w:tcBorders>
            <w:gridSpan w:val="2"/>
          </w:tcPr>
          <w:p>
            <w:pPr>
              <w:ind w:left="100"/>
              <w:spacing w:after="0"/>
              <w:rPr>
                <w:sz w:val="20"/>
                <w:szCs w:val="20"/>
                <w:color w:val="auto"/>
              </w:rPr>
            </w:pPr>
            <w:r>
              <w:rPr>
                <w:rFonts w:ascii="Arial" w:cs="Arial" w:eastAsia="Arial" w:hAnsi="Arial"/>
                <w:sz w:val="18"/>
                <w:szCs w:val="18"/>
                <w:b w:val="1"/>
                <w:bCs w:val="1"/>
                <w:color w:val="auto"/>
              </w:rPr>
              <w:t>outside the Company</w:t>
            </w:r>
          </w:p>
        </w:tc>
        <w:tc>
          <w:tcPr>
            <w:tcW w:w="220" w:type="dxa"/>
            <w:vAlign w:val="bottom"/>
            <w:tcBorders>
              <w:right w:val="single" w:sz="8" w:color="auto"/>
            </w:tcBorders>
          </w:tcPr>
          <w:p>
            <w:pPr>
              <w:spacing w:after="0"/>
              <w:rPr>
                <w:sz w:val="20"/>
                <w:szCs w:val="20"/>
                <w:color w:val="auto"/>
              </w:rPr>
            </w:pPr>
          </w:p>
        </w:tc>
        <w:tc>
          <w:tcPr>
            <w:tcW w:w="5480" w:type="dxa"/>
            <w:vAlign w:val="bottom"/>
            <w:tcBorders>
              <w:right w:val="single" w:sz="8" w:color="auto"/>
            </w:tcBorders>
            <w:gridSpan w:val="2"/>
          </w:tcPr>
          <w:p>
            <w:pPr>
              <w:ind w:left="60"/>
              <w:spacing w:after="0"/>
              <w:rPr>
                <w:sz w:val="20"/>
                <w:szCs w:val="20"/>
                <w:color w:val="auto"/>
              </w:rPr>
            </w:pPr>
            <w:r>
              <w:rPr>
                <w:rFonts w:ascii="Arial" w:cs="Arial" w:eastAsia="Arial" w:hAnsi="Arial"/>
                <w:sz w:val="18"/>
                <w:szCs w:val="18"/>
                <w:b w:val="1"/>
                <w:bCs w:val="1"/>
                <w:color w:val="auto"/>
              </w:rPr>
              <w:t>la société</w:t>
            </w:r>
          </w:p>
        </w:tc>
        <w:tc>
          <w:tcPr>
            <w:tcW w:w="0" w:type="dxa"/>
            <w:vAlign w:val="bottom"/>
          </w:tcPr>
          <w:p>
            <w:pPr>
              <w:spacing w:after="0"/>
              <w:rPr>
                <w:sz w:val="1"/>
                <w:szCs w:val="1"/>
                <w:color w:val="auto"/>
              </w:rPr>
            </w:pPr>
          </w:p>
        </w:tc>
      </w:tr>
      <w:tr>
        <w:trPr>
          <w:trHeight w:val="391"/>
        </w:trPr>
        <w:tc>
          <w:tcPr>
            <w:tcW w:w="5540" w:type="dxa"/>
            <w:vAlign w:val="bottom"/>
            <w:tcBorders>
              <w:left w:val="single" w:sz="8" w:color="auto"/>
              <w:right w:val="single" w:sz="8" w:color="auto"/>
            </w:tcBorders>
            <w:gridSpan w:val="2"/>
          </w:tcPr>
          <w:p>
            <w:pPr>
              <w:ind w:left="100"/>
              <w:spacing w:after="0"/>
              <w:rPr>
                <w:sz w:val="20"/>
                <w:szCs w:val="20"/>
                <w:color w:val="auto"/>
              </w:rPr>
            </w:pPr>
            <w:r>
              <w:rPr>
                <w:rFonts w:ascii="Arial" w:cs="Arial" w:eastAsia="Arial" w:hAnsi="Arial"/>
                <w:sz w:val="18"/>
                <w:szCs w:val="18"/>
                <w:color w:val="auto"/>
              </w:rPr>
              <w:t>Each member of the Executive Committee may, with approval of</w:t>
            </w:r>
          </w:p>
        </w:tc>
        <w:tc>
          <w:tcPr>
            <w:tcW w:w="220" w:type="dxa"/>
            <w:vAlign w:val="bottom"/>
            <w:tcBorders>
              <w:right w:val="single" w:sz="8" w:color="auto"/>
            </w:tcBorders>
          </w:tcPr>
          <w:p>
            <w:pPr>
              <w:spacing w:after="0"/>
              <w:rPr>
                <w:sz w:val="24"/>
                <w:szCs w:val="24"/>
                <w:color w:val="auto"/>
              </w:rPr>
            </w:pPr>
          </w:p>
        </w:tc>
        <w:tc>
          <w:tcPr>
            <w:tcW w:w="5480" w:type="dxa"/>
            <w:vAlign w:val="bottom"/>
            <w:tcBorders>
              <w:right w:val="single" w:sz="8" w:color="auto"/>
            </w:tcBorders>
            <w:gridSpan w:val="2"/>
          </w:tcPr>
          <w:p>
            <w:pPr>
              <w:ind w:left="60"/>
              <w:spacing w:after="0"/>
              <w:rPr>
                <w:sz w:val="20"/>
                <w:szCs w:val="20"/>
                <w:color w:val="auto"/>
              </w:rPr>
            </w:pPr>
            <w:r>
              <w:rPr>
                <w:rFonts w:ascii="Arial" w:cs="Arial" w:eastAsia="Arial" w:hAnsi="Arial"/>
                <w:sz w:val="18"/>
                <w:szCs w:val="18"/>
                <w:color w:val="auto"/>
              </w:rPr>
              <w:t>Chaque membre du comité exécutif peut, avec l'approbation du</w:t>
            </w:r>
          </w:p>
        </w:tc>
        <w:tc>
          <w:tcPr>
            <w:tcW w:w="0" w:type="dxa"/>
            <w:vAlign w:val="bottom"/>
          </w:tcPr>
          <w:p>
            <w:pPr>
              <w:spacing w:after="0"/>
              <w:rPr>
                <w:sz w:val="1"/>
                <w:szCs w:val="1"/>
                <w:color w:val="auto"/>
              </w:rPr>
            </w:pPr>
          </w:p>
        </w:tc>
      </w:tr>
      <w:tr>
        <w:trPr>
          <w:trHeight w:val="217"/>
        </w:trPr>
        <w:tc>
          <w:tcPr>
            <w:tcW w:w="5540" w:type="dxa"/>
            <w:vAlign w:val="bottom"/>
            <w:tcBorders>
              <w:left w:val="single" w:sz="8" w:color="auto"/>
              <w:right w:val="single" w:sz="8" w:color="auto"/>
            </w:tcBorders>
            <w:gridSpan w:val="2"/>
          </w:tcPr>
          <w:p>
            <w:pPr>
              <w:ind w:left="100"/>
              <w:spacing w:after="0"/>
              <w:rPr>
                <w:sz w:val="20"/>
                <w:szCs w:val="20"/>
                <w:color w:val="auto"/>
              </w:rPr>
            </w:pPr>
            <w:r>
              <w:rPr>
                <w:rFonts w:ascii="Arial" w:cs="Arial" w:eastAsia="Arial" w:hAnsi="Arial"/>
                <w:sz w:val="18"/>
                <w:szCs w:val="18"/>
                <w:color w:val="auto"/>
              </w:rPr>
              <w:t>the Board of Directors, cumulatively assume not more than the</w:t>
            </w:r>
          </w:p>
        </w:tc>
        <w:tc>
          <w:tcPr>
            <w:tcW w:w="220" w:type="dxa"/>
            <w:vAlign w:val="bottom"/>
            <w:tcBorders>
              <w:right w:val="single" w:sz="8" w:color="auto"/>
            </w:tcBorders>
          </w:tcPr>
          <w:p>
            <w:pPr>
              <w:spacing w:after="0"/>
              <w:rPr>
                <w:sz w:val="18"/>
                <w:szCs w:val="18"/>
                <w:color w:val="auto"/>
              </w:rPr>
            </w:pPr>
          </w:p>
        </w:tc>
        <w:tc>
          <w:tcPr>
            <w:tcW w:w="5480" w:type="dxa"/>
            <w:vAlign w:val="bottom"/>
            <w:tcBorders>
              <w:right w:val="single" w:sz="8" w:color="auto"/>
            </w:tcBorders>
            <w:gridSpan w:val="2"/>
          </w:tcPr>
          <w:p>
            <w:pPr>
              <w:ind w:left="60"/>
              <w:spacing w:after="0"/>
              <w:rPr>
                <w:sz w:val="20"/>
                <w:szCs w:val="20"/>
                <w:color w:val="auto"/>
              </w:rPr>
            </w:pPr>
            <w:r>
              <w:rPr>
                <w:rFonts w:ascii="Arial" w:cs="Arial" w:eastAsia="Arial" w:hAnsi="Arial"/>
                <w:sz w:val="18"/>
                <w:szCs w:val="18"/>
                <w:color w:val="auto"/>
              </w:rPr>
              <w:t>conseil d'administration, cumuler pas plus que le</w:t>
            </w:r>
          </w:p>
        </w:tc>
        <w:tc>
          <w:tcPr>
            <w:tcW w:w="0" w:type="dxa"/>
            <w:vAlign w:val="bottom"/>
          </w:tcPr>
          <w:p>
            <w:pPr>
              <w:spacing w:after="0"/>
              <w:rPr>
                <w:sz w:val="1"/>
                <w:szCs w:val="1"/>
                <w:color w:val="auto"/>
              </w:rPr>
            </w:pPr>
          </w:p>
        </w:tc>
      </w:tr>
      <w:tr>
        <w:trPr>
          <w:trHeight w:val="54"/>
        </w:trPr>
        <w:tc>
          <w:tcPr>
            <w:tcW w:w="360" w:type="dxa"/>
            <w:vAlign w:val="bottom"/>
            <w:tcBorders>
              <w:left w:val="single" w:sz="8" w:color="auto"/>
              <w:bottom w:val="single" w:sz="8" w:color="auto"/>
            </w:tcBorders>
          </w:tcPr>
          <w:p>
            <w:pPr>
              <w:spacing w:after="0"/>
              <w:rPr>
                <w:sz w:val="4"/>
                <w:szCs w:val="4"/>
                <w:color w:val="auto"/>
              </w:rPr>
            </w:pPr>
          </w:p>
        </w:tc>
        <w:tc>
          <w:tcPr>
            <w:tcW w:w="5180" w:type="dxa"/>
            <w:vAlign w:val="bottom"/>
            <w:tcBorders>
              <w:bottom w:val="single" w:sz="8" w:color="auto"/>
              <w:right w:val="single" w:sz="8" w:color="auto"/>
            </w:tcBorders>
          </w:tcPr>
          <w:p>
            <w:pPr>
              <w:spacing w:after="0"/>
              <w:rPr>
                <w:sz w:val="4"/>
                <w:szCs w:val="4"/>
                <w:color w:val="auto"/>
              </w:rPr>
            </w:pPr>
          </w:p>
        </w:tc>
        <w:tc>
          <w:tcPr>
            <w:tcW w:w="220" w:type="dxa"/>
            <w:vAlign w:val="bottom"/>
            <w:tcBorders>
              <w:bottom w:val="single" w:sz="8" w:color="auto"/>
              <w:right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512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453"/>
        </w:trPr>
        <w:tc>
          <w:tcPr>
            <w:tcW w:w="360" w:type="dxa"/>
            <w:vAlign w:val="bottom"/>
            <w:tcBorders>
              <w:bottom w:val="single" w:sz="8" w:color="auto"/>
            </w:tcBorders>
          </w:tcPr>
          <w:p>
            <w:pPr>
              <w:spacing w:after="0"/>
              <w:rPr>
                <w:sz w:val="24"/>
                <w:szCs w:val="24"/>
                <w:color w:val="auto"/>
              </w:rPr>
            </w:pPr>
          </w:p>
        </w:tc>
        <w:tc>
          <w:tcPr>
            <w:tcW w:w="51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51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249" w:right="339" w:bottom="1440" w:gutter="0" w:footer="0" w:header="0"/>
        </w:sectPr>
      </w:pPr>
    </w:p>
    <w:bookmarkStart w:id="67" w:name="page68"/>
    <w:bookmarkEnd w:id="67"/>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187"/>
        </w:trPr>
        <w:tc>
          <w:tcPr>
            <w:tcW w:w="360" w:type="dxa"/>
            <w:vAlign w:val="bottom"/>
            <w:tcBorders>
              <w:bottom w:val="single" w:sz="8" w:color="auto"/>
            </w:tcBorders>
          </w:tcPr>
          <w:p>
            <w:pPr>
              <w:spacing w:after="0"/>
              <w:rPr>
                <w:sz w:val="16"/>
                <w:szCs w:val="16"/>
                <w:color w:val="auto"/>
              </w:rPr>
            </w:pPr>
          </w:p>
        </w:tc>
        <w:tc>
          <w:tcPr>
            <w:tcW w:w="518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5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w:t>
            </w:r>
          </w:p>
        </w:tc>
      </w:tr>
      <w:tr>
        <w:trPr>
          <w:trHeight w:val="263"/>
        </w:trPr>
        <w:tc>
          <w:tcPr>
            <w:tcW w:w="5540" w:type="dxa"/>
            <w:vAlign w:val="bottom"/>
            <w:tcBorders>
              <w:left w:val="single" w:sz="8" w:color="auto"/>
              <w:right w:val="single" w:sz="8" w:color="auto"/>
            </w:tcBorders>
            <w:gridSpan w:val="2"/>
          </w:tcPr>
          <w:p>
            <w:pPr>
              <w:ind w:left="100"/>
              <w:spacing w:after="0"/>
              <w:rPr>
                <w:sz w:val="20"/>
                <w:szCs w:val="20"/>
                <w:color w:val="auto"/>
              </w:rPr>
            </w:pPr>
            <w:r>
              <w:rPr>
                <w:rFonts w:ascii="Arial" w:cs="Arial" w:eastAsia="Arial" w:hAnsi="Arial"/>
                <w:sz w:val="18"/>
                <w:szCs w:val="18"/>
                <w:color w:val="auto"/>
              </w:rPr>
              <w:t>following number of mandates in the board of directors, the</w:t>
            </w:r>
          </w:p>
        </w:tc>
        <w:tc>
          <w:tcPr>
            <w:tcW w:w="220" w:type="dxa"/>
            <w:vAlign w:val="bottom"/>
            <w:tcBorders>
              <w:right w:val="single" w:sz="8" w:color="auto"/>
            </w:tcBorders>
          </w:tcPr>
          <w:p>
            <w:pPr>
              <w:spacing w:after="0"/>
              <w:rPr>
                <w:sz w:val="22"/>
                <w:szCs w:val="22"/>
                <w:color w:val="auto"/>
              </w:rPr>
            </w:pPr>
          </w:p>
        </w:tc>
        <w:tc>
          <w:tcPr>
            <w:tcW w:w="5480" w:type="dxa"/>
            <w:vAlign w:val="bottom"/>
            <w:tcBorders>
              <w:right w:val="single" w:sz="8" w:color="auto"/>
            </w:tcBorders>
            <w:gridSpan w:val="2"/>
          </w:tcPr>
          <w:p>
            <w:pPr>
              <w:ind w:left="60"/>
              <w:spacing w:after="0"/>
              <w:rPr>
                <w:sz w:val="20"/>
                <w:szCs w:val="20"/>
                <w:color w:val="auto"/>
              </w:rPr>
            </w:pPr>
            <w:r>
              <w:rPr>
                <w:rFonts w:ascii="Arial" w:cs="Arial" w:eastAsia="Arial" w:hAnsi="Arial"/>
                <w:sz w:val="18"/>
                <w:szCs w:val="18"/>
                <w:color w:val="auto"/>
              </w:rPr>
              <w:t>nombre suivant de mandats dans un conseil d'administration, une</w:t>
            </w:r>
          </w:p>
        </w:tc>
      </w:tr>
      <w:tr>
        <w:trPr>
          <w:trHeight w:val="203"/>
        </w:trPr>
        <w:tc>
          <w:tcPr>
            <w:tcW w:w="5540" w:type="dxa"/>
            <w:vAlign w:val="bottom"/>
            <w:tcBorders>
              <w:left w:val="single" w:sz="8" w:color="auto"/>
              <w:right w:val="single" w:sz="8" w:color="auto"/>
            </w:tcBorders>
            <w:gridSpan w:val="2"/>
          </w:tcPr>
          <w:p>
            <w:pPr>
              <w:ind w:left="100"/>
              <w:spacing w:after="0" w:line="202" w:lineRule="exact"/>
              <w:rPr>
                <w:sz w:val="20"/>
                <w:szCs w:val="20"/>
                <w:color w:val="auto"/>
              </w:rPr>
            </w:pPr>
            <w:r>
              <w:rPr>
                <w:rFonts w:ascii="Arial" w:cs="Arial" w:eastAsia="Arial" w:hAnsi="Arial"/>
                <w:sz w:val="18"/>
                <w:szCs w:val="18"/>
                <w:color w:val="auto"/>
              </w:rPr>
              <w:t>superior management or an administrative body of a legal entity</w:t>
            </w:r>
          </w:p>
        </w:tc>
        <w:tc>
          <w:tcPr>
            <w:tcW w:w="22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gridSpan w:val="2"/>
          </w:tcPr>
          <w:p>
            <w:pPr>
              <w:ind w:left="60"/>
              <w:spacing w:after="0" w:line="202" w:lineRule="exact"/>
              <w:rPr>
                <w:sz w:val="20"/>
                <w:szCs w:val="20"/>
                <w:color w:val="auto"/>
              </w:rPr>
            </w:pPr>
            <w:r>
              <w:rPr>
                <w:rFonts w:ascii="Arial" w:cs="Arial" w:eastAsia="Arial" w:hAnsi="Arial"/>
                <w:sz w:val="18"/>
                <w:szCs w:val="18"/>
                <w:color w:val="auto"/>
              </w:rPr>
              <w:t>direction supérieure ou un organisme administratif d'une personne</w:t>
            </w:r>
          </w:p>
        </w:tc>
      </w:tr>
      <w:tr>
        <w:trPr>
          <w:trHeight w:val="203"/>
        </w:trPr>
        <w:tc>
          <w:tcPr>
            <w:tcW w:w="5540" w:type="dxa"/>
            <w:vAlign w:val="bottom"/>
            <w:tcBorders>
              <w:left w:val="single" w:sz="8" w:color="auto"/>
              <w:right w:val="single" w:sz="8" w:color="auto"/>
            </w:tcBorders>
            <w:gridSpan w:val="2"/>
          </w:tcPr>
          <w:p>
            <w:pPr>
              <w:ind w:left="100"/>
              <w:spacing w:after="0" w:line="202" w:lineRule="exact"/>
              <w:rPr>
                <w:sz w:val="20"/>
                <w:szCs w:val="20"/>
                <w:color w:val="auto"/>
              </w:rPr>
            </w:pPr>
            <w:r>
              <w:rPr>
                <w:rFonts w:ascii="Arial" w:cs="Arial" w:eastAsia="Arial" w:hAnsi="Arial"/>
                <w:sz w:val="18"/>
                <w:szCs w:val="18"/>
                <w:color w:val="auto"/>
              </w:rPr>
              <w:t>which is obliged to be registered in the Swiss commercial register</w:t>
            </w:r>
          </w:p>
        </w:tc>
        <w:tc>
          <w:tcPr>
            <w:tcW w:w="22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gridSpan w:val="2"/>
          </w:tcPr>
          <w:p>
            <w:pPr>
              <w:ind w:left="60"/>
              <w:spacing w:after="0" w:line="202" w:lineRule="exact"/>
              <w:rPr>
                <w:sz w:val="20"/>
                <w:szCs w:val="20"/>
                <w:color w:val="auto"/>
              </w:rPr>
            </w:pPr>
            <w:r>
              <w:rPr>
                <w:rFonts w:ascii="Arial" w:cs="Arial" w:eastAsia="Arial" w:hAnsi="Arial"/>
                <w:sz w:val="18"/>
                <w:szCs w:val="18"/>
                <w:color w:val="auto"/>
              </w:rPr>
              <w:t>morale qui est obligée d'être inscrite dans le registre du commerce</w:t>
            </w:r>
          </w:p>
        </w:tc>
      </w:tr>
      <w:tr>
        <w:trPr>
          <w:trHeight w:val="217"/>
        </w:trPr>
        <w:tc>
          <w:tcPr>
            <w:tcW w:w="5540" w:type="dxa"/>
            <w:vAlign w:val="bottom"/>
            <w:tcBorders>
              <w:left w:val="single" w:sz="8" w:color="auto"/>
              <w:right w:val="single" w:sz="8" w:color="auto"/>
            </w:tcBorders>
            <w:gridSpan w:val="2"/>
          </w:tcPr>
          <w:p>
            <w:pPr>
              <w:ind w:left="100"/>
              <w:spacing w:after="0"/>
              <w:rPr>
                <w:sz w:val="20"/>
                <w:szCs w:val="20"/>
                <w:color w:val="auto"/>
              </w:rPr>
            </w:pPr>
            <w:r>
              <w:rPr>
                <w:rFonts w:ascii="Arial" w:cs="Arial" w:eastAsia="Arial" w:hAnsi="Arial"/>
                <w:sz w:val="18"/>
                <w:szCs w:val="18"/>
                <w:color w:val="auto"/>
              </w:rPr>
              <w:t>or an equivalent foreign register:</w:t>
            </w:r>
          </w:p>
        </w:tc>
        <w:tc>
          <w:tcPr>
            <w:tcW w:w="220" w:type="dxa"/>
            <w:vAlign w:val="bottom"/>
            <w:tcBorders>
              <w:right w:val="single" w:sz="8" w:color="auto"/>
            </w:tcBorders>
          </w:tcPr>
          <w:p>
            <w:pPr>
              <w:spacing w:after="0"/>
              <w:rPr>
                <w:sz w:val="18"/>
                <w:szCs w:val="18"/>
                <w:color w:val="auto"/>
              </w:rPr>
            </w:pPr>
          </w:p>
        </w:tc>
        <w:tc>
          <w:tcPr>
            <w:tcW w:w="5480" w:type="dxa"/>
            <w:vAlign w:val="bottom"/>
            <w:tcBorders>
              <w:right w:val="single" w:sz="8" w:color="auto"/>
            </w:tcBorders>
            <w:gridSpan w:val="2"/>
          </w:tcPr>
          <w:p>
            <w:pPr>
              <w:ind w:left="60"/>
              <w:spacing w:after="0"/>
              <w:rPr>
                <w:sz w:val="20"/>
                <w:szCs w:val="20"/>
                <w:color w:val="auto"/>
              </w:rPr>
            </w:pPr>
            <w:r>
              <w:rPr>
                <w:rFonts w:ascii="Arial" w:cs="Arial" w:eastAsia="Arial" w:hAnsi="Arial"/>
                <w:sz w:val="18"/>
                <w:szCs w:val="18"/>
                <w:color w:val="auto"/>
              </w:rPr>
              <w:t>suisse ou un registre étranger équivalent:</w:t>
            </w:r>
          </w:p>
        </w:tc>
      </w:tr>
      <w:tr>
        <w:trPr>
          <w:trHeight w:val="391"/>
        </w:trPr>
        <w:tc>
          <w:tcPr>
            <w:tcW w:w="360" w:type="dxa"/>
            <w:vAlign w:val="bottom"/>
            <w:tcBorders>
              <w:left w:val="single" w:sz="8" w:color="auto"/>
            </w:tcBorders>
          </w:tcPr>
          <w:p>
            <w:pPr>
              <w:ind w:left="100"/>
              <w:spacing w:after="0"/>
              <w:rPr>
                <w:sz w:val="20"/>
                <w:szCs w:val="20"/>
                <w:color w:val="auto"/>
              </w:rPr>
            </w:pPr>
            <w:r>
              <w:rPr>
                <w:rFonts w:ascii="Arial" w:cs="Arial" w:eastAsia="Arial" w:hAnsi="Arial"/>
                <w:sz w:val="18"/>
                <w:szCs w:val="18"/>
                <w:color w:val="auto"/>
              </w:rPr>
              <w:t>a)</w:t>
            </w:r>
          </w:p>
        </w:tc>
        <w:tc>
          <w:tcPr>
            <w:tcW w:w="5180" w:type="dxa"/>
            <w:vAlign w:val="bottom"/>
            <w:tcBorders>
              <w:right w:val="single" w:sz="8" w:color="auto"/>
            </w:tcBorders>
          </w:tcPr>
          <w:p>
            <w:pPr>
              <w:ind w:left="260"/>
              <w:spacing w:after="0"/>
              <w:rPr>
                <w:sz w:val="20"/>
                <w:szCs w:val="20"/>
                <w:color w:val="auto"/>
              </w:rPr>
            </w:pPr>
            <w:r>
              <w:rPr>
                <w:rFonts w:ascii="Arial" w:cs="Arial" w:eastAsia="Arial" w:hAnsi="Arial"/>
                <w:sz w:val="18"/>
                <w:szCs w:val="18"/>
                <w:color w:val="auto"/>
              </w:rPr>
              <w:t>2 mandates for publicly traded companies pursuant to Art.</w:t>
            </w:r>
          </w:p>
        </w:tc>
        <w:tc>
          <w:tcPr>
            <w:tcW w:w="220" w:type="dxa"/>
            <w:vAlign w:val="bottom"/>
            <w:tcBorders>
              <w:right w:val="single" w:sz="8" w:color="auto"/>
            </w:tcBorders>
          </w:tcPr>
          <w:p>
            <w:pPr>
              <w:spacing w:after="0"/>
              <w:rPr>
                <w:sz w:val="24"/>
                <w:szCs w:val="24"/>
                <w:color w:val="auto"/>
              </w:rPr>
            </w:pPr>
          </w:p>
        </w:tc>
        <w:tc>
          <w:tcPr>
            <w:tcW w:w="360" w:type="dxa"/>
            <w:vAlign w:val="bottom"/>
          </w:tcPr>
          <w:p>
            <w:pPr>
              <w:ind w:left="60"/>
              <w:spacing w:after="0"/>
              <w:rPr>
                <w:sz w:val="20"/>
                <w:szCs w:val="20"/>
                <w:color w:val="auto"/>
              </w:rPr>
            </w:pPr>
            <w:r>
              <w:rPr>
                <w:rFonts w:ascii="Arial" w:cs="Arial" w:eastAsia="Arial" w:hAnsi="Arial"/>
                <w:sz w:val="18"/>
                <w:szCs w:val="18"/>
                <w:color w:val="auto"/>
              </w:rPr>
              <w:t>a)</w:t>
            </w:r>
          </w:p>
        </w:tc>
        <w:tc>
          <w:tcPr>
            <w:tcW w:w="512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2 mandats pour les entreprises cotées en bourse selon l'art.</w:t>
            </w:r>
          </w:p>
        </w:tc>
      </w:tr>
      <w:tr>
        <w:trPr>
          <w:trHeight w:val="217"/>
        </w:trPr>
        <w:tc>
          <w:tcPr>
            <w:tcW w:w="360" w:type="dxa"/>
            <w:vAlign w:val="bottom"/>
            <w:tcBorders>
              <w:left w:val="single" w:sz="8" w:color="auto"/>
            </w:tcBorders>
          </w:tcPr>
          <w:p>
            <w:pPr>
              <w:spacing w:after="0"/>
              <w:rPr>
                <w:sz w:val="18"/>
                <w:szCs w:val="18"/>
                <w:color w:val="auto"/>
              </w:rPr>
            </w:pPr>
          </w:p>
        </w:tc>
        <w:tc>
          <w:tcPr>
            <w:tcW w:w="518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727 para. 1 number 1 CO; and</w:t>
            </w:r>
          </w:p>
        </w:tc>
        <w:tc>
          <w:tcPr>
            <w:tcW w:w="220" w:type="dxa"/>
            <w:vAlign w:val="bottom"/>
            <w:tcBorders>
              <w:right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5120" w:type="dxa"/>
            <w:vAlign w:val="bottom"/>
            <w:tcBorders>
              <w:right w:val="single" w:sz="8" w:color="auto"/>
            </w:tcBorders>
          </w:tcPr>
          <w:p>
            <w:pPr>
              <w:ind w:left="160"/>
              <w:spacing w:after="0"/>
              <w:rPr>
                <w:sz w:val="20"/>
                <w:szCs w:val="20"/>
                <w:color w:val="auto"/>
              </w:rPr>
            </w:pPr>
            <w:r>
              <w:rPr>
                <w:rFonts w:ascii="Arial" w:cs="Arial" w:eastAsia="Arial" w:hAnsi="Arial"/>
                <w:sz w:val="18"/>
                <w:szCs w:val="18"/>
                <w:color w:val="auto"/>
              </w:rPr>
              <w:t>727 al. 1 chiffre 1 CO; et</w:t>
            </w:r>
          </w:p>
        </w:tc>
      </w:tr>
      <w:tr>
        <w:trPr>
          <w:trHeight w:val="391"/>
        </w:trPr>
        <w:tc>
          <w:tcPr>
            <w:tcW w:w="360" w:type="dxa"/>
            <w:vAlign w:val="bottom"/>
            <w:tcBorders>
              <w:left w:val="single" w:sz="8" w:color="auto"/>
            </w:tcBorders>
          </w:tcPr>
          <w:p>
            <w:pPr>
              <w:ind w:left="100"/>
              <w:spacing w:after="0"/>
              <w:rPr>
                <w:sz w:val="20"/>
                <w:szCs w:val="20"/>
                <w:color w:val="auto"/>
              </w:rPr>
            </w:pPr>
            <w:r>
              <w:rPr>
                <w:rFonts w:ascii="Arial" w:cs="Arial" w:eastAsia="Arial" w:hAnsi="Arial"/>
                <w:sz w:val="18"/>
                <w:szCs w:val="18"/>
                <w:color w:val="auto"/>
              </w:rPr>
              <w:t>b)</w:t>
            </w:r>
          </w:p>
        </w:tc>
        <w:tc>
          <w:tcPr>
            <w:tcW w:w="5180" w:type="dxa"/>
            <w:vAlign w:val="bottom"/>
            <w:tcBorders>
              <w:right w:val="single" w:sz="8" w:color="auto"/>
            </w:tcBorders>
          </w:tcPr>
          <w:p>
            <w:pPr>
              <w:ind w:left="340"/>
              <w:spacing w:after="0"/>
              <w:rPr>
                <w:sz w:val="20"/>
                <w:szCs w:val="20"/>
                <w:color w:val="auto"/>
              </w:rPr>
            </w:pPr>
            <w:r>
              <w:rPr>
                <w:rFonts w:ascii="Arial" w:cs="Arial" w:eastAsia="Arial" w:hAnsi="Arial"/>
                <w:sz w:val="18"/>
                <w:szCs w:val="18"/>
                <w:color w:val="auto"/>
              </w:rPr>
              <w:t>3 mandates for companies pursuant to Art. 727 para. 1</w:t>
            </w:r>
          </w:p>
        </w:tc>
        <w:tc>
          <w:tcPr>
            <w:tcW w:w="220" w:type="dxa"/>
            <w:vAlign w:val="bottom"/>
            <w:tcBorders>
              <w:right w:val="single" w:sz="8" w:color="auto"/>
            </w:tcBorders>
          </w:tcPr>
          <w:p>
            <w:pPr>
              <w:spacing w:after="0"/>
              <w:rPr>
                <w:sz w:val="24"/>
                <w:szCs w:val="24"/>
                <w:color w:val="auto"/>
              </w:rPr>
            </w:pPr>
          </w:p>
        </w:tc>
        <w:tc>
          <w:tcPr>
            <w:tcW w:w="360" w:type="dxa"/>
            <w:vAlign w:val="bottom"/>
          </w:tcPr>
          <w:p>
            <w:pPr>
              <w:ind w:left="60"/>
              <w:spacing w:after="0"/>
              <w:rPr>
                <w:sz w:val="20"/>
                <w:szCs w:val="20"/>
                <w:color w:val="auto"/>
              </w:rPr>
            </w:pPr>
            <w:r>
              <w:rPr>
                <w:rFonts w:ascii="Arial" w:cs="Arial" w:eastAsia="Arial" w:hAnsi="Arial"/>
                <w:sz w:val="18"/>
                <w:szCs w:val="18"/>
                <w:color w:val="auto"/>
              </w:rPr>
              <w:t>b)</w:t>
            </w:r>
          </w:p>
        </w:tc>
        <w:tc>
          <w:tcPr>
            <w:tcW w:w="5120" w:type="dxa"/>
            <w:vAlign w:val="bottom"/>
            <w:tcBorders>
              <w:right w:val="single" w:sz="8" w:color="auto"/>
            </w:tcBorders>
          </w:tcPr>
          <w:p>
            <w:pPr>
              <w:ind w:left="160"/>
              <w:spacing w:after="0"/>
              <w:rPr>
                <w:sz w:val="20"/>
                <w:szCs w:val="20"/>
                <w:color w:val="auto"/>
              </w:rPr>
            </w:pPr>
            <w:r>
              <w:rPr>
                <w:rFonts w:ascii="Arial" w:cs="Arial" w:eastAsia="Arial" w:hAnsi="Arial"/>
                <w:sz w:val="18"/>
                <w:szCs w:val="18"/>
                <w:color w:val="auto"/>
              </w:rPr>
              <w:t>3 mandats pour des entreprises selon l'art. 727 al. 1 chiffre 2</w:t>
            </w:r>
          </w:p>
        </w:tc>
      </w:tr>
      <w:tr>
        <w:trPr>
          <w:trHeight w:val="217"/>
        </w:trPr>
        <w:tc>
          <w:tcPr>
            <w:tcW w:w="360" w:type="dxa"/>
            <w:vAlign w:val="bottom"/>
            <w:tcBorders>
              <w:left w:val="single" w:sz="8" w:color="auto"/>
            </w:tcBorders>
          </w:tcPr>
          <w:p>
            <w:pPr>
              <w:spacing w:after="0"/>
              <w:rPr>
                <w:sz w:val="18"/>
                <w:szCs w:val="18"/>
                <w:color w:val="auto"/>
              </w:rPr>
            </w:pPr>
          </w:p>
        </w:tc>
        <w:tc>
          <w:tcPr>
            <w:tcW w:w="518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number 2 CO; and</w:t>
            </w:r>
          </w:p>
        </w:tc>
        <w:tc>
          <w:tcPr>
            <w:tcW w:w="220" w:type="dxa"/>
            <w:vAlign w:val="bottom"/>
            <w:tcBorders>
              <w:right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5120" w:type="dxa"/>
            <w:vAlign w:val="bottom"/>
            <w:tcBorders>
              <w:right w:val="single" w:sz="8" w:color="auto"/>
            </w:tcBorders>
          </w:tcPr>
          <w:p>
            <w:pPr>
              <w:ind w:left="160"/>
              <w:spacing w:after="0"/>
              <w:rPr>
                <w:sz w:val="20"/>
                <w:szCs w:val="20"/>
                <w:color w:val="auto"/>
              </w:rPr>
            </w:pPr>
            <w:r>
              <w:rPr>
                <w:rFonts w:ascii="Arial" w:cs="Arial" w:eastAsia="Arial" w:hAnsi="Arial"/>
                <w:sz w:val="18"/>
                <w:szCs w:val="18"/>
                <w:color w:val="auto"/>
              </w:rPr>
              <w:t>CO; et</w:t>
            </w:r>
          </w:p>
        </w:tc>
      </w:tr>
      <w:tr>
        <w:trPr>
          <w:trHeight w:val="391"/>
        </w:trPr>
        <w:tc>
          <w:tcPr>
            <w:tcW w:w="5540" w:type="dxa"/>
            <w:vAlign w:val="bottom"/>
            <w:tcBorders>
              <w:left w:val="single" w:sz="8" w:color="auto"/>
              <w:right w:val="single" w:sz="8" w:color="auto"/>
            </w:tcBorders>
            <w:gridSpan w:val="2"/>
          </w:tcPr>
          <w:p>
            <w:pPr>
              <w:ind w:left="100"/>
              <w:spacing w:after="0"/>
              <w:rPr>
                <w:sz w:val="20"/>
                <w:szCs w:val="20"/>
                <w:color w:val="auto"/>
              </w:rPr>
            </w:pPr>
            <w:r>
              <w:rPr>
                <w:rFonts w:ascii="Arial" w:cs="Arial" w:eastAsia="Arial" w:hAnsi="Arial"/>
                <w:sz w:val="18"/>
                <w:szCs w:val="18"/>
                <w:color w:val="auto"/>
              </w:rPr>
              <w:t>c)   5 mandates for companies which do not fulfil the criteria under</w:t>
            </w:r>
          </w:p>
        </w:tc>
        <w:tc>
          <w:tcPr>
            <w:tcW w:w="220" w:type="dxa"/>
            <w:vAlign w:val="bottom"/>
            <w:tcBorders>
              <w:right w:val="single" w:sz="8" w:color="auto"/>
            </w:tcBorders>
          </w:tcPr>
          <w:p>
            <w:pPr>
              <w:spacing w:after="0"/>
              <w:rPr>
                <w:sz w:val="24"/>
                <w:szCs w:val="24"/>
                <w:color w:val="auto"/>
              </w:rPr>
            </w:pPr>
          </w:p>
        </w:tc>
        <w:tc>
          <w:tcPr>
            <w:tcW w:w="360" w:type="dxa"/>
            <w:vAlign w:val="bottom"/>
          </w:tcPr>
          <w:p>
            <w:pPr>
              <w:ind w:left="60"/>
              <w:spacing w:after="0"/>
              <w:rPr>
                <w:sz w:val="20"/>
                <w:szCs w:val="20"/>
                <w:color w:val="auto"/>
              </w:rPr>
            </w:pPr>
            <w:r>
              <w:rPr>
                <w:rFonts w:ascii="Arial" w:cs="Arial" w:eastAsia="Arial" w:hAnsi="Arial"/>
                <w:sz w:val="18"/>
                <w:szCs w:val="18"/>
                <w:color w:val="auto"/>
              </w:rPr>
              <w:t>c)</w:t>
            </w:r>
          </w:p>
        </w:tc>
        <w:tc>
          <w:tcPr>
            <w:tcW w:w="512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5 mandats pour les entreprises qui ne remplissent pas les</w:t>
            </w:r>
          </w:p>
        </w:tc>
      </w:tr>
      <w:tr>
        <w:trPr>
          <w:trHeight w:val="217"/>
        </w:trPr>
        <w:tc>
          <w:tcPr>
            <w:tcW w:w="360" w:type="dxa"/>
            <w:vAlign w:val="bottom"/>
            <w:tcBorders>
              <w:left w:val="single" w:sz="8" w:color="auto"/>
            </w:tcBorders>
          </w:tcPr>
          <w:p>
            <w:pPr>
              <w:spacing w:after="0"/>
              <w:rPr>
                <w:sz w:val="18"/>
                <w:szCs w:val="18"/>
                <w:color w:val="auto"/>
              </w:rPr>
            </w:pPr>
          </w:p>
        </w:tc>
        <w:tc>
          <w:tcPr>
            <w:tcW w:w="518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litera a) and b) above.</w:t>
            </w:r>
          </w:p>
        </w:tc>
        <w:tc>
          <w:tcPr>
            <w:tcW w:w="220" w:type="dxa"/>
            <w:vAlign w:val="bottom"/>
            <w:tcBorders>
              <w:right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5120" w:type="dxa"/>
            <w:vAlign w:val="bottom"/>
            <w:tcBorders>
              <w:right w:val="single" w:sz="8" w:color="auto"/>
            </w:tcBorders>
          </w:tcPr>
          <w:p>
            <w:pPr>
              <w:ind w:left="160"/>
              <w:spacing w:after="0"/>
              <w:rPr>
                <w:sz w:val="20"/>
                <w:szCs w:val="20"/>
                <w:color w:val="auto"/>
              </w:rPr>
            </w:pPr>
            <w:r>
              <w:rPr>
                <w:rFonts w:ascii="Arial" w:cs="Arial" w:eastAsia="Arial" w:hAnsi="Arial"/>
                <w:sz w:val="18"/>
                <w:szCs w:val="18"/>
                <w:color w:val="auto"/>
              </w:rPr>
              <w:t>critères sous a) et b) ci-dessus.</w:t>
            </w:r>
          </w:p>
        </w:tc>
      </w:tr>
      <w:tr>
        <w:trPr>
          <w:trHeight w:val="391"/>
        </w:trPr>
        <w:tc>
          <w:tcPr>
            <w:tcW w:w="5540" w:type="dxa"/>
            <w:vAlign w:val="bottom"/>
            <w:tcBorders>
              <w:left w:val="single" w:sz="8" w:color="auto"/>
              <w:right w:val="single" w:sz="8" w:color="auto"/>
            </w:tcBorders>
            <w:gridSpan w:val="2"/>
          </w:tcPr>
          <w:p>
            <w:pPr>
              <w:ind w:left="100"/>
              <w:spacing w:after="0"/>
              <w:rPr>
                <w:sz w:val="20"/>
                <w:szCs w:val="20"/>
                <w:color w:val="auto"/>
              </w:rPr>
            </w:pPr>
            <w:r>
              <w:rPr>
                <w:rFonts w:ascii="Arial" w:cs="Arial" w:eastAsia="Arial" w:hAnsi="Arial"/>
                <w:sz w:val="18"/>
                <w:szCs w:val="18"/>
                <w:color w:val="auto"/>
              </w:rPr>
              <w:t>Mandates held in several legal entities each operating under the</w:t>
            </w:r>
          </w:p>
        </w:tc>
        <w:tc>
          <w:tcPr>
            <w:tcW w:w="220" w:type="dxa"/>
            <w:vAlign w:val="bottom"/>
            <w:tcBorders>
              <w:right w:val="single" w:sz="8" w:color="auto"/>
            </w:tcBorders>
          </w:tcPr>
          <w:p>
            <w:pPr>
              <w:spacing w:after="0"/>
              <w:rPr>
                <w:sz w:val="24"/>
                <w:szCs w:val="24"/>
                <w:color w:val="auto"/>
              </w:rPr>
            </w:pPr>
          </w:p>
        </w:tc>
        <w:tc>
          <w:tcPr>
            <w:tcW w:w="5480" w:type="dxa"/>
            <w:vAlign w:val="bottom"/>
            <w:tcBorders>
              <w:right w:val="single" w:sz="8" w:color="auto"/>
            </w:tcBorders>
            <w:gridSpan w:val="2"/>
          </w:tcPr>
          <w:p>
            <w:pPr>
              <w:ind w:left="60"/>
              <w:spacing w:after="0"/>
              <w:rPr>
                <w:sz w:val="20"/>
                <w:szCs w:val="20"/>
                <w:color w:val="auto"/>
              </w:rPr>
            </w:pPr>
            <w:r>
              <w:rPr>
                <w:rFonts w:ascii="Arial" w:cs="Arial" w:eastAsia="Arial" w:hAnsi="Arial"/>
                <w:sz w:val="18"/>
                <w:szCs w:val="18"/>
                <w:color w:val="auto"/>
              </w:rPr>
              <w:t>Les mandats exercés dans plusieurs entités juridiques opérant</w:t>
            </w:r>
          </w:p>
        </w:tc>
      </w:tr>
      <w:tr>
        <w:trPr>
          <w:trHeight w:val="203"/>
        </w:trPr>
        <w:tc>
          <w:tcPr>
            <w:tcW w:w="5540" w:type="dxa"/>
            <w:vAlign w:val="bottom"/>
            <w:tcBorders>
              <w:left w:val="single" w:sz="8" w:color="auto"/>
              <w:right w:val="single" w:sz="8" w:color="auto"/>
            </w:tcBorders>
            <w:gridSpan w:val="2"/>
          </w:tcPr>
          <w:p>
            <w:pPr>
              <w:ind w:left="100"/>
              <w:spacing w:after="0" w:line="202" w:lineRule="exact"/>
              <w:rPr>
                <w:sz w:val="20"/>
                <w:szCs w:val="20"/>
                <w:color w:val="auto"/>
              </w:rPr>
            </w:pPr>
            <w:r>
              <w:rPr>
                <w:rFonts w:ascii="Arial" w:cs="Arial" w:eastAsia="Arial" w:hAnsi="Arial"/>
                <w:sz w:val="18"/>
                <w:szCs w:val="18"/>
                <w:color w:val="auto"/>
              </w:rPr>
              <w:t>same management or same beneficial owner (group) are deemed</w:t>
            </w:r>
          </w:p>
        </w:tc>
        <w:tc>
          <w:tcPr>
            <w:tcW w:w="22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gridSpan w:val="2"/>
          </w:tcPr>
          <w:p>
            <w:pPr>
              <w:ind w:left="60"/>
              <w:spacing w:after="0" w:line="202" w:lineRule="exact"/>
              <w:rPr>
                <w:sz w:val="20"/>
                <w:szCs w:val="20"/>
                <w:color w:val="auto"/>
              </w:rPr>
            </w:pPr>
            <w:r>
              <w:rPr>
                <w:rFonts w:ascii="Arial" w:cs="Arial" w:eastAsia="Arial" w:hAnsi="Arial"/>
                <w:sz w:val="18"/>
                <w:szCs w:val="18"/>
                <w:color w:val="auto"/>
              </w:rPr>
              <w:t>chacun sous la même direction ou même bénéficiaire effectif</w:t>
            </w:r>
          </w:p>
        </w:tc>
      </w:tr>
      <w:tr>
        <w:trPr>
          <w:trHeight w:val="217"/>
        </w:trPr>
        <w:tc>
          <w:tcPr>
            <w:tcW w:w="5540" w:type="dxa"/>
            <w:vAlign w:val="bottom"/>
            <w:tcBorders>
              <w:left w:val="single" w:sz="8" w:color="auto"/>
              <w:right w:val="single" w:sz="8" w:color="auto"/>
            </w:tcBorders>
            <w:gridSpan w:val="2"/>
          </w:tcPr>
          <w:p>
            <w:pPr>
              <w:ind w:left="100"/>
              <w:spacing w:after="0"/>
              <w:rPr>
                <w:sz w:val="20"/>
                <w:szCs w:val="20"/>
                <w:color w:val="auto"/>
              </w:rPr>
            </w:pPr>
            <w:r>
              <w:rPr>
                <w:rFonts w:ascii="Arial" w:cs="Arial" w:eastAsia="Arial" w:hAnsi="Arial"/>
                <w:sz w:val="18"/>
                <w:szCs w:val="18"/>
                <w:color w:val="auto"/>
              </w:rPr>
              <w:t>to be a single mandate.</w:t>
            </w:r>
          </w:p>
        </w:tc>
        <w:tc>
          <w:tcPr>
            <w:tcW w:w="220" w:type="dxa"/>
            <w:vAlign w:val="bottom"/>
            <w:tcBorders>
              <w:right w:val="single" w:sz="8" w:color="auto"/>
            </w:tcBorders>
          </w:tcPr>
          <w:p>
            <w:pPr>
              <w:spacing w:after="0"/>
              <w:rPr>
                <w:sz w:val="18"/>
                <w:szCs w:val="18"/>
                <w:color w:val="auto"/>
              </w:rPr>
            </w:pPr>
          </w:p>
        </w:tc>
        <w:tc>
          <w:tcPr>
            <w:tcW w:w="5480" w:type="dxa"/>
            <w:vAlign w:val="bottom"/>
            <w:tcBorders>
              <w:right w:val="single" w:sz="8" w:color="auto"/>
            </w:tcBorders>
            <w:gridSpan w:val="2"/>
          </w:tcPr>
          <w:p>
            <w:pPr>
              <w:ind w:left="60"/>
              <w:spacing w:after="0"/>
              <w:rPr>
                <w:sz w:val="20"/>
                <w:szCs w:val="20"/>
                <w:color w:val="auto"/>
              </w:rPr>
            </w:pPr>
            <w:r>
              <w:rPr>
                <w:rFonts w:ascii="Arial" w:cs="Arial" w:eastAsia="Arial" w:hAnsi="Arial"/>
                <w:sz w:val="18"/>
                <w:szCs w:val="18"/>
                <w:color w:val="auto"/>
              </w:rPr>
              <w:t>(groupe) sont réputés être un seul mandat.</w:t>
            </w:r>
          </w:p>
        </w:tc>
      </w:tr>
      <w:tr>
        <w:trPr>
          <w:trHeight w:val="391"/>
        </w:trPr>
        <w:tc>
          <w:tcPr>
            <w:tcW w:w="5540" w:type="dxa"/>
            <w:vAlign w:val="bottom"/>
            <w:tcBorders>
              <w:left w:val="single" w:sz="8" w:color="auto"/>
              <w:right w:val="single" w:sz="8" w:color="auto"/>
            </w:tcBorders>
            <w:gridSpan w:val="2"/>
          </w:tcPr>
          <w:p>
            <w:pPr>
              <w:ind w:left="100"/>
              <w:spacing w:after="0"/>
              <w:rPr>
                <w:sz w:val="20"/>
                <w:szCs w:val="20"/>
                <w:color w:val="auto"/>
              </w:rPr>
            </w:pPr>
            <w:r>
              <w:rPr>
                <w:rFonts w:ascii="Arial" w:cs="Arial" w:eastAsia="Arial" w:hAnsi="Arial"/>
                <w:sz w:val="18"/>
                <w:szCs w:val="18"/>
                <w:color w:val="auto"/>
              </w:rPr>
              <w:t>If a legal entity fulfills several of the above mentioned criteria, it can</w:t>
            </w:r>
          </w:p>
        </w:tc>
        <w:tc>
          <w:tcPr>
            <w:tcW w:w="220" w:type="dxa"/>
            <w:vAlign w:val="bottom"/>
            <w:tcBorders>
              <w:right w:val="single" w:sz="8" w:color="auto"/>
            </w:tcBorders>
          </w:tcPr>
          <w:p>
            <w:pPr>
              <w:spacing w:after="0"/>
              <w:rPr>
                <w:sz w:val="24"/>
                <w:szCs w:val="24"/>
                <w:color w:val="auto"/>
              </w:rPr>
            </w:pPr>
          </w:p>
        </w:tc>
        <w:tc>
          <w:tcPr>
            <w:tcW w:w="5480" w:type="dxa"/>
            <w:vAlign w:val="bottom"/>
            <w:tcBorders>
              <w:right w:val="single" w:sz="8" w:color="auto"/>
            </w:tcBorders>
            <w:gridSpan w:val="2"/>
          </w:tcPr>
          <w:p>
            <w:pPr>
              <w:ind w:left="60"/>
              <w:spacing w:after="0"/>
              <w:rPr>
                <w:sz w:val="20"/>
                <w:szCs w:val="20"/>
                <w:color w:val="auto"/>
              </w:rPr>
            </w:pPr>
            <w:r>
              <w:rPr>
                <w:rFonts w:ascii="Arial" w:cs="Arial" w:eastAsia="Arial" w:hAnsi="Arial"/>
                <w:sz w:val="18"/>
                <w:szCs w:val="18"/>
                <w:color w:val="auto"/>
              </w:rPr>
              <w:t>Si une entité juridique remplit plusieurs des critères mentionnés ci-</w:t>
            </w:r>
          </w:p>
        </w:tc>
      </w:tr>
      <w:tr>
        <w:trPr>
          <w:trHeight w:val="203"/>
        </w:trPr>
        <w:tc>
          <w:tcPr>
            <w:tcW w:w="5540" w:type="dxa"/>
            <w:vAlign w:val="bottom"/>
            <w:tcBorders>
              <w:left w:val="single" w:sz="8" w:color="auto"/>
              <w:right w:val="single" w:sz="8" w:color="auto"/>
            </w:tcBorders>
            <w:gridSpan w:val="2"/>
          </w:tcPr>
          <w:p>
            <w:pPr>
              <w:ind w:left="100"/>
              <w:spacing w:after="0" w:line="202" w:lineRule="exact"/>
              <w:rPr>
                <w:sz w:val="20"/>
                <w:szCs w:val="20"/>
                <w:color w:val="auto"/>
              </w:rPr>
            </w:pPr>
            <w:r>
              <w:rPr>
                <w:rFonts w:ascii="Arial" w:cs="Arial" w:eastAsia="Arial" w:hAnsi="Arial"/>
                <w:sz w:val="18"/>
                <w:szCs w:val="18"/>
                <w:color w:val="auto"/>
              </w:rPr>
              <w:t>be freely counted towards any category. The following mandates</w:t>
            </w:r>
          </w:p>
        </w:tc>
        <w:tc>
          <w:tcPr>
            <w:tcW w:w="22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gridSpan w:val="2"/>
          </w:tcPr>
          <w:p>
            <w:pPr>
              <w:ind w:left="60"/>
              <w:spacing w:after="0" w:line="202" w:lineRule="exact"/>
              <w:rPr>
                <w:sz w:val="20"/>
                <w:szCs w:val="20"/>
                <w:color w:val="auto"/>
              </w:rPr>
            </w:pPr>
            <w:r>
              <w:rPr>
                <w:rFonts w:ascii="Arial" w:cs="Arial" w:eastAsia="Arial" w:hAnsi="Arial"/>
                <w:sz w:val="18"/>
                <w:szCs w:val="18"/>
                <w:color w:val="auto"/>
              </w:rPr>
              <w:t>dessus, elle peut être librement placée dans une catégorie. Les</w:t>
            </w:r>
          </w:p>
        </w:tc>
      </w:tr>
      <w:tr>
        <w:trPr>
          <w:trHeight w:val="217"/>
        </w:trPr>
        <w:tc>
          <w:tcPr>
            <w:tcW w:w="5540" w:type="dxa"/>
            <w:vAlign w:val="bottom"/>
            <w:tcBorders>
              <w:left w:val="single" w:sz="8" w:color="auto"/>
              <w:right w:val="single" w:sz="8" w:color="auto"/>
            </w:tcBorders>
            <w:gridSpan w:val="2"/>
          </w:tcPr>
          <w:p>
            <w:pPr>
              <w:ind w:left="100"/>
              <w:spacing w:after="0"/>
              <w:rPr>
                <w:sz w:val="20"/>
                <w:szCs w:val="20"/>
                <w:color w:val="auto"/>
              </w:rPr>
            </w:pPr>
            <w:r>
              <w:rPr>
                <w:rFonts w:ascii="Arial" w:cs="Arial" w:eastAsia="Arial" w:hAnsi="Arial"/>
                <w:sz w:val="18"/>
                <w:szCs w:val="18"/>
                <w:color w:val="auto"/>
              </w:rPr>
              <w:t>are excepted from this restrictions:</w:t>
            </w:r>
          </w:p>
        </w:tc>
        <w:tc>
          <w:tcPr>
            <w:tcW w:w="220" w:type="dxa"/>
            <w:vAlign w:val="bottom"/>
            <w:tcBorders>
              <w:right w:val="single" w:sz="8" w:color="auto"/>
            </w:tcBorders>
          </w:tcPr>
          <w:p>
            <w:pPr>
              <w:spacing w:after="0"/>
              <w:rPr>
                <w:sz w:val="18"/>
                <w:szCs w:val="18"/>
                <w:color w:val="auto"/>
              </w:rPr>
            </w:pPr>
          </w:p>
        </w:tc>
        <w:tc>
          <w:tcPr>
            <w:tcW w:w="5480" w:type="dxa"/>
            <w:vAlign w:val="bottom"/>
            <w:tcBorders>
              <w:right w:val="single" w:sz="8" w:color="auto"/>
            </w:tcBorders>
            <w:gridSpan w:val="2"/>
          </w:tcPr>
          <w:p>
            <w:pPr>
              <w:ind w:left="60"/>
              <w:spacing w:after="0"/>
              <w:rPr>
                <w:sz w:val="20"/>
                <w:szCs w:val="20"/>
                <w:color w:val="auto"/>
              </w:rPr>
            </w:pPr>
            <w:r>
              <w:rPr>
                <w:rFonts w:ascii="Arial" w:cs="Arial" w:eastAsia="Arial" w:hAnsi="Arial"/>
                <w:sz w:val="18"/>
                <w:szCs w:val="18"/>
                <w:color w:val="auto"/>
              </w:rPr>
              <w:t>mandats suivants sont exceptés de ces restrictions:</w:t>
            </w:r>
          </w:p>
        </w:tc>
      </w:tr>
      <w:tr>
        <w:trPr>
          <w:trHeight w:val="391"/>
        </w:trPr>
        <w:tc>
          <w:tcPr>
            <w:tcW w:w="360" w:type="dxa"/>
            <w:vAlign w:val="bottom"/>
            <w:tcBorders>
              <w:left w:val="single" w:sz="8" w:color="auto"/>
            </w:tcBorders>
          </w:tcPr>
          <w:p>
            <w:pPr>
              <w:ind w:left="100"/>
              <w:spacing w:after="0"/>
              <w:rPr>
                <w:sz w:val="20"/>
                <w:szCs w:val="20"/>
                <w:color w:val="auto"/>
              </w:rPr>
            </w:pPr>
            <w:r>
              <w:rPr>
                <w:rFonts w:ascii="Arial" w:cs="Arial" w:eastAsia="Arial" w:hAnsi="Arial"/>
                <w:sz w:val="18"/>
                <w:szCs w:val="18"/>
                <w:color w:val="auto"/>
              </w:rPr>
              <w:t>a)</w:t>
            </w:r>
          </w:p>
        </w:tc>
        <w:tc>
          <w:tcPr>
            <w:tcW w:w="5180" w:type="dxa"/>
            <w:vAlign w:val="bottom"/>
            <w:tcBorders>
              <w:right w:val="single" w:sz="8" w:color="auto"/>
            </w:tcBorders>
          </w:tcPr>
          <w:p>
            <w:pPr>
              <w:ind w:left="340"/>
              <w:spacing w:after="0"/>
              <w:rPr>
                <w:sz w:val="20"/>
                <w:szCs w:val="20"/>
                <w:color w:val="auto"/>
              </w:rPr>
            </w:pPr>
            <w:r>
              <w:rPr>
                <w:rFonts w:ascii="Arial" w:cs="Arial" w:eastAsia="Arial" w:hAnsi="Arial"/>
                <w:sz w:val="18"/>
                <w:szCs w:val="18"/>
                <w:color w:val="auto"/>
              </w:rPr>
              <w:t>mandates in legal entities which are controlled by the</w:t>
            </w:r>
          </w:p>
        </w:tc>
        <w:tc>
          <w:tcPr>
            <w:tcW w:w="220" w:type="dxa"/>
            <w:vAlign w:val="bottom"/>
            <w:tcBorders>
              <w:right w:val="single" w:sz="8" w:color="auto"/>
            </w:tcBorders>
          </w:tcPr>
          <w:p>
            <w:pPr>
              <w:spacing w:after="0"/>
              <w:rPr>
                <w:sz w:val="24"/>
                <w:szCs w:val="24"/>
                <w:color w:val="auto"/>
              </w:rPr>
            </w:pPr>
          </w:p>
        </w:tc>
        <w:tc>
          <w:tcPr>
            <w:tcW w:w="360" w:type="dxa"/>
            <w:vAlign w:val="bottom"/>
          </w:tcPr>
          <w:p>
            <w:pPr>
              <w:ind w:left="60"/>
              <w:spacing w:after="0"/>
              <w:rPr>
                <w:sz w:val="20"/>
                <w:szCs w:val="20"/>
                <w:color w:val="auto"/>
              </w:rPr>
            </w:pPr>
            <w:r>
              <w:rPr>
                <w:rFonts w:ascii="Arial" w:cs="Arial" w:eastAsia="Arial" w:hAnsi="Arial"/>
                <w:sz w:val="18"/>
                <w:szCs w:val="18"/>
                <w:color w:val="auto"/>
              </w:rPr>
              <w:t>a)</w:t>
            </w:r>
          </w:p>
        </w:tc>
        <w:tc>
          <w:tcPr>
            <w:tcW w:w="512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les mandats dans des entités juridiques qui sont contrôlées</w:t>
            </w:r>
          </w:p>
        </w:tc>
      </w:tr>
      <w:tr>
        <w:trPr>
          <w:trHeight w:val="217"/>
        </w:trPr>
        <w:tc>
          <w:tcPr>
            <w:tcW w:w="360" w:type="dxa"/>
            <w:vAlign w:val="bottom"/>
            <w:tcBorders>
              <w:left w:val="single" w:sz="8" w:color="auto"/>
            </w:tcBorders>
          </w:tcPr>
          <w:p>
            <w:pPr>
              <w:spacing w:after="0"/>
              <w:rPr>
                <w:sz w:val="18"/>
                <w:szCs w:val="18"/>
                <w:color w:val="auto"/>
              </w:rPr>
            </w:pPr>
          </w:p>
        </w:tc>
        <w:tc>
          <w:tcPr>
            <w:tcW w:w="518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Company or which control the Company;</w:t>
            </w:r>
          </w:p>
        </w:tc>
        <w:tc>
          <w:tcPr>
            <w:tcW w:w="220" w:type="dxa"/>
            <w:vAlign w:val="bottom"/>
            <w:tcBorders>
              <w:right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5120" w:type="dxa"/>
            <w:vAlign w:val="bottom"/>
            <w:tcBorders>
              <w:right w:val="single" w:sz="8" w:color="auto"/>
            </w:tcBorders>
          </w:tcPr>
          <w:p>
            <w:pPr>
              <w:ind w:left="160"/>
              <w:spacing w:after="0"/>
              <w:rPr>
                <w:sz w:val="20"/>
                <w:szCs w:val="20"/>
                <w:color w:val="auto"/>
              </w:rPr>
            </w:pPr>
            <w:r>
              <w:rPr>
                <w:rFonts w:ascii="Arial" w:cs="Arial" w:eastAsia="Arial" w:hAnsi="Arial"/>
                <w:sz w:val="18"/>
                <w:szCs w:val="18"/>
                <w:color w:val="auto"/>
              </w:rPr>
              <w:t>par la société ou qui contrôlent la société;</w:t>
            </w:r>
          </w:p>
        </w:tc>
      </w:tr>
      <w:tr>
        <w:trPr>
          <w:trHeight w:val="391"/>
        </w:trPr>
        <w:tc>
          <w:tcPr>
            <w:tcW w:w="5540" w:type="dxa"/>
            <w:vAlign w:val="bottom"/>
            <w:tcBorders>
              <w:left w:val="single" w:sz="8" w:color="auto"/>
              <w:right w:val="single" w:sz="8" w:color="auto"/>
            </w:tcBorders>
            <w:gridSpan w:val="2"/>
          </w:tcPr>
          <w:p>
            <w:pPr>
              <w:ind w:left="100"/>
              <w:spacing w:after="0"/>
              <w:rPr>
                <w:sz w:val="20"/>
                <w:szCs w:val="20"/>
                <w:color w:val="auto"/>
              </w:rPr>
            </w:pPr>
            <w:r>
              <w:rPr>
                <w:rFonts w:ascii="Arial" w:cs="Arial" w:eastAsia="Arial" w:hAnsi="Arial"/>
                <w:sz w:val="18"/>
                <w:szCs w:val="18"/>
                <w:color w:val="auto"/>
              </w:rPr>
              <w:t>b)  honorary mandates in charitable legal entities.</w:t>
            </w:r>
          </w:p>
        </w:tc>
        <w:tc>
          <w:tcPr>
            <w:tcW w:w="220" w:type="dxa"/>
            <w:vAlign w:val="bottom"/>
            <w:tcBorders>
              <w:right w:val="single" w:sz="8" w:color="auto"/>
            </w:tcBorders>
          </w:tcPr>
          <w:p>
            <w:pPr>
              <w:spacing w:after="0"/>
              <w:rPr>
                <w:sz w:val="24"/>
                <w:szCs w:val="24"/>
                <w:color w:val="auto"/>
              </w:rPr>
            </w:pPr>
          </w:p>
        </w:tc>
        <w:tc>
          <w:tcPr>
            <w:tcW w:w="5480" w:type="dxa"/>
            <w:vAlign w:val="bottom"/>
            <w:tcBorders>
              <w:right w:val="single" w:sz="8" w:color="auto"/>
            </w:tcBorders>
            <w:gridSpan w:val="2"/>
          </w:tcPr>
          <w:p>
            <w:pPr>
              <w:ind w:left="60"/>
              <w:spacing w:after="0"/>
              <w:rPr>
                <w:sz w:val="20"/>
                <w:szCs w:val="20"/>
                <w:color w:val="auto"/>
              </w:rPr>
            </w:pPr>
            <w:r>
              <w:rPr>
                <w:rFonts w:ascii="Arial" w:cs="Arial" w:eastAsia="Arial" w:hAnsi="Arial"/>
                <w:sz w:val="18"/>
                <w:szCs w:val="18"/>
                <w:color w:val="auto"/>
              </w:rPr>
              <w:t>b)   mandats d'honneur dans des entités juridiques de</w:t>
            </w:r>
          </w:p>
        </w:tc>
      </w:tr>
      <w:tr>
        <w:trPr>
          <w:trHeight w:val="217"/>
        </w:trPr>
        <w:tc>
          <w:tcPr>
            <w:tcW w:w="360" w:type="dxa"/>
            <w:vAlign w:val="bottom"/>
            <w:tcBorders>
              <w:left w:val="single" w:sz="8" w:color="auto"/>
            </w:tcBorders>
          </w:tcPr>
          <w:p>
            <w:pPr>
              <w:spacing w:after="0"/>
              <w:rPr>
                <w:sz w:val="18"/>
                <w:szCs w:val="18"/>
                <w:color w:val="auto"/>
              </w:rPr>
            </w:pPr>
          </w:p>
        </w:tc>
        <w:tc>
          <w:tcPr>
            <w:tcW w:w="5180" w:type="dxa"/>
            <w:vAlign w:val="bottom"/>
            <w:tcBorders>
              <w:right w:val="single" w:sz="8" w:color="auto"/>
            </w:tcBorders>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5120" w:type="dxa"/>
            <w:vAlign w:val="bottom"/>
            <w:tcBorders>
              <w:right w:val="single" w:sz="8" w:color="auto"/>
            </w:tcBorders>
          </w:tcPr>
          <w:p>
            <w:pPr>
              <w:ind w:left="540"/>
              <w:spacing w:after="0"/>
              <w:rPr>
                <w:sz w:val="20"/>
                <w:szCs w:val="20"/>
                <w:color w:val="auto"/>
              </w:rPr>
            </w:pPr>
            <w:r>
              <w:rPr>
                <w:rFonts w:ascii="Arial" w:cs="Arial" w:eastAsia="Arial" w:hAnsi="Arial"/>
                <w:sz w:val="18"/>
                <w:szCs w:val="18"/>
                <w:color w:val="auto"/>
              </w:rPr>
              <w:t>bienfaisance.</w:t>
            </w:r>
          </w:p>
        </w:tc>
      </w:tr>
      <w:tr>
        <w:trPr>
          <w:trHeight w:val="54"/>
        </w:trPr>
        <w:tc>
          <w:tcPr>
            <w:tcW w:w="5540" w:type="dxa"/>
            <w:vAlign w:val="bottom"/>
            <w:tcBorders>
              <w:left w:val="single" w:sz="8" w:color="auto"/>
              <w:bottom w:val="single" w:sz="8" w:color="auto"/>
              <w:right w:val="single" w:sz="8" w:color="auto"/>
            </w:tcBorders>
            <w:gridSpan w:val="2"/>
          </w:tcPr>
          <w:p>
            <w:pPr>
              <w:spacing w:after="0"/>
              <w:rPr>
                <w:sz w:val="4"/>
                <w:szCs w:val="4"/>
                <w:color w:val="auto"/>
              </w:rPr>
            </w:pPr>
          </w:p>
        </w:tc>
        <w:tc>
          <w:tcPr>
            <w:tcW w:w="220" w:type="dxa"/>
            <w:vAlign w:val="bottom"/>
            <w:tcBorders>
              <w:bottom w:val="single" w:sz="8" w:color="auto"/>
              <w:right w:val="single" w:sz="8" w:color="auto"/>
            </w:tcBorders>
          </w:tcPr>
          <w:p>
            <w:pPr>
              <w:spacing w:after="0"/>
              <w:rPr>
                <w:sz w:val="4"/>
                <w:szCs w:val="4"/>
                <w:color w:val="auto"/>
              </w:rPr>
            </w:pPr>
          </w:p>
        </w:tc>
        <w:tc>
          <w:tcPr>
            <w:tcW w:w="5480" w:type="dxa"/>
            <w:vAlign w:val="bottom"/>
            <w:tcBorders>
              <w:bottom w:val="single" w:sz="8" w:color="auto"/>
              <w:right w:val="single" w:sz="8" w:color="auto"/>
            </w:tcBorders>
            <w:gridSpan w:val="2"/>
          </w:tcPr>
          <w:p>
            <w:pPr>
              <w:spacing w:after="0"/>
              <w:rPr>
                <w:sz w:val="4"/>
                <w:szCs w:val="4"/>
                <w:color w:val="auto"/>
              </w:rPr>
            </w:pPr>
          </w:p>
        </w:tc>
      </w:tr>
      <w:tr>
        <w:trPr>
          <w:trHeight w:val="277"/>
        </w:trPr>
        <w:tc>
          <w:tcPr>
            <w:tcW w:w="5540" w:type="dxa"/>
            <w:vAlign w:val="bottom"/>
            <w:tcBorders>
              <w:left w:val="single" w:sz="8" w:color="auto"/>
              <w:right w:val="single" w:sz="8" w:color="auto"/>
            </w:tcBorders>
            <w:gridSpan w:val="2"/>
          </w:tcPr>
          <w:p>
            <w:pPr>
              <w:ind w:left="100"/>
              <w:spacing w:after="0"/>
              <w:rPr>
                <w:sz w:val="20"/>
                <w:szCs w:val="20"/>
                <w:color w:val="auto"/>
              </w:rPr>
            </w:pPr>
            <w:r>
              <w:rPr>
                <w:rFonts w:ascii="Arial" w:cs="Arial" w:eastAsia="Arial" w:hAnsi="Arial"/>
                <w:sz w:val="18"/>
                <w:szCs w:val="18"/>
                <w:b w:val="1"/>
                <w:bCs w:val="1"/>
                <w:color w:val="auto"/>
              </w:rPr>
              <w:t>Art. 39 Loans and Credits</w:t>
            </w:r>
          </w:p>
        </w:tc>
        <w:tc>
          <w:tcPr>
            <w:tcW w:w="220" w:type="dxa"/>
            <w:vAlign w:val="bottom"/>
            <w:tcBorders>
              <w:right w:val="single" w:sz="8" w:color="auto"/>
            </w:tcBorders>
          </w:tcPr>
          <w:p>
            <w:pPr>
              <w:spacing w:after="0"/>
              <w:rPr>
                <w:sz w:val="24"/>
                <w:szCs w:val="24"/>
                <w:color w:val="auto"/>
              </w:rPr>
            </w:pPr>
          </w:p>
        </w:tc>
        <w:tc>
          <w:tcPr>
            <w:tcW w:w="5480" w:type="dxa"/>
            <w:vAlign w:val="bottom"/>
            <w:tcBorders>
              <w:right w:val="single" w:sz="8" w:color="auto"/>
            </w:tcBorders>
            <w:gridSpan w:val="2"/>
          </w:tcPr>
          <w:p>
            <w:pPr>
              <w:ind w:left="60"/>
              <w:spacing w:after="0"/>
              <w:rPr>
                <w:sz w:val="20"/>
                <w:szCs w:val="20"/>
                <w:color w:val="auto"/>
              </w:rPr>
            </w:pPr>
            <w:r>
              <w:rPr>
                <w:rFonts w:ascii="Arial" w:cs="Arial" w:eastAsia="Arial" w:hAnsi="Arial"/>
                <w:sz w:val="18"/>
                <w:szCs w:val="18"/>
                <w:b w:val="1"/>
                <w:bCs w:val="1"/>
                <w:color w:val="auto"/>
              </w:rPr>
              <w:t>Art. 39 Prêts et crédits</w:t>
            </w:r>
          </w:p>
        </w:tc>
      </w:tr>
      <w:tr>
        <w:trPr>
          <w:trHeight w:val="391"/>
        </w:trPr>
        <w:tc>
          <w:tcPr>
            <w:tcW w:w="5540" w:type="dxa"/>
            <w:vAlign w:val="bottom"/>
            <w:tcBorders>
              <w:left w:val="single" w:sz="8" w:color="auto"/>
              <w:right w:val="single" w:sz="8" w:color="auto"/>
            </w:tcBorders>
            <w:gridSpan w:val="2"/>
          </w:tcPr>
          <w:p>
            <w:pPr>
              <w:ind w:left="100"/>
              <w:spacing w:after="0"/>
              <w:rPr>
                <w:sz w:val="20"/>
                <w:szCs w:val="20"/>
                <w:color w:val="auto"/>
              </w:rPr>
            </w:pPr>
            <w:r>
              <w:rPr>
                <w:rFonts w:ascii="Arial" w:cs="Arial" w:eastAsia="Arial" w:hAnsi="Arial"/>
                <w:sz w:val="18"/>
                <w:szCs w:val="18"/>
                <w:color w:val="auto"/>
              </w:rPr>
              <w:t>The  members  of  the  Board  of  Directors  and  the  Executive</w:t>
            </w:r>
          </w:p>
        </w:tc>
        <w:tc>
          <w:tcPr>
            <w:tcW w:w="220" w:type="dxa"/>
            <w:vAlign w:val="bottom"/>
            <w:tcBorders>
              <w:right w:val="single" w:sz="8" w:color="auto"/>
            </w:tcBorders>
          </w:tcPr>
          <w:p>
            <w:pPr>
              <w:spacing w:after="0"/>
              <w:rPr>
                <w:sz w:val="24"/>
                <w:szCs w:val="24"/>
                <w:color w:val="auto"/>
              </w:rPr>
            </w:pPr>
          </w:p>
        </w:tc>
        <w:tc>
          <w:tcPr>
            <w:tcW w:w="5480" w:type="dxa"/>
            <w:vAlign w:val="bottom"/>
            <w:tcBorders>
              <w:right w:val="single" w:sz="8" w:color="auto"/>
            </w:tcBorders>
            <w:gridSpan w:val="2"/>
          </w:tcPr>
          <w:p>
            <w:pPr>
              <w:ind w:left="60"/>
              <w:spacing w:after="0"/>
              <w:rPr>
                <w:sz w:val="20"/>
                <w:szCs w:val="20"/>
                <w:color w:val="auto"/>
              </w:rPr>
            </w:pPr>
            <w:r>
              <w:rPr>
                <w:rFonts w:ascii="Arial" w:cs="Arial" w:eastAsia="Arial" w:hAnsi="Arial"/>
                <w:sz w:val="18"/>
                <w:szCs w:val="18"/>
                <w:color w:val="auto"/>
              </w:rPr>
              <w:t>Les membres du conseil d'administration et du comité exécutif ne</w:t>
            </w:r>
          </w:p>
        </w:tc>
      </w:tr>
      <w:tr>
        <w:trPr>
          <w:trHeight w:val="203"/>
        </w:trPr>
        <w:tc>
          <w:tcPr>
            <w:tcW w:w="5540" w:type="dxa"/>
            <w:vAlign w:val="bottom"/>
            <w:tcBorders>
              <w:left w:val="single" w:sz="8" w:color="auto"/>
              <w:right w:val="single" w:sz="8" w:color="auto"/>
            </w:tcBorders>
            <w:gridSpan w:val="2"/>
          </w:tcPr>
          <w:p>
            <w:pPr>
              <w:ind w:left="100"/>
              <w:spacing w:after="0" w:line="202" w:lineRule="exact"/>
              <w:rPr>
                <w:sz w:val="20"/>
                <w:szCs w:val="20"/>
                <w:color w:val="auto"/>
              </w:rPr>
            </w:pPr>
            <w:r>
              <w:rPr>
                <w:rFonts w:ascii="Arial" w:cs="Arial" w:eastAsia="Arial" w:hAnsi="Arial"/>
                <w:sz w:val="18"/>
                <w:szCs w:val="18"/>
                <w:color w:val="auto"/>
              </w:rPr>
              <w:t>Committee may not be granted any loans, credits or securities.</w:t>
            </w:r>
          </w:p>
        </w:tc>
        <w:tc>
          <w:tcPr>
            <w:tcW w:w="22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gridSpan w:val="2"/>
          </w:tcPr>
          <w:p>
            <w:pPr>
              <w:ind w:left="60"/>
              <w:spacing w:after="0" w:line="202" w:lineRule="exact"/>
              <w:rPr>
                <w:sz w:val="20"/>
                <w:szCs w:val="20"/>
                <w:color w:val="auto"/>
              </w:rPr>
            </w:pPr>
            <w:r>
              <w:rPr>
                <w:rFonts w:ascii="Arial" w:cs="Arial" w:eastAsia="Arial" w:hAnsi="Arial"/>
                <w:sz w:val="18"/>
                <w:szCs w:val="18"/>
                <w:color w:val="auto"/>
              </w:rPr>
              <w:t>peuvent pas souscrire des prêts, des crédits ou des titres. Sont</w:t>
            </w:r>
          </w:p>
        </w:tc>
      </w:tr>
      <w:tr>
        <w:trPr>
          <w:trHeight w:val="203"/>
        </w:trPr>
        <w:tc>
          <w:tcPr>
            <w:tcW w:w="5540" w:type="dxa"/>
            <w:vAlign w:val="bottom"/>
            <w:tcBorders>
              <w:left w:val="single" w:sz="8" w:color="auto"/>
              <w:right w:val="single" w:sz="8" w:color="auto"/>
            </w:tcBorders>
            <w:gridSpan w:val="2"/>
          </w:tcPr>
          <w:p>
            <w:pPr>
              <w:ind w:left="100"/>
              <w:spacing w:after="0" w:line="202" w:lineRule="exact"/>
              <w:rPr>
                <w:sz w:val="20"/>
                <w:szCs w:val="20"/>
                <w:color w:val="auto"/>
              </w:rPr>
            </w:pPr>
            <w:r>
              <w:rPr>
                <w:rFonts w:ascii="Arial" w:cs="Arial" w:eastAsia="Arial" w:hAnsi="Arial"/>
                <w:sz w:val="18"/>
                <w:szCs w:val="18"/>
                <w:color w:val="auto"/>
              </w:rPr>
              <w:t>Excepted from the above are advances in the maximum amount of</w:t>
            </w:r>
          </w:p>
        </w:tc>
        <w:tc>
          <w:tcPr>
            <w:tcW w:w="22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gridSpan w:val="2"/>
          </w:tcPr>
          <w:p>
            <w:pPr>
              <w:ind w:left="60"/>
              <w:spacing w:after="0" w:line="202" w:lineRule="exact"/>
              <w:rPr>
                <w:sz w:val="20"/>
                <w:szCs w:val="20"/>
                <w:color w:val="auto"/>
              </w:rPr>
            </w:pPr>
            <w:r>
              <w:rPr>
                <w:rFonts w:ascii="Arial" w:cs="Arial" w:eastAsia="Arial" w:hAnsi="Arial"/>
                <w:sz w:val="18"/>
                <w:szCs w:val="18"/>
                <w:color w:val="auto"/>
              </w:rPr>
              <w:t>exceptées les avances d'un montant maximum de CHF 500'000</w:t>
            </w:r>
          </w:p>
        </w:tc>
      </w:tr>
      <w:tr>
        <w:trPr>
          <w:trHeight w:val="203"/>
        </w:trPr>
        <w:tc>
          <w:tcPr>
            <w:tcW w:w="5540" w:type="dxa"/>
            <w:vAlign w:val="bottom"/>
            <w:tcBorders>
              <w:left w:val="single" w:sz="8" w:color="auto"/>
              <w:right w:val="single" w:sz="8" w:color="auto"/>
            </w:tcBorders>
            <w:gridSpan w:val="2"/>
          </w:tcPr>
          <w:p>
            <w:pPr>
              <w:ind w:left="100"/>
              <w:spacing w:after="0" w:line="202" w:lineRule="exact"/>
              <w:rPr>
                <w:sz w:val="20"/>
                <w:szCs w:val="20"/>
                <w:color w:val="auto"/>
              </w:rPr>
            </w:pPr>
            <w:r>
              <w:rPr>
                <w:rFonts w:ascii="Arial" w:cs="Arial" w:eastAsia="Arial" w:hAnsi="Arial"/>
                <w:sz w:val="18"/>
                <w:szCs w:val="18"/>
                <w:color w:val="auto"/>
              </w:rPr>
              <w:t>CHF 500'000 per person for attorneys' fees, court and other similar</w:t>
            </w:r>
          </w:p>
        </w:tc>
        <w:tc>
          <w:tcPr>
            <w:tcW w:w="22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gridSpan w:val="2"/>
          </w:tcPr>
          <w:p>
            <w:pPr>
              <w:ind w:left="60"/>
              <w:spacing w:after="0" w:line="202" w:lineRule="exact"/>
              <w:rPr>
                <w:sz w:val="20"/>
                <w:szCs w:val="20"/>
                <w:color w:val="auto"/>
              </w:rPr>
            </w:pPr>
            <w:r>
              <w:rPr>
                <w:rFonts w:ascii="Arial" w:cs="Arial" w:eastAsia="Arial" w:hAnsi="Arial"/>
                <w:sz w:val="18"/>
                <w:szCs w:val="18"/>
                <w:color w:val="auto"/>
              </w:rPr>
              <w:t>par personne pour les frais d'avocat, des coûts de tribunaux et</w:t>
            </w:r>
          </w:p>
        </w:tc>
      </w:tr>
      <w:tr>
        <w:trPr>
          <w:trHeight w:val="203"/>
        </w:trPr>
        <w:tc>
          <w:tcPr>
            <w:tcW w:w="5540" w:type="dxa"/>
            <w:vAlign w:val="bottom"/>
            <w:tcBorders>
              <w:left w:val="single" w:sz="8" w:color="auto"/>
              <w:right w:val="single" w:sz="8" w:color="auto"/>
            </w:tcBorders>
            <w:gridSpan w:val="2"/>
          </w:tcPr>
          <w:p>
            <w:pPr>
              <w:ind w:left="100"/>
              <w:spacing w:after="0" w:line="202" w:lineRule="exact"/>
              <w:rPr>
                <w:sz w:val="20"/>
                <w:szCs w:val="20"/>
                <w:color w:val="auto"/>
              </w:rPr>
            </w:pPr>
            <w:r>
              <w:rPr>
                <w:rFonts w:ascii="Arial" w:cs="Arial" w:eastAsia="Arial" w:hAnsi="Arial"/>
                <w:sz w:val="18"/>
                <w:szCs w:val="18"/>
                <w:color w:val="auto"/>
              </w:rPr>
              <w:t>costs  required  for  the  defence  of  third-party  liability  claims</w:t>
            </w:r>
          </w:p>
        </w:tc>
        <w:tc>
          <w:tcPr>
            <w:tcW w:w="22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gridSpan w:val="2"/>
          </w:tcPr>
          <w:p>
            <w:pPr>
              <w:ind w:left="60"/>
              <w:spacing w:after="0" w:line="202" w:lineRule="exact"/>
              <w:rPr>
                <w:sz w:val="20"/>
                <w:szCs w:val="20"/>
                <w:color w:val="auto"/>
              </w:rPr>
            </w:pPr>
            <w:r>
              <w:rPr>
                <w:rFonts w:ascii="Arial" w:cs="Arial" w:eastAsia="Arial" w:hAnsi="Arial"/>
                <w:sz w:val="18"/>
                <w:szCs w:val="18"/>
                <w:color w:val="auto"/>
              </w:rPr>
              <w:t>d'autres coûts similaires nécessaires à la défense contre des</w:t>
            </w:r>
          </w:p>
        </w:tc>
      </w:tr>
      <w:tr>
        <w:trPr>
          <w:trHeight w:val="217"/>
        </w:trPr>
        <w:tc>
          <w:tcPr>
            <w:tcW w:w="5540" w:type="dxa"/>
            <w:vAlign w:val="bottom"/>
            <w:tcBorders>
              <w:left w:val="single" w:sz="8" w:color="auto"/>
              <w:right w:val="single" w:sz="8" w:color="auto"/>
            </w:tcBorders>
            <w:gridSpan w:val="2"/>
          </w:tcPr>
          <w:p>
            <w:pPr>
              <w:ind w:left="100"/>
              <w:spacing w:after="0"/>
              <w:rPr>
                <w:sz w:val="20"/>
                <w:szCs w:val="20"/>
                <w:color w:val="auto"/>
              </w:rPr>
            </w:pPr>
            <w:r>
              <w:rPr>
                <w:rFonts w:ascii="Arial" w:cs="Arial" w:eastAsia="Arial" w:hAnsi="Arial"/>
                <w:sz w:val="18"/>
                <w:szCs w:val="18"/>
                <w:color w:val="auto"/>
              </w:rPr>
              <w:t>permitted by Article 29.</w:t>
            </w:r>
          </w:p>
        </w:tc>
        <w:tc>
          <w:tcPr>
            <w:tcW w:w="220" w:type="dxa"/>
            <w:vAlign w:val="bottom"/>
            <w:tcBorders>
              <w:right w:val="single" w:sz="8" w:color="auto"/>
            </w:tcBorders>
          </w:tcPr>
          <w:p>
            <w:pPr>
              <w:spacing w:after="0"/>
              <w:rPr>
                <w:sz w:val="18"/>
                <w:szCs w:val="18"/>
                <w:color w:val="auto"/>
              </w:rPr>
            </w:pPr>
          </w:p>
        </w:tc>
        <w:tc>
          <w:tcPr>
            <w:tcW w:w="5480" w:type="dxa"/>
            <w:vAlign w:val="bottom"/>
            <w:tcBorders>
              <w:right w:val="single" w:sz="8" w:color="auto"/>
            </w:tcBorders>
            <w:gridSpan w:val="2"/>
          </w:tcPr>
          <w:p>
            <w:pPr>
              <w:ind w:left="60"/>
              <w:spacing w:after="0"/>
              <w:rPr>
                <w:sz w:val="20"/>
                <w:szCs w:val="20"/>
                <w:color w:val="auto"/>
              </w:rPr>
            </w:pPr>
            <w:r>
              <w:rPr>
                <w:rFonts w:ascii="Arial" w:cs="Arial" w:eastAsia="Arial" w:hAnsi="Arial"/>
                <w:sz w:val="18"/>
                <w:szCs w:val="18"/>
                <w:color w:val="auto"/>
              </w:rPr>
              <w:t>actions en responsabilité civile autorisés par l'article 29.</w:t>
            </w:r>
          </w:p>
        </w:tc>
      </w:tr>
      <w:tr>
        <w:trPr>
          <w:trHeight w:val="54"/>
        </w:trPr>
        <w:tc>
          <w:tcPr>
            <w:tcW w:w="5540" w:type="dxa"/>
            <w:vAlign w:val="bottom"/>
            <w:tcBorders>
              <w:left w:val="single" w:sz="8" w:color="auto"/>
              <w:bottom w:val="single" w:sz="8" w:color="auto"/>
              <w:right w:val="single" w:sz="8" w:color="auto"/>
            </w:tcBorders>
            <w:gridSpan w:val="2"/>
          </w:tcPr>
          <w:p>
            <w:pPr>
              <w:spacing w:after="0"/>
              <w:rPr>
                <w:sz w:val="4"/>
                <w:szCs w:val="4"/>
                <w:color w:val="auto"/>
              </w:rPr>
            </w:pPr>
          </w:p>
        </w:tc>
        <w:tc>
          <w:tcPr>
            <w:tcW w:w="220" w:type="dxa"/>
            <w:vAlign w:val="bottom"/>
            <w:tcBorders>
              <w:bottom w:val="single" w:sz="8" w:color="auto"/>
              <w:right w:val="single" w:sz="8" w:color="auto"/>
            </w:tcBorders>
          </w:tcPr>
          <w:p>
            <w:pPr>
              <w:spacing w:after="0"/>
              <w:rPr>
                <w:sz w:val="4"/>
                <w:szCs w:val="4"/>
                <w:color w:val="auto"/>
              </w:rPr>
            </w:pPr>
          </w:p>
        </w:tc>
        <w:tc>
          <w:tcPr>
            <w:tcW w:w="5480" w:type="dxa"/>
            <w:vAlign w:val="bottom"/>
            <w:tcBorders>
              <w:bottom w:val="single" w:sz="8" w:color="auto"/>
              <w:right w:val="single" w:sz="8" w:color="auto"/>
            </w:tcBorders>
            <w:gridSpan w:val="2"/>
          </w:tcPr>
          <w:p>
            <w:pPr>
              <w:spacing w:after="0"/>
              <w:rPr>
                <w:sz w:val="4"/>
                <w:szCs w:val="4"/>
                <w:color w:val="auto"/>
              </w:rPr>
            </w:pPr>
          </w:p>
        </w:tc>
      </w:tr>
      <w:tr>
        <w:trPr>
          <w:trHeight w:val="277"/>
        </w:trPr>
        <w:tc>
          <w:tcPr>
            <w:tcW w:w="5540" w:type="dxa"/>
            <w:vAlign w:val="bottom"/>
            <w:tcBorders>
              <w:left w:val="single" w:sz="8" w:color="auto"/>
              <w:right w:val="single" w:sz="8" w:color="auto"/>
            </w:tcBorders>
            <w:gridSpan w:val="2"/>
          </w:tcPr>
          <w:p>
            <w:pPr>
              <w:ind w:left="100"/>
              <w:spacing w:after="0"/>
              <w:rPr>
                <w:sz w:val="20"/>
                <w:szCs w:val="20"/>
                <w:color w:val="auto"/>
              </w:rPr>
            </w:pPr>
            <w:r>
              <w:rPr>
                <w:rFonts w:ascii="Arial" w:cs="Arial" w:eastAsia="Arial" w:hAnsi="Arial"/>
                <w:sz w:val="18"/>
                <w:szCs w:val="18"/>
                <w:b w:val="1"/>
                <w:bCs w:val="1"/>
                <w:color w:val="auto"/>
              </w:rPr>
              <w:t>Art. 40 Pension Funds</w:t>
            </w:r>
          </w:p>
        </w:tc>
        <w:tc>
          <w:tcPr>
            <w:tcW w:w="220" w:type="dxa"/>
            <w:vAlign w:val="bottom"/>
            <w:tcBorders>
              <w:right w:val="single" w:sz="8" w:color="auto"/>
            </w:tcBorders>
          </w:tcPr>
          <w:p>
            <w:pPr>
              <w:spacing w:after="0"/>
              <w:rPr>
                <w:sz w:val="24"/>
                <w:szCs w:val="24"/>
                <w:color w:val="auto"/>
              </w:rPr>
            </w:pPr>
          </w:p>
        </w:tc>
        <w:tc>
          <w:tcPr>
            <w:tcW w:w="5480" w:type="dxa"/>
            <w:vAlign w:val="bottom"/>
            <w:tcBorders>
              <w:right w:val="single" w:sz="8" w:color="auto"/>
            </w:tcBorders>
            <w:gridSpan w:val="2"/>
          </w:tcPr>
          <w:p>
            <w:pPr>
              <w:ind w:left="60"/>
              <w:spacing w:after="0"/>
              <w:rPr>
                <w:sz w:val="20"/>
                <w:szCs w:val="20"/>
                <w:color w:val="auto"/>
              </w:rPr>
            </w:pPr>
            <w:r>
              <w:rPr>
                <w:rFonts w:ascii="Arial" w:cs="Arial" w:eastAsia="Arial" w:hAnsi="Arial"/>
                <w:sz w:val="18"/>
                <w:szCs w:val="18"/>
                <w:b w:val="1"/>
                <w:bCs w:val="1"/>
                <w:color w:val="auto"/>
              </w:rPr>
              <w:t>Art. 40 Fonds de pension</w:t>
            </w:r>
          </w:p>
        </w:tc>
      </w:tr>
      <w:tr>
        <w:trPr>
          <w:trHeight w:val="391"/>
        </w:trPr>
        <w:tc>
          <w:tcPr>
            <w:tcW w:w="5540" w:type="dxa"/>
            <w:vAlign w:val="bottom"/>
            <w:tcBorders>
              <w:left w:val="single" w:sz="8" w:color="auto"/>
              <w:right w:val="single" w:sz="8" w:color="auto"/>
            </w:tcBorders>
            <w:gridSpan w:val="2"/>
          </w:tcPr>
          <w:p>
            <w:pPr>
              <w:ind w:left="100"/>
              <w:spacing w:after="0"/>
              <w:rPr>
                <w:sz w:val="20"/>
                <w:szCs w:val="20"/>
                <w:color w:val="auto"/>
              </w:rPr>
            </w:pPr>
            <w:r>
              <w:rPr>
                <w:rFonts w:ascii="Arial" w:cs="Arial" w:eastAsia="Arial" w:hAnsi="Arial"/>
                <w:sz w:val="18"/>
                <w:szCs w:val="18"/>
                <w:color w:val="auto"/>
              </w:rPr>
              <w:t>The Company shall remunerate members of the Board of Directors</w:t>
            </w:r>
          </w:p>
        </w:tc>
        <w:tc>
          <w:tcPr>
            <w:tcW w:w="220" w:type="dxa"/>
            <w:vAlign w:val="bottom"/>
            <w:tcBorders>
              <w:right w:val="single" w:sz="8" w:color="auto"/>
            </w:tcBorders>
          </w:tcPr>
          <w:p>
            <w:pPr>
              <w:spacing w:after="0"/>
              <w:rPr>
                <w:sz w:val="24"/>
                <w:szCs w:val="24"/>
                <w:color w:val="auto"/>
              </w:rPr>
            </w:pPr>
          </w:p>
        </w:tc>
        <w:tc>
          <w:tcPr>
            <w:tcW w:w="5480" w:type="dxa"/>
            <w:vAlign w:val="bottom"/>
            <w:tcBorders>
              <w:right w:val="single" w:sz="8" w:color="auto"/>
            </w:tcBorders>
            <w:gridSpan w:val="2"/>
          </w:tcPr>
          <w:p>
            <w:pPr>
              <w:ind w:left="60"/>
              <w:spacing w:after="0"/>
              <w:rPr>
                <w:sz w:val="20"/>
                <w:szCs w:val="20"/>
                <w:color w:val="auto"/>
              </w:rPr>
            </w:pPr>
            <w:r>
              <w:rPr>
                <w:rFonts w:ascii="Arial" w:cs="Arial" w:eastAsia="Arial" w:hAnsi="Arial"/>
                <w:sz w:val="18"/>
                <w:szCs w:val="18"/>
                <w:color w:val="auto"/>
              </w:rPr>
              <w:t>La  société  ne  doit  rémunérer  les  membres  du  conseil</w:t>
            </w:r>
          </w:p>
        </w:tc>
      </w:tr>
      <w:tr>
        <w:trPr>
          <w:trHeight w:val="203"/>
        </w:trPr>
        <w:tc>
          <w:tcPr>
            <w:tcW w:w="5540" w:type="dxa"/>
            <w:vAlign w:val="bottom"/>
            <w:tcBorders>
              <w:left w:val="single" w:sz="8" w:color="auto"/>
              <w:right w:val="single" w:sz="8" w:color="auto"/>
            </w:tcBorders>
            <w:gridSpan w:val="2"/>
          </w:tcPr>
          <w:p>
            <w:pPr>
              <w:ind w:left="100"/>
              <w:spacing w:after="0" w:line="202" w:lineRule="exact"/>
              <w:rPr>
                <w:sz w:val="20"/>
                <w:szCs w:val="20"/>
                <w:color w:val="auto"/>
              </w:rPr>
            </w:pPr>
            <w:r>
              <w:rPr>
                <w:rFonts w:ascii="Arial" w:cs="Arial" w:eastAsia="Arial" w:hAnsi="Arial"/>
                <w:sz w:val="18"/>
                <w:szCs w:val="18"/>
                <w:color w:val="auto"/>
              </w:rPr>
              <w:t>only in respect of the employer's mandatory contributions to social</w:t>
            </w:r>
          </w:p>
        </w:tc>
        <w:tc>
          <w:tcPr>
            <w:tcW w:w="22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gridSpan w:val="2"/>
          </w:tcPr>
          <w:p>
            <w:pPr>
              <w:ind w:left="60"/>
              <w:spacing w:after="0" w:line="202" w:lineRule="exact"/>
              <w:rPr>
                <w:sz w:val="20"/>
                <w:szCs w:val="20"/>
                <w:color w:val="auto"/>
              </w:rPr>
            </w:pPr>
            <w:r>
              <w:rPr>
                <w:rFonts w:ascii="Arial" w:cs="Arial" w:eastAsia="Arial" w:hAnsi="Arial"/>
                <w:sz w:val="18"/>
                <w:szCs w:val="18"/>
                <w:color w:val="auto"/>
              </w:rPr>
              <w:t>d'administration  que  du  montant  dû  au  titre  de  contributions</w:t>
            </w:r>
          </w:p>
        </w:tc>
      </w:tr>
      <w:tr>
        <w:trPr>
          <w:trHeight w:val="203"/>
        </w:trPr>
        <w:tc>
          <w:tcPr>
            <w:tcW w:w="5540" w:type="dxa"/>
            <w:vAlign w:val="bottom"/>
            <w:tcBorders>
              <w:left w:val="single" w:sz="8" w:color="auto"/>
              <w:right w:val="single" w:sz="8" w:color="auto"/>
            </w:tcBorders>
            <w:gridSpan w:val="2"/>
          </w:tcPr>
          <w:p>
            <w:pPr>
              <w:ind w:left="100"/>
              <w:spacing w:after="0" w:line="202" w:lineRule="exact"/>
              <w:rPr>
                <w:sz w:val="20"/>
                <w:szCs w:val="20"/>
                <w:color w:val="auto"/>
              </w:rPr>
            </w:pPr>
            <w:r>
              <w:rPr>
                <w:rFonts w:ascii="Arial" w:cs="Arial" w:eastAsia="Arial" w:hAnsi="Arial"/>
                <w:sz w:val="18"/>
                <w:szCs w:val="18"/>
                <w:color w:val="auto"/>
              </w:rPr>
              <w:t>insurance. Above and beyond this, the Company shall not make</w:t>
            </w:r>
          </w:p>
        </w:tc>
        <w:tc>
          <w:tcPr>
            <w:tcW w:w="22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gridSpan w:val="2"/>
          </w:tcPr>
          <w:p>
            <w:pPr>
              <w:ind w:left="60"/>
              <w:spacing w:after="0" w:line="202" w:lineRule="exact"/>
              <w:rPr>
                <w:sz w:val="20"/>
                <w:szCs w:val="20"/>
                <w:color w:val="auto"/>
              </w:rPr>
            </w:pPr>
            <w:r>
              <w:rPr>
                <w:rFonts w:ascii="Arial" w:cs="Arial" w:eastAsia="Arial" w:hAnsi="Arial"/>
                <w:sz w:val="18"/>
                <w:szCs w:val="18"/>
                <w:color w:val="auto"/>
              </w:rPr>
              <w:t>obligatoire de l'employeur à l'assurance sociale. Au-delà de ce</w:t>
            </w:r>
          </w:p>
        </w:tc>
      </w:tr>
      <w:tr>
        <w:trPr>
          <w:trHeight w:val="217"/>
        </w:trPr>
        <w:tc>
          <w:tcPr>
            <w:tcW w:w="5540" w:type="dxa"/>
            <w:vAlign w:val="bottom"/>
            <w:tcBorders>
              <w:left w:val="single" w:sz="8" w:color="auto"/>
              <w:right w:val="single" w:sz="8" w:color="auto"/>
            </w:tcBorders>
            <w:gridSpan w:val="2"/>
          </w:tcPr>
          <w:p>
            <w:pPr>
              <w:ind w:left="100"/>
              <w:spacing w:after="0"/>
              <w:rPr>
                <w:sz w:val="20"/>
                <w:szCs w:val="20"/>
                <w:color w:val="auto"/>
              </w:rPr>
            </w:pPr>
            <w:r>
              <w:rPr>
                <w:rFonts w:ascii="Arial" w:cs="Arial" w:eastAsia="Arial" w:hAnsi="Arial"/>
                <w:sz w:val="18"/>
                <w:szCs w:val="18"/>
                <w:color w:val="auto"/>
              </w:rPr>
              <w:t>any contributions to</w:t>
            </w:r>
          </w:p>
        </w:tc>
        <w:tc>
          <w:tcPr>
            <w:tcW w:w="220" w:type="dxa"/>
            <w:vAlign w:val="bottom"/>
            <w:tcBorders>
              <w:right w:val="single" w:sz="8" w:color="auto"/>
            </w:tcBorders>
          </w:tcPr>
          <w:p>
            <w:pPr>
              <w:spacing w:after="0"/>
              <w:rPr>
                <w:sz w:val="18"/>
                <w:szCs w:val="18"/>
                <w:color w:val="auto"/>
              </w:rPr>
            </w:pPr>
          </w:p>
        </w:tc>
        <w:tc>
          <w:tcPr>
            <w:tcW w:w="5480" w:type="dxa"/>
            <w:vAlign w:val="bottom"/>
            <w:tcBorders>
              <w:right w:val="single" w:sz="8" w:color="auto"/>
            </w:tcBorders>
            <w:gridSpan w:val="2"/>
          </w:tcPr>
          <w:p>
            <w:pPr>
              <w:ind w:left="60"/>
              <w:spacing w:after="0"/>
              <w:rPr>
                <w:sz w:val="20"/>
                <w:szCs w:val="20"/>
                <w:color w:val="auto"/>
              </w:rPr>
            </w:pPr>
            <w:r>
              <w:rPr>
                <w:rFonts w:ascii="Arial" w:cs="Arial" w:eastAsia="Arial" w:hAnsi="Arial"/>
                <w:sz w:val="18"/>
                <w:szCs w:val="18"/>
                <w:color w:val="auto"/>
              </w:rPr>
              <w:t>montant, la société ne doit pas verser de</w:t>
            </w:r>
          </w:p>
        </w:tc>
      </w:tr>
      <w:tr>
        <w:trPr>
          <w:trHeight w:val="54"/>
        </w:trPr>
        <w:tc>
          <w:tcPr>
            <w:tcW w:w="360" w:type="dxa"/>
            <w:vAlign w:val="bottom"/>
            <w:tcBorders>
              <w:left w:val="single" w:sz="8" w:color="auto"/>
              <w:bottom w:val="single" w:sz="8" w:color="auto"/>
            </w:tcBorders>
          </w:tcPr>
          <w:p>
            <w:pPr>
              <w:spacing w:after="0"/>
              <w:rPr>
                <w:sz w:val="4"/>
                <w:szCs w:val="4"/>
                <w:color w:val="auto"/>
              </w:rPr>
            </w:pPr>
          </w:p>
        </w:tc>
        <w:tc>
          <w:tcPr>
            <w:tcW w:w="5180" w:type="dxa"/>
            <w:vAlign w:val="bottom"/>
            <w:tcBorders>
              <w:bottom w:val="single" w:sz="8" w:color="auto"/>
              <w:right w:val="single" w:sz="8" w:color="auto"/>
            </w:tcBorders>
          </w:tcPr>
          <w:p>
            <w:pPr>
              <w:spacing w:after="0"/>
              <w:rPr>
                <w:sz w:val="4"/>
                <w:szCs w:val="4"/>
                <w:color w:val="auto"/>
              </w:rPr>
            </w:pPr>
          </w:p>
        </w:tc>
        <w:tc>
          <w:tcPr>
            <w:tcW w:w="220" w:type="dxa"/>
            <w:vAlign w:val="bottom"/>
            <w:tcBorders>
              <w:bottom w:val="single" w:sz="8" w:color="auto"/>
              <w:right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5120" w:type="dxa"/>
            <w:vAlign w:val="bottom"/>
            <w:tcBorders>
              <w:bottom w:val="single" w:sz="8" w:color="auto"/>
              <w:right w:val="single" w:sz="8" w:color="auto"/>
            </w:tcBorders>
          </w:tcPr>
          <w:p>
            <w:pPr>
              <w:spacing w:after="0"/>
              <w:rPr>
                <w:sz w:val="4"/>
                <w:szCs w:val="4"/>
                <w:color w:val="auto"/>
              </w:rPr>
            </w:pPr>
          </w:p>
        </w:tc>
      </w:tr>
      <w:tr>
        <w:trPr>
          <w:trHeight w:val="452"/>
        </w:trPr>
        <w:tc>
          <w:tcPr>
            <w:tcW w:w="360" w:type="dxa"/>
            <w:vAlign w:val="bottom"/>
            <w:tcBorders>
              <w:bottom w:val="single" w:sz="8" w:color="auto"/>
            </w:tcBorders>
          </w:tcPr>
          <w:p>
            <w:pPr>
              <w:spacing w:after="0"/>
              <w:rPr>
                <w:sz w:val="24"/>
                <w:szCs w:val="24"/>
                <w:color w:val="auto"/>
              </w:rPr>
            </w:pPr>
          </w:p>
        </w:tc>
        <w:tc>
          <w:tcPr>
            <w:tcW w:w="51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51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249" w:right="339" w:bottom="1440" w:gutter="0" w:footer="0" w:header="0"/>
        </w:sectPr>
      </w:pPr>
    </w:p>
    <w:bookmarkStart w:id="68" w:name="page69"/>
    <w:bookmarkEnd w:id="68"/>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187"/>
        </w:trPr>
        <w:tc>
          <w:tcPr>
            <w:tcW w:w="554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5480" w:type="dxa"/>
            <w:vAlign w:val="bottom"/>
            <w:tcBorders>
              <w:bottom w:val="single" w:sz="8" w:color="auto"/>
            </w:tcBorders>
          </w:tcPr>
          <w:p>
            <w:pPr>
              <w:ind w:left="5260"/>
              <w:spacing w:after="0"/>
              <w:rPr>
                <w:sz w:val="20"/>
                <w:szCs w:val="20"/>
                <w:color w:val="auto"/>
              </w:rPr>
            </w:pPr>
            <w:r>
              <w:rPr>
                <w:rFonts w:ascii="Arial" w:cs="Arial" w:eastAsia="Arial" w:hAnsi="Arial"/>
                <w:sz w:val="16"/>
                <w:szCs w:val="16"/>
                <w:color w:val="auto"/>
              </w:rPr>
              <w:t>30</w:t>
            </w:r>
          </w:p>
        </w:tc>
      </w:tr>
      <w:tr>
        <w:trPr>
          <w:trHeight w:val="263"/>
        </w:trPr>
        <w:tc>
          <w:tcPr>
            <w:tcW w:w="554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pension funds or other such pension plans. In exceptional cases,</w:t>
            </w:r>
          </w:p>
        </w:tc>
        <w:tc>
          <w:tcPr>
            <w:tcW w:w="220" w:type="dxa"/>
            <w:vAlign w:val="bottom"/>
            <w:tcBorders>
              <w:right w:val="single" w:sz="8" w:color="auto"/>
            </w:tcBorders>
          </w:tcPr>
          <w:p>
            <w:pPr>
              <w:spacing w:after="0"/>
              <w:rPr>
                <w:sz w:val="22"/>
                <w:szCs w:val="22"/>
                <w:color w:val="auto"/>
              </w:rPr>
            </w:pPr>
          </w:p>
        </w:tc>
        <w:tc>
          <w:tcPr>
            <w:tcW w:w="548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cotisations à des institutions de prévoyance ou à d'autres régimes</w:t>
            </w:r>
          </w:p>
        </w:tc>
      </w:tr>
      <w:tr>
        <w:trPr>
          <w:trHeight w:val="203"/>
        </w:trPr>
        <w:tc>
          <w:tcPr>
            <w:tcW w:w="5540" w:type="dxa"/>
            <w:vAlign w:val="bottom"/>
            <w:tcBorders>
              <w:left w:val="single" w:sz="8" w:color="auto"/>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contributions such as these may be made subject to a request by</w:t>
            </w:r>
          </w:p>
        </w:tc>
        <w:tc>
          <w:tcPr>
            <w:tcW w:w="22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de retraite. Dans des cas exceptionnels, des contributions comme</w:t>
            </w:r>
          </w:p>
        </w:tc>
      </w:tr>
      <w:tr>
        <w:trPr>
          <w:trHeight w:val="203"/>
        </w:trPr>
        <w:tc>
          <w:tcPr>
            <w:tcW w:w="5540" w:type="dxa"/>
            <w:vAlign w:val="bottom"/>
            <w:tcBorders>
              <w:left w:val="single" w:sz="8" w:color="auto"/>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the Compensation Committee and the approval of the General</w:t>
            </w:r>
          </w:p>
        </w:tc>
        <w:tc>
          <w:tcPr>
            <w:tcW w:w="22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celles-ci  peuvent  être  faites  sur  demande  au  comité  de</w:t>
            </w:r>
          </w:p>
        </w:tc>
      </w:tr>
      <w:tr>
        <w:trPr>
          <w:trHeight w:val="203"/>
        </w:trPr>
        <w:tc>
          <w:tcPr>
            <w:tcW w:w="5540" w:type="dxa"/>
            <w:vAlign w:val="bottom"/>
            <w:tcBorders>
              <w:left w:val="single" w:sz="8" w:color="auto"/>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Meeting.</w:t>
            </w:r>
          </w:p>
        </w:tc>
        <w:tc>
          <w:tcPr>
            <w:tcW w:w="22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rémunération et sous réserve de l'approbation de l'assemblée</w:t>
            </w:r>
          </w:p>
        </w:tc>
      </w:tr>
      <w:tr>
        <w:trPr>
          <w:trHeight w:val="217"/>
        </w:trPr>
        <w:tc>
          <w:tcPr>
            <w:tcW w:w="5540" w:type="dxa"/>
            <w:vAlign w:val="bottom"/>
            <w:tcBorders>
              <w:left w:val="single" w:sz="8" w:color="auto"/>
              <w:right w:val="single" w:sz="8" w:color="auto"/>
            </w:tcBorders>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548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générale.</w:t>
            </w:r>
          </w:p>
        </w:tc>
      </w:tr>
      <w:tr>
        <w:trPr>
          <w:trHeight w:val="54"/>
        </w:trPr>
        <w:tc>
          <w:tcPr>
            <w:tcW w:w="5540" w:type="dxa"/>
            <w:vAlign w:val="bottom"/>
            <w:tcBorders>
              <w:left w:val="single" w:sz="8" w:color="auto"/>
              <w:bottom w:val="single" w:sz="8" w:color="auto"/>
              <w:right w:val="single" w:sz="8" w:color="auto"/>
            </w:tcBorders>
          </w:tcPr>
          <w:p>
            <w:pPr>
              <w:spacing w:after="0"/>
              <w:rPr>
                <w:sz w:val="4"/>
                <w:szCs w:val="4"/>
                <w:color w:val="auto"/>
              </w:rPr>
            </w:pPr>
          </w:p>
        </w:tc>
        <w:tc>
          <w:tcPr>
            <w:tcW w:w="220" w:type="dxa"/>
            <w:vAlign w:val="bottom"/>
            <w:tcBorders>
              <w:bottom w:val="single" w:sz="8" w:color="auto"/>
              <w:right w:val="single" w:sz="8" w:color="auto"/>
            </w:tcBorders>
          </w:tcPr>
          <w:p>
            <w:pPr>
              <w:spacing w:after="0"/>
              <w:rPr>
                <w:sz w:val="4"/>
                <w:szCs w:val="4"/>
                <w:color w:val="auto"/>
              </w:rPr>
            </w:pPr>
          </w:p>
        </w:tc>
        <w:tc>
          <w:tcPr>
            <w:tcW w:w="5480" w:type="dxa"/>
            <w:vAlign w:val="bottom"/>
            <w:tcBorders>
              <w:bottom w:val="single" w:sz="8" w:color="auto"/>
              <w:right w:val="single" w:sz="8" w:color="auto"/>
            </w:tcBorders>
          </w:tcPr>
          <w:p>
            <w:pPr>
              <w:spacing w:after="0"/>
              <w:rPr>
                <w:sz w:val="4"/>
                <w:szCs w:val="4"/>
                <w:color w:val="auto"/>
              </w:rPr>
            </w:pPr>
          </w:p>
        </w:tc>
      </w:tr>
      <w:tr>
        <w:trPr>
          <w:trHeight w:val="263"/>
        </w:trPr>
        <w:tc>
          <w:tcPr>
            <w:tcW w:w="554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Members of the Executive Committee participate in the Company's</w:t>
            </w:r>
          </w:p>
        </w:tc>
        <w:tc>
          <w:tcPr>
            <w:tcW w:w="220" w:type="dxa"/>
            <w:vAlign w:val="bottom"/>
            <w:tcBorders>
              <w:right w:val="single" w:sz="8" w:color="auto"/>
            </w:tcBorders>
          </w:tcPr>
          <w:p>
            <w:pPr>
              <w:spacing w:after="0"/>
              <w:rPr>
                <w:sz w:val="22"/>
                <w:szCs w:val="22"/>
                <w:color w:val="auto"/>
              </w:rPr>
            </w:pPr>
          </w:p>
        </w:tc>
        <w:tc>
          <w:tcPr>
            <w:tcW w:w="548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Les  membres  du  comité  exécutif  participent  aux  régimes  de</w:t>
            </w:r>
          </w:p>
        </w:tc>
      </w:tr>
      <w:tr>
        <w:trPr>
          <w:trHeight w:val="203"/>
        </w:trPr>
        <w:tc>
          <w:tcPr>
            <w:tcW w:w="5540" w:type="dxa"/>
            <w:vAlign w:val="bottom"/>
            <w:tcBorders>
              <w:left w:val="single" w:sz="8" w:color="auto"/>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pension plans (the Company's pension fund and the management</w:t>
            </w:r>
          </w:p>
        </w:tc>
        <w:tc>
          <w:tcPr>
            <w:tcW w:w="22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retraite de la société (le fond de pension de la société et le régime</w:t>
            </w:r>
          </w:p>
        </w:tc>
      </w:tr>
      <w:tr>
        <w:trPr>
          <w:trHeight w:val="203"/>
        </w:trPr>
        <w:tc>
          <w:tcPr>
            <w:tcW w:w="5540" w:type="dxa"/>
            <w:vAlign w:val="bottom"/>
            <w:tcBorders>
              <w:left w:val="single" w:sz="8" w:color="auto"/>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pension  plan).  The  pension  plans  conform  to  the  legal</w:t>
            </w:r>
          </w:p>
        </w:tc>
        <w:tc>
          <w:tcPr>
            <w:tcW w:w="22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de  retraite  du  management).  Les  régimes  de  retraite  sont</w:t>
            </w:r>
          </w:p>
        </w:tc>
      </w:tr>
      <w:tr>
        <w:trPr>
          <w:trHeight w:val="203"/>
        </w:trPr>
        <w:tc>
          <w:tcPr>
            <w:tcW w:w="5540" w:type="dxa"/>
            <w:vAlign w:val="bottom"/>
            <w:tcBorders>
              <w:left w:val="single" w:sz="8" w:color="auto"/>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requirements.  For  members  of  the  Executive  Committee,  the</w:t>
            </w:r>
          </w:p>
        </w:tc>
        <w:tc>
          <w:tcPr>
            <w:tcW w:w="22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conformes aux exigences légales (LPP). Pour les membres du</w:t>
            </w:r>
          </w:p>
        </w:tc>
      </w:tr>
      <w:tr>
        <w:trPr>
          <w:trHeight w:val="203"/>
        </w:trPr>
        <w:tc>
          <w:tcPr>
            <w:tcW w:w="5540" w:type="dxa"/>
            <w:vAlign w:val="bottom"/>
            <w:tcBorders>
              <w:left w:val="single" w:sz="8" w:color="auto"/>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insured income is defined as the fixed remuneration plus 50</w:t>
            </w:r>
          </w:p>
        </w:tc>
        <w:tc>
          <w:tcPr>
            <w:tcW w:w="22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comité  exécutif,  le  revenu  assuré  est  défini  comme  la</w:t>
            </w:r>
          </w:p>
        </w:tc>
      </w:tr>
      <w:tr>
        <w:trPr>
          <w:trHeight w:val="203"/>
        </w:trPr>
        <w:tc>
          <w:tcPr>
            <w:tcW w:w="5540" w:type="dxa"/>
            <w:vAlign w:val="bottom"/>
            <w:tcBorders>
              <w:left w:val="single" w:sz="8" w:color="auto"/>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percent of the target performance-related remuneration, up to the</w:t>
            </w:r>
          </w:p>
        </w:tc>
        <w:tc>
          <w:tcPr>
            <w:tcW w:w="22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rémunération fixe plus les 50 pour cent de la rémunération liée à la</w:t>
            </w:r>
          </w:p>
        </w:tc>
      </w:tr>
      <w:tr>
        <w:trPr>
          <w:trHeight w:val="203"/>
        </w:trPr>
        <w:tc>
          <w:tcPr>
            <w:tcW w:w="5540" w:type="dxa"/>
            <w:vAlign w:val="bottom"/>
            <w:tcBorders>
              <w:left w:val="single" w:sz="8" w:color="auto"/>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legal  maximum.  Equity-linked  income  components  are  not</w:t>
            </w:r>
          </w:p>
        </w:tc>
        <w:tc>
          <w:tcPr>
            <w:tcW w:w="22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performance,  jusqu'au  maximum  légal.  Les  composantes  du</w:t>
            </w:r>
          </w:p>
        </w:tc>
      </w:tr>
      <w:tr>
        <w:trPr>
          <w:trHeight w:val="217"/>
        </w:trPr>
        <w:tc>
          <w:tcPr>
            <w:tcW w:w="554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included.</w:t>
            </w:r>
          </w:p>
        </w:tc>
        <w:tc>
          <w:tcPr>
            <w:tcW w:w="220" w:type="dxa"/>
            <w:vAlign w:val="bottom"/>
            <w:tcBorders>
              <w:right w:val="single" w:sz="8" w:color="auto"/>
            </w:tcBorders>
          </w:tcPr>
          <w:p>
            <w:pPr>
              <w:spacing w:after="0"/>
              <w:rPr>
                <w:sz w:val="18"/>
                <w:szCs w:val="18"/>
                <w:color w:val="auto"/>
              </w:rPr>
            </w:pPr>
          </w:p>
        </w:tc>
        <w:tc>
          <w:tcPr>
            <w:tcW w:w="548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revenu liées au capital propre ne sont pas inclus.</w:t>
            </w:r>
          </w:p>
        </w:tc>
      </w:tr>
      <w:tr>
        <w:trPr>
          <w:trHeight w:val="54"/>
        </w:trPr>
        <w:tc>
          <w:tcPr>
            <w:tcW w:w="5540" w:type="dxa"/>
            <w:vAlign w:val="bottom"/>
            <w:tcBorders>
              <w:left w:val="single" w:sz="8" w:color="auto"/>
              <w:bottom w:val="single" w:sz="8" w:color="auto"/>
              <w:right w:val="single" w:sz="8" w:color="auto"/>
            </w:tcBorders>
          </w:tcPr>
          <w:p>
            <w:pPr>
              <w:spacing w:after="0"/>
              <w:rPr>
                <w:sz w:val="4"/>
                <w:szCs w:val="4"/>
                <w:color w:val="auto"/>
              </w:rPr>
            </w:pPr>
          </w:p>
        </w:tc>
        <w:tc>
          <w:tcPr>
            <w:tcW w:w="220" w:type="dxa"/>
            <w:vAlign w:val="bottom"/>
            <w:tcBorders>
              <w:bottom w:val="single" w:sz="8" w:color="auto"/>
              <w:right w:val="single" w:sz="8" w:color="auto"/>
            </w:tcBorders>
          </w:tcPr>
          <w:p>
            <w:pPr>
              <w:spacing w:after="0"/>
              <w:rPr>
                <w:sz w:val="4"/>
                <w:szCs w:val="4"/>
                <w:color w:val="auto"/>
              </w:rPr>
            </w:pPr>
          </w:p>
        </w:tc>
        <w:tc>
          <w:tcPr>
            <w:tcW w:w="5480" w:type="dxa"/>
            <w:vAlign w:val="bottom"/>
            <w:tcBorders>
              <w:bottom w:val="single" w:sz="8" w:color="auto"/>
              <w:right w:val="single" w:sz="8" w:color="auto"/>
            </w:tcBorders>
          </w:tcPr>
          <w:p>
            <w:pPr>
              <w:spacing w:after="0"/>
              <w:rPr>
                <w:sz w:val="4"/>
                <w:szCs w:val="4"/>
                <w:color w:val="auto"/>
              </w:rPr>
            </w:pPr>
          </w:p>
        </w:tc>
      </w:tr>
      <w:tr>
        <w:trPr>
          <w:trHeight w:val="263"/>
        </w:trPr>
        <w:tc>
          <w:tcPr>
            <w:tcW w:w="554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Within the overall compensation approved by the General Meeting,</w:t>
            </w:r>
          </w:p>
        </w:tc>
        <w:tc>
          <w:tcPr>
            <w:tcW w:w="220" w:type="dxa"/>
            <w:vAlign w:val="bottom"/>
            <w:tcBorders>
              <w:right w:val="single" w:sz="8" w:color="auto"/>
            </w:tcBorders>
          </w:tcPr>
          <w:p>
            <w:pPr>
              <w:spacing w:after="0"/>
              <w:rPr>
                <w:sz w:val="22"/>
                <w:szCs w:val="22"/>
                <w:color w:val="auto"/>
              </w:rPr>
            </w:pPr>
          </w:p>
        </w:tc>
        <w:tc>
          <w:tcPr>
            <w:tcW w:w="548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Dans  la  rémunération  globale  approuvée  par  l'assemblée</w:t>
            </w:r>
          </w:p>
        </w:tc>
      </w:tr>
      <w:tr>
        <w:trPr>
          <w:trHeight w:val="203"/>
        </w:trPr>
        <w:tc>
          <w:tcPr>
            <w:tcW w:w="5540" w:type="dxa"/>
            <w:vAlign w:val="bottom"/>
            <w:tcBorders>
              <w:left w:val="single" w:sz="8" w:color="auto"/>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the Company may make additional payments into the Company's</w:t>
            </w:r>
          </w:p>
        </w:tc>
        <w:tc>
          <w:tcPr>
            <w:tcW w:w="22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générale,   la   société   pourra   effectuer   des   paiements</w:t>
            </w:r>
          </w:p>
        </w:tc>
      </w:tr>
      <w:tr>
        <w:trPr>
          <w:trHeight w:val="203"/>
        </w:trPr>
        <w:tc>
          <w:tcPr>
            <w:tcW w:w="5540" w:type="dxa"/>
            <w:vAlign w:val="bottom"/>
            <w:tcBorders>
              <w:left w:val="single" w:sz="8" w:color="auto"/>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pension  funds  for  the  benefit  of  members  of  the  Executive</w:t>
            </w:r>
          </w:p>
        </w:tc>
        <w:tc>
          <w:tcPr>
            <w:tcW w:w="22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supplémentaires dans les caisses de retraite de la société pour le</w:t>
            </w:r>
          </w:p>
        </w:tc>
      </w:tr>
      <w:tr>
        <w:trPr>
          <w:trHeight w:val="203"/>
        </w:trPr>
        <w:tc>
          <w:tcPr>
            <w:tcW w:w="5540" w:type="dxa"/>
            <w:vAlign w:val="bottom"/>
            <w:tcBorders>
              <w:left w:val="single" w:sz="8" w:color="auto"/>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Committee in order to cover any disadvantage suffered as a result</w:t>
            </w:r>
          </w:p>
        </w:tc>
        <w:tc>
          <w:tcPr>
            <w:tcW w:w="22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bénéfice des membres du comité exécutif afin de couvrir tout</w:t>
            </w:r>
          </w:p>
        </w:tc>
      </w:tr>
      <w:tr>
        <w:trPr>
          <w:trHeight w:val="203"/>
        </w:trPr>
        <w:tc>
          <w:tcPr>
            <w:tcW w:w="5540" w:type="dxa"/>
            <w:vAlign w:val="bottom"/>
            <w:tcBorders>
              <w:left w:val="single" w:sz="8" w:color="auto"/>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of  the  change  of  jobs  or  to  purchase  additional  pension</w:t>
            </w:r>
          </w:p>
        </w:tc>
        <w:tc>
          <w:tcPr>
            <w:tcW w:w="22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désavantage subi par suite de la modification de l'emploi ou pour</w:t>
            </w:r>
          </w:p>
        </w:tc>
      </w:tr>
      <w:tr>
        <w:trPr>
          <w:trHeight w:val="203"/>
        </w:trPr>
        <w:tc>
          <w:tcPr>
            <w:tcW w:w="5540" w:type="dxa"/>
            <w:vAlign w:val="bottom"/>
            <w:tcBorders>
              <w:left w:val="single" w:sz="8" w:color="auto"/>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entitlements.  In  this  context  the  Company  may  conclude  life</w:t>
            </w:r>
          </w:p>
        </w:tc>
        <w:tc>
          <w:tcPr>
            <w:tcW w:w="22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acheter des droits de pension supplémentaires. Dans ce contexte,</w:t>
            </w:r>
          </w:p>
        </w:tc>
      </w:tr>
      <w:tr>
        <w:trPr>
          <w:trHeight w:val="203"/>
        </w:trPr>
        <w:tc>
          <w:tcPr>
            <w:tcW w:w="5540" w:type="dxa"/>
            <w:vAlign w:val="bottom"/>
            <w:tcBorders>
              <w:left w:val="single" w:sz="8" w:color="auto"/>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insurance  policies  on  behalf  of  members  of  the  Executive</w:t>
            </w:r>
          </w:p>
        </w:tc>
        <w:tc>
          <w:tcPr>
            <w:tcW w:w="22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la société peut conclure des contrats d'assurance-vie au nom des</w:t>
            </w:r>
          </w:p>
        </w:tc>
      </w:tr>
      <w:tr>
        <w:trPr>
          <w:trHeight w:val="203"/>
        </w:trPr>
        <w:tc>
          <w:tcPr>
            <w:tcW w:w="5540" w:type="dxa"/>
            <w:vAlign w:val="bottom"/>
            <w:tcBorders>
              <w:left w:val="single" w:sz="8" w:color="auto"/>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Committee and pay the insurance premiums either fully or in part.</w:t>
            </w:r>
          </w:p>
        </w:tc>
        <w:tc>
          <w:tcPr>
            <w:tcW w:w="22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membres du comité exécutif et payer en totalité ou en partie les</w:t>
            </w:r>
          </w:p>
        </w:tc>
      </w:tr>
      <w:tr>
        <w:trPr>
          <w:trHeight w:val="217"/>
        </w:trPr>
        <w:tc>
          <w:tcPr>
            <w:tcW w:w="5540" w:type="dxa"/>
            <w:vAlign w:val="bottom"/>
            <w:tcBorders>
              <w:left w:val="single" w:sz="8" w:color="auto"/>
              <w:right w:val="single" w:sz="8" w:color="auto"/>
            </w:tcBorders>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548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primes d'assurance.</w:t>
            </w:r>
          </w:p>
        </w:tc>
      </w:tr>
      <w:tr>
        <w:trPr>
          <w:trHeight w:val="54"/>
        </w:trPr>
        <w:tc>
          <w:tcPr>
            <w:tcW w:w="5540" w:type="dxa"/>
            <w:vAlign w:val="bottom"/>
            <w:tcBorders>
              <w:left w:val="single" w:sz="8" w:color="auto"/>
              <w:bottom w:val="single" w:sz="8" w:color="auto"/>
              <w:right w:val="single" w:sz="8" w:color="auto"/>
            </w:tcBorders>
          </w:tcPr>
          <w:p>
            <w:pPr>
              <w:spacing w:after="0"/>
              <w:rPr>
                <w:sz w:val="4"/>
                <w:szCs w:val="4"/>
                <w:color w:val="auto"/>
              </w:rPr>
            </w:pPr>
          </w:p>
        </w:tc>
        <w:tc>
          <w:tcPr>
            <w:tcW w:w="220" w:type="dxa"/>
            <w:vAlign w:val="bottom"/>
            <w:tcBorders>
              <w:bottom w:val="single" w:sz="8" w:color="auto"/>
              <w:right w:val="single" w:sz="8" w:color="auto"/>
            </w:tcBorders>
          </w:tcPr>
          <w:p>
            <w:pPr>
              <w:spacing w:after="0"/>
              <w:rPr>
                <w:sz w:val="4"/>
                <w:szCs w:val="4"/>
                <w:color w:val="auto"/>
              </w:rPr>
            </w:pPr>
          </w:p>
        </w:tc>
        <w:tc>
          <w:tcPr>
            <w:tcW w:w="5480" w:type="dxa"/>
            <w:vAlign w:val="bottom"/>
            <w:tcBorders>
              <w:bottom w:val="single" w:sz="8" w:color="auto"/>
              <w:right w:val="single" w:sz="8" w:color="auto"/>
            </w:tcBorders>
          </w:tcPr>
          <w:p>
            <w:pPr>
              <w:spacing w:after="0"/>
              <w:rPr>
                <w:sz w:val="4"/>
                <w:szCs w:val="4"/>
                <w:color w:val="auto"/>
              </w:rPr>
            </w:pPr>
          </w:p>
        </w:tc>
      </w:tr>
      <w:tr>
        <w:trPr>
          <w:trHeight w:val="263"/>
        </w:trPr>
        <w:tc>
          <w:tcPr>
            <w:tcW w:w="554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Upon retirement, the Company may also grant members of the</w:t>
            </w:r>
          </w:p>
        </w:tc>
        <w:tc>
          <w:tcPr>
            <w:tcW w:w="220" w:type="dxa"/>
            <w:vAlign w:val="bottom"/>
            <w:tcBorders>
              <w:right w:val="single" w:sz="8" w:color="auto"/>
            </w:tcBorders>
          </w:tcPr>
          <w:p>
            <w:pPr>
              <w:spacing w:after="0"/>
              <w:rPr>
                <w:sz w:val="22"/>
                <w:szCs w:val="22"/>
                <w:color w:val="auto"/>
              </w:rPr>
            </w:pPr>
          </w:p>
        </w:tc>
        <w:tc>
          <w:tcPr>
            <w:tcW w:w="548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À la retraite, la société peut également accorder aux membres du</w:t>
            </w:r>
          </w:p>
        </w:tc>
      </w:tr>
      <w:tr>
        <w:trPr>
          <w:trHeight w:val="203"/>
        </w:trPr>
        <w:tc>
          <w:tcPr>
            <w:tcW w:w="5540" w:type="dxa"/>
            <w:vAlign w:val="bottom"/>
            <w:tcBorders>
              <w:left w:val="single" w:sz="8" w:color="auto"/>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Executive  Committee  a  bridging  pension  to  cover  the  period</w:t>
            </w:r>
          </w:p>
        </w:tc>
        <w:tc>
          <w:tcPr>
            <w:tcW w:w="22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comité exécutif, une pension de transition pour couvrir la période</w:t>
            </w:r>
          </w:p>
        </w:tc>
      </w:tr>
      <w:tr>
        <w:trPr>
          <w:trHeight w:val="203"/>
        </w:trPr>
        <w:tc>
          <w:tcPr>
            <w:tcW w:w="5540" w:type="dxa"/>
            <w:vAlign w:val="bottom"/>
            <w:tcBorders>
              <w:left w:val="single" w:sz="8" w:color="auto"/>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between early retirement at 62 and the ordinary age of retirement,</w:t>
            </w:r>
          </w:p>
        </w:tc>
        <w:tc>
          <w:tcPr>
            <w:tcW w:w="22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entre la retraite anticipée à 62 ans et l'âge ordinaire de la retraite,</w:t>
            </w:r>
          </w:p>
        </w:tc>
      </w:tr>
      <w:tr>
        <w:trPr>
          <w:trHeight w:val="203"/>
        </w:trPr>
        <w:tc>
          <w:tcPr>
            <w:tcW w:w="5540" w:type="dxa"/>
            <w:vAlign w:val="bottom"/>
            <w:tcBorders>
              <w:left w:val="single" w:sz="8" w:color="auto"/>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if such bridging pension does not exceed 100 percent of the total</w:t>
            </w:r>
          </w:p>
        </w:tc>
        <w:tc>
          <w:tcPr>
            <w:tcW w:w="22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si cette rente transitoire ne dépasse pas 100 pour cent du dernier</w:t>
            </w:r>
          </w:p>
        </w:tc>
      </w:tr>
      <w:tr>
        <w:trPr>
          <w:trHeight w:val="203"/>
        </w:trPr>
        <w:tc>
          <w:tcPr>
            <w:tcW w:w="5540" w:type="dxa"/>
            <w:vAlign w:val="bottom"/>
            <w:tcBorders>
              <w:left w:val="single" w:sz="8" w:color="auto"/>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annual compensation of the respective member last paid.</w:t>
            </w:r>
          </w:p>
        </w:tc>
        <w:tc>
          <w:tcPr>
            <w:tcW w:w="22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montant de la rémunération annuelle totale payée au membre</w:t>
            </w:r>
          </w:p>
        </w:tc>
      </w:tr>
      <w:tr>
        <w:trPr>
          <w:trHeight w:val="217"/>
        </w:trPr>
        <w:tc>
          <w:tcPr>
            <w:tcW w:w="5540" w:type="dxa"/>
            <w:vAlign w:val="bottom"/>
            <w:tcBorders>
              <w:left w:val="single" w:sz="8" w:color="auto"/>
              <w:right w:val="single" w:sz="8" w:color="auto"/>
            </w:tcBorders>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548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respectif.</w:t>
            </w:r>
          </w:p>
        </w:tc>
      </w:tr>
      <w:tr>
        <w:trPr>
          <w:trHeight w:val="54"/>
        </w:trPr>
        <w:tc>
          <w:tcPr>
            <w:tcW w:w="5540" w:type="dxa"/>
            <w:vAlign w:val="bottom"/>
            <w:tcBorders>
              <w:left w:val="single" w:sz="8" w:color="auto"/>
              <w:bottom w:val="single" w:sz="8" w:color="auto"/>
              <w:right w:val="single" w:sz="8" w:color="auto"/>
            </w:tcBorders>
          </w:tcPr>
          <w:p>
            <w:pPr>
              <w:spacing w:after="0"/>
              <w:rPr>
                <w:sz w:val="4"/>
                <w:szCs w:val="4"/>
                <w:color w:val="auto"/>
              </w:rPr>
            </w:pPr>
          </w:p>
        </w:tc>
        <w:tc>
          <w:tcPr>
            <w:tcW w:w="220" w:type="dxa"/>
            <w:vAlign w:val="bottom"/>
            <w:tcBorders>
              <w:bottom w:val="single" w:sz="8" w:color="auto"/>
              <w:right w:val="single" w:sz="8" w:color="auto"/>
            </w:tcBorders>
          </w:tcPr>
          <w:p>
            <w:pPr>
              <w:spacing w:after="0"/>
              <w:rPr>
                <w:sz w:val="4"/>
                <w:szCs w:val="4"/>
                <w:color w:val="auto"/>
              </w:rPr>
            </w:pPr>
          </w:p>
        </w:tc>
        <w:tc>
          <w:tcPr>
            <w:tcW w:w="5480" w:type="dxa"/>
            <w:vAlign w:val="bottom"/>
            <w:tcBorders>
              <w:bottom w:val="single" w:sz="8" w:color="auto"/>
              <w:right w:val="single" w:sz="8" w:color="auto"/>
            </w:tcBorders>
          </w:tcPr>
          <w:p>
            <w:pPr>
              <w:spacing w:after="0"/>
              <w:rPr>
                <w:sz w:val="4"/>
                <w:szCs w:val="4"/>
                <w:color w:val="auto"/>
              </w:rPr>
            </w:pPr>
          </w:p>
        </w:tc>
      </w:tr>
      <w:tr>
        <w:trPr>
          <w:trHeight w:val="277"/>
        </w:trPr>
        <w:tc>
          <w:tcPr>
            <w:tcW w:w="554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b w:val="1"/>
                <w:bCs w:val="1"/>
                <w:color w:val="auto"/>
              </w:rPr>
              <w:t>Art. 41 Option and Share Plans</w:t>
            </w:r>
          </w:p>
        </w:tc>
        <w:tc>
          <w:tcPr>
            <w:tcW w:w="220" w:type="dxa"/>
            <w:vAlign w:val="bottom"/>
            <w:tcBorders>
              <w:right w:val="single" w:sz="8" w:color="auto"/>
            </w:tcBorders>
          </w:tcPr>
          <w:p>
            <w:pPr>
              <w:spacing w:after="0"/>
              <w:rPr>
                <w:sz w:val="24"/>
                <w:szCs w:val="24"/>
                <w:color w:val="auto"/>
              </w:rPr>
            </w:pPr>
          </w:p>
        </w:tc>
        <w:tc>
          <w:tcPr>
            <w:tcW w:w="5480" w:type="dxa"/>
            <w:vAlign w:val="bottom"/>
            <w:tcBorders>
              <w:right w:val="single" w:sz="8" w:color="auto"/>
            </w:tcBorders>
          </w:tcPr>
          <w:p>
            <w:pPr>
              <w:ind w:left="60"/>
              <w:spacing w:after="0"/>
              <w:rPr>
                <w:sz w:val="20"/>
                <w:szCs w:val="20"/>
                <w:color w:val="auto"/>
              </w:rPr>
            </w:pPr>
            <w:r>
              <w:rPr>
                <w:rFonts w:ascii="Arial" w:cs="Arial" w:eastAsia="Arial" w:hAnsi="Arial"/>
                <w:sz w:val="18"/>
                <w:szCs w:val="18"/>
                <w:b w:val="1"/>
                <w:bCs w:val="1"/>
                <w:color w:val="auto"/>
              </w:rPr>
              <w:t>Art. 41 Options et plan d'actions</w:t>
            </w:r>
          </w:p>
        </w:tc>
      </w:tr>
      <w:tr>
        <w:trPr>
          <w:trHeight w:val="391"/>
        </w:trPr>
        <w:tc>
          <w:tcPr>
            <w:tcW w:w="554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Under the Company's Long Term Incentive Plan, the Board of</w:t>
            </w:r>
          </w:p>
        </w:tc>
        <w:tc>
          <w:tcPr>
            <w:tcW w:w="220" w:type="dxa"/>
            <w:vAlign w:val="bottom"/>
            <w:tcBorders>
              <w:right w:val="single" w:sz="8" w:color="auto"/>
            </w:tcBorders>
          </w:tcPr>
          <w:p>
            <w:pPr>
              <w:spacing w:after="0"/>
              <w:rPr>
                <w:sz w:val="24"/>
                <w:szCs w:val="24"/>
                <w:color w:val="auto"/>
              </w:rPr>
            </w:pPr>
          </w:p>
        </w:tc>
        <w:tc>
          <w:tcPr>
            <w:tcW w:w="548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En vertu du plan d’intéressement à long terme de la société, le</w:t>
            </w:r>
          </w:p>
        </w:tc>
      </w:tr>
      <w:tr>
        <w:trPr>
          <w:trHeight w:val="203"/>
        </w:trPr>
        <w:tc>
          <w:tcPr>
            <w:tcW w:w="5540" w:type="dxa"/>
            <w:vAlign w:val="bottom"/>
            <w:tcBorders>
              <w:left w:val="single" w:sz="8" w:color="auto"/>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Directors,  upon  proposal  of  the  Compensation  Committee,</w:t>
            </w:r>
          </w:p>
        </w:tc>
        <w:tc>
          <w:tcPr>
            <w:tcW w:w="22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conseil   d'administration,   sur   proposition   du   comité   de</w:t>
            </w:r>
          </w:p>
        </w:tc>
      </w:tr>
      <w:tr>
        <w:trPr>
          <w:trHeight w:val="203"/>
        </w:trPr>
        <w:tc>
          <w:tcPr>
            <w:tcW w:w="5540" w:type="dxa"/>
            <w:vAlign w:val="bottom"/>
            <w:tcBorders>
              <w:left w:val="single" w:sz="8" w:color="auto"/>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allocates the participating members of the Executive Committee</w:t>
            </w:r>
          </w:p>
        </w:tc>
        <w:tc>
          <w:tcPr>
            <w:tcW w:w="22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rémunération,  attribue  aux  membres  participants  du  comité</w:t>
            </w:r>
          </w:p>
        </w:tc>
      </w:tr>
      <w:tr>
        <w:trPr>
          <w:trHeight w:val="203"/>
        </w:trPr>
        <w:tc>
          <w:tcPr>
            <w:tcW w:w="5540" w:type="dxa"/>
            <w:vAlign w:val="bottom"/>
            <w:tcBorders>
              <w:left w:val="single" w:sz="8" w:color="auto"/>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and the Board of Directors a fixed number of options or shares with</w:t>
            </w:r>
          </w:p>
        </w:tc>
        <w:tc>
          <w:tcPr>
            <w:tcW w:w="22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exécutif et du conseil d'administration un nombre fixe d'options ou</w:t>
            </w:r>
          </w:p>
        </w:tc>
      </w:tr>
      <w:tr>
        <w:trPr>
          <w:trHeight w:val="217"/>
        </w:trPr>
        <w:tc>
          <w:tcPr>
            <w:tcW w:w="554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a vesting or a blocking period (the vesting period). At the</w:t>
            </w:r>
          </w:p>
        </w:tc>
        <w:tc>
          <w:tcPr>
            <w:tcW w:w="220" w:type="dxa"/>
            <w:vAlign w:val="bottom"/>
            <w:tcBorders>
              <w:right w:val="single" w:sz="8" w:color="auto"/>
            </w:tcBorders>
          </w:tcPr>
          <w:p>
            <w:pPr>
              <w:spacing w:after="0"/>
              <w:rPr>
                <w:sz w:val="18"/>
                <w:szCs w:val="18"/>
                <w:color w:val="auto"/>
              </w:rPr>
            </w:pPr>
          </w:p>
        </w:tc>
        <w:tc>
          <w:tcPr>
            <w:tcW w:w="548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d'actions avec une période de vesting ou de</w:t>
            </w:r>
          </w:p>
        </w:tc>
      </w:tr>
      <w:tr>
        <w:trPr>
          <w:trHeight w:val="54"/>
        </w:trPr>
        <w:tc>
          <w:tcPr>
            <w:tcW w:w="5540" w:type="dxa"/>
            <w:vAlign w:val="bottom"/>
            <w:tcBorders>
              <w:left w:val="single" w:sz="8" w:color="auto"/>
              <w:bottom w:val="single" w:sz="8" w:color="auto"/>
              <w:right w:val="single" w:sz="8" w:color="auto"/>
            </w:tcBorders>
          </w:tcPr>
          <w:p>
            <w:pPr>
              <w:spacing w:after="0"/>
              <w:rPr>
                <w:sz w:val="4"/>
                <w:szCs w:val="4"/>
                <w:color w:val="auto"/>
              </w:rPr>
            </w:pPr>
          </w:p>
        </w:tc>
        <w:tc>
          <w:tcPr>
            <w:tcW w:w="220" w:type="dxa"/>
            <w:vAlign w:val="bottom"/>
            <w:tcBorders>
              <w:bottom w:val="single" w:sz="8" w:color="auto"/>
              <w:right w:val="single" w:sz="8" w:color="auto"/>
            </w:tcBorders>
          </w:tcPr>
          <w:p>
            <w:pPr>
              <w:spacing w:after="0"/>
              <w:rPr>
                <w:sz w:val="4"/>
                <w:szCs w:val="4"/>
                <w:color w:val="auto"/>
              </w:rPr>
            </w:pPr>
          </w:p>
        </w:tc>
        <w:tc>
          <w:tcPr>
            <w:tcW w:w="5480" w:type="dxa"/>
            <w:vAlign w:val="bottom"/>
            <w:tcBorders>
              <w:bottom w:val="single" w:sz="8" w:color="auto"/>
              <w:right w:val="single" w:sz="8" w:color="auto"/>
            </w:tcBorders>
          </w:tcPr>
          <w:p>
            <w:pPr>
              <w:spacing w:after="0"/>
              <w:rPr>
                <w:sz w:val="4"/>
                <w:szCs w:val="4"/>
                <w:color w:val="auto"/>
              </w:rPr>
            </w:pPr>
          </w:p>
        </w:tc>
      </w:tr>
      <w:tr>
        <w:trPr>
          <w:trHeight w:val="452"/>
        </w:trPr>
        <w:tc>
          <w:tcPr>
            <w:tcW w:w="55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54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249" w:right="339" w:bottom="1440" w:gutter="0" w:footer="0" w:header="0"/>
        </w:sectPr>
      </w:pPr>
    </w:p>
    <w:bookmarkStart w:id="69" w:name="page70"/>
    <w:bookmarkEnd w:id="69"/>
    <w:p>
      <w:pPr>
        <w:ind w:left="10927"/>
        <w:spacing w:after="0"/>
        <w:rPr>
          <w:sz w:val="20"/>
          <w:szCs w:val="20"/>
          <w:color w:val="auto"/>
        </w:rPr>
      </w:pPr>
      <w:r>
        <w:rPr>
          <w:rFonts w:ascii="Arial" w:cs="Arial" w:eastAsia="Arial" w:hAnsi="Arial"/>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-53340</wp:posOffset>
            </wp:positionH>
            <wp:positionV relativeFrom="paragraph">
              <wp:posOffset>1905</wp:posOffset>
            </wp:positionV>
            <wp:extent cx="7132320" cy="498919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4989195"/>
                    </a:xfrm>
                    <a:prstGeom prst="rect">
                      <a:avLst/>
                    </a:prstGeom>
                    <a:noFill/>
                  </pic:spPr>
                </pic:pic>
              </a:graphicData>
            </a:graphic>
          </wp:anchor>
        </w:drawing>
      </w:r>
    </w:p>
    <w:p>
      <w:pPr>
        <w:sectPr>
          <w:pgSz w:w="11900" w:h="16838" w:orient="portrait"/>
          <w:cols w:equalWidth="0" w:num="1">
            <w:col w:w="11107"/>
          </w:cols>
          <w:pgMar w:left="413" w:top="249" w:right="379" w:bottom="1440" w:gutter="0" w:footer="0" w:header="0"/>
        </w:sectPr>
      </w:pPr>
    </w:p>
    <w:p>
      <w:pPr>
        <w:spacing w:after="0" w:line="83" w:lineRule="exact"/>
        <w:rPr>
          <w:sz w:val="20"/>
          <w:szCs w:val="20"/>
          <w:color w:val="auto"/>
        </w:rPr>
      </w:pPr>
    </w:p>
    <w:p>
      <w:pPr>
        <w:jc w:val="both"/>
        <w:ind w:left="7"/>
        <w:spacing w:after="0" w:line="238" w:lineRule="auto"/>
        <w:rPr>
          <w:sz w:val="20"/>
          <w:szCs w:val="20"/>
          <w:color w:val="auto"/>
        </w:rPr>
      </w:pPr>
      <w:r>
        <w:rPr>
          <w:rFonts w:ascii="Arial" w:cs="Arial" w:eastAsia="Arial" w:hAnsi="Arial"/>
          <w:sz w:val="18"/>
          <w:szCs w:val="18"/>
          <w:color w:val="auto"/>
        </w:rPr>
        <w:t>end of the vesting period, participants in the Long Term Incentive Plan are entitled to exercise the options granted against payment of the strike price. These options to acquire shares in the Company or allocated shares are subject to the basic principles set out in the following:</w:t>
      </w:r>
    </w:p>
    <w:p>
      <w:pPr>
        <w:spacing w:after="0" w:line="189" w:lineRule="exact"/>
        <w:rPr>
          <w:sz w:val="20"/>
          <w:szCs w:val="20"/>
          <w:color w:val="auto"/>
        </w:rPr>
      </w:pPr>
    </w:p>
    <w:p>
      <w:pPr>
        <w:jc w:val="both"/>
        <w:ind w:left="387" w:hanging="387"/>
        <w:spacing w:after="0" w:line="238" w:lineRule="auto"/>
        <w:tabs>
          <w:tab w:leader="none" w:pos="417" w:val="left"/>
        </w:tabs>
        <w:numPr>
          <w:ilvl w:val="0"/>
          <w:numId w:val="67"/>
        </w:numPr>
        <w:rPr>
          <w:rFonts w:ascii="Arial" w:cs="Arial" w:eastAsia="Arial" w:hAnsi="Arial"/>
          <w:sz w:val="18"/>
          <w:szCs w:val="18"/>
          <w:color w:val="auto"/>
        </w:rPr>
      </w:pPr>
      <w:r>
        <w:rPr>
          <w:rFonts w:ascii="Arial" w:cs="Arial" w:eastAsia="Arial" w:hAnsi="Arial"/>
          <w:sz w:val="18"/>
          <w:szCs w:val="18"/>
          <w:color w:val="auto"/>
        </w:rPr>
        <w:t>it is the sole discretion of the Board of Directors to decide whether to allocate options or shares and to whom and to determine the valuation of each compensation element on the basis of the principles that apply to the establishment of the compensation report;</w:t>
      </w:r>
    </w:p>
    <w:p>
      <w:pPr>
        <w:spacing w:after="0" w:line="188" w:lineRule="exact"/>
        <w:rPr>
          <w:rFonts w:ascii="Arial" w:cs="Arial" w:eastAsia="Arial" w:hAnsi="Arial"/>
          <w:sz w:val="18"/>
          <w:szCs w:val="18"/>
          <w:color w:val="auto"/>
        </w:rPr>
      </w:pPr>
    </w:p>
    <w:p>
      <w:pPr>
        <w:jc w:val="both"/>
        <w:ind w:left="387" w:hanging="387"/>
        <w:spacing w:after="0" w:line="238" w:lineRule="auto"/>
        <w:tabs>
          <w:tab w:leader="none" w:pos="550" w:val="left"/>
        </w:tabs>
        <w:numPr>
          <w:ilvl w:val="0"/>
          <w:numId w:val="67"/>
        </w:numPr>
        <w:rPr>
          <w:rFonts w:ascii="Arial" w:cs="Arial" w:eastAsia="Arial" w:hAnsi="Arial"/>
          <w:sz w:val="18"/>
          <w:szCs w:val="18"/>
          <w:color w:val="auto"/>
        </w:rPr>
      </w:pPr>
      <w:r>
        <w:rPr>
          <w:rFonts w:ascii="Arial" w:cs="Arial" w:eastAsia="Arial" w:hAnsi="Arial"/>
          <w:sz w:val="18"/>
          <w:szCs w:val="18"/>
          <w:color w:val="auto"/>
        </w:rPr>
        <w:t>each year, the Board of Directors, upon proposal of the Compensation Committee, stipulates the number of options and shares to be allocated, the date of allocation and the strike price;</w:t>
      </w:r>
    </w:p>
    <w:p>
      <w:pPr>
        <w:spacing w:after="0" w:line="191" w:lineRule="exact"/>
        <w:rPr>
          <w:rFonts w:ascii="Arial" w:cs="Arial" w:eastAsia="Arial" w:hAnsi="Arial"/>
          <w:sz w:val="18"/>
          <w:szCs w:val="18"/>
          <w:color w:val="auto"/>
        </w:rPr>
      </w:pPr>
    </w:p>
    <w:p>
      <w:pPr>
        <w:jc w:val="both"/>
        <w:ind w:left="387" w:hanging="387"/>
        <w:spacing w:after="0"/>
        <w:tabs>
          <w:tab w:leader="none" w:pos="339" w:val="left"/>
        </w:tabs>
        <w:numPr>
          <w:ilvl w:val="0"/>
          <w:numId w:val="67"/>
        </w:numPr>
        <w:rPr>
          <w:rFonts w:ascii="Arial" w:cs="Arial" w:eastAsia="Arial" w:hAnsi="Arial"/>
          <w:sz w:val="18"/>
          <w:szCs w:val="18"/>
          <w:color w:val="auto"/>
        </w:rPr>
      </w:pPr>
      <w:r>
        <w:rPr>
          <w:rFonts w:ascii="Arial" w:cs="Arial" w:eastAsia="Arial" w:hAnsi="Arial"/>
          <w:sz w:val="18"/>
          <w:szCs w:val="18"/>
          <w:color w:val="auto"/>
        </w:rPr>
        <w:t>each option incorporates a non-transferable, pre-emptive, and contingent right to acquire a certain number of Company's shares;</w:t>
      </w:r>
    </w:p>
    <w:p>
      <w:pPr>
        <w:spacing w:after="0" w:line="189" w:lineRule="exact"/>
        <w:rPr>
          <w:rFonts w:ascii="Arial" w:cs="Arial" w:eastAsia="Arial" w:hAnsi="Arial"/>
          <w:sz w:val="18"/>
          <w:szCs w:val="18"/>
          <w:color w:val="auto"/>
        </w:rPr>
      </w:pPr>
    </w:p>
    <w:p>
      <w:pPr>
        <w:jc w:val="both"/>
        <w:ind w:left="387" w:hanging="387"/>
        <w:spacing w:after="0" w:line="236" w:lineRule="auto"/>
        <w:tabs>
          <w:tab w:leader="none" w:pos="363" w:val="left"/>
        </w:tabs>
        <w:numPr>
          <w:ilvl w:val="0"/>
          <w:numId w:val="67"/>
        </w:numPr>
        <w:rPr>
          <w:rFonts w:ascii="Arial" w:cs="Arial" w:eastAsia="Arial" w:hAnsi="Arial"/>
          <w:sz w:val="18"/>
          <w:szCs w:val="18"/>
          <w:color w:val="auto"/>
        </w:rPr>
      </w:pPr>
      <w:r>
        <w:rPr>
          <w:rFonts w:ascii="Arial" w:cs="Arial" w:eastAsia="Arial" w:hAnsi="Arial"/>
          <w:sz w:val="18"/>
          <w:szCs w:val="18"/>
          <w:color w:val="auto"/>
        </w:rPr>
        <w:t>in the case of a change of control (as defined in the Long Term Incentive Plan) or delisting of the Company's shares, the vesting period shall end (accelerated vesting) and the participant shall be entitled to exercise the options on a pro rata basis on the day the transaction that led to the change of control or delisting was executed. It is at the sole discretion of the Board of Directors to decide upon proposal of the Compensation Committee whether the financial objectives have been met;</w:t>
      </w:r>
    </w:p>
    <w:p>
      <w:pPr>
        <w:spacing w:after="0" w:line="193" w:lineRule="exact"/>
        <w:rPr>
          <w:rFonts w:ascii="Arial" w:cs="Arial" w:eastAsia="Arial" w:hAnsi="Arial"/>
          <w:sz w:val="18"/>
          <w:szCs w:val="18"/>
          <w:color w:val="auto"/>
        </w:rPr>
      </w:pPr>
    </w:p>
    <w:p>
      <w:pPr>
        <w:jc w:val="both"/>
        <w:ind w:left="387" w:hanging="387"/>
        <w:spacing w:after="0" w:line="238" w:lineRule="auto"/>
        <w:tabs>
          <w:tab w:leader="none" w:pos="489"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individual members of the Executive Committee or the Board of Directors participating in the Long Term Incentive Plan are responsible for paying any taxes or social security contributions and for declaring income correctly to the authorities;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-53340</wp:posOffset>
            </wp:positionH>
            <wp:positionV relativeFrom="paragraph">
              <wp:posOffset>591820</wp:posOffset>
            </wp:positionV>
            <wp:extent cx="713232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63" w:lineRule="exact"/>
        <w:rPr>
          <w:sz w:val="20"/>
          <w:szCs w:val="20"/>
          <w:color w:val="auto"/>
        </w:rPr>
      </w:pPr>
    </w:p>
    <w:p>
      <w:pPr>
        <w:jc w:val="both"/>
        <w:ind w:left="3" w:right="40"/>
        <w:spacing w:after="0" w:line="238" w:lineRule="auto"/>
        <w:rPr>
          <w:sz w:val="20"/>
          <w:szCs w:val="20"/>
          <w:color w:val="auto"/>
        </w:rPr>
      </w:pPr>
      <w:r>
        <w:rPr>
          <w:rFonts w:ascii="Arial" w:cs="Arial" w:eastAsia="Arial" w:hAnsi="Arial"/>
          <w:sz w:val="18"/>
          <w:szCs w:val="18"/>
          <w:color w:val="auto"/>
        </w:rPr>
        <w:t>blocage (la "Période de Vesting "). À la fin de la Période de Vesting, les participants au plan d’intéressement à long terme sont habilités à exercer les options attribuées contre paiement du prix d'exercice. Ces options d'achat d'actions de la société ou d'actions attribuées sont soumises aux principes de base suivants:</w:t>
      </w:r>
    </w:p>
    <w:p>
      <w:pPr>
        <w:spacing w:after="0" w:line="189" w:lineRule="exact"/>
        <w:rPr>
          <w:sz w:val="20"/>
          <w:szCs w:val="20"/>
          <w:color w:val="auto"/>
        </w:rPr>
      </w:pPr>
    </w:p>
    <w:p>
      <w:pPr>
        <w:ind w:left="463" w:right="40" w:hanging="463"/>
        <w:spacing w:after="0" w:line="238" w:lineRule="auto"/>
        <w:tabs>
          <w:tab w:leader="none" w:pos="374" w:val="left"/>
        </w:tabs>
        <w:numPr>
          <w:ilvl w:val="0"/>
          <w:numId w:val="68"/>
        </w:numPr>
        <w:rPr>
          <w:rFonts w:ascii="Arial" w:cs="Arial" w:eastAsia="Arial" w:hAnsi="Arial"/>
          <w:sz w:val="18"/>
          <w:szCs w:val="18"/>
          <w:color w:val="auto"/>
        </w:rPr>
      </w:pPr>
      <w:r>
        <w:rPr>
          <w:rFonts w:ascii="Arial" w:cs="Arial" w:eastAsia="Arial" w:hAnsi="Arial"/>
          <w:sz w:val="18"/>
          <w:szCs w:val="18"/>
          <w:color w:val="auto"/>
        </w:rPr>
        <w:t>il relève de la libre appréciation du conseil d'administration de décider si des options ou actions sont attribuées et à qui et de déterminer l'évaluation de chaque élément de rémunération sur la base des principes qui s'appliquent à l'établissement du rapport de rémunération;</w:t>
      </w:r>
    </w:p>
    <w:p>
      <w:pPr>
        <w:spacing w:after="0" w:line="188" w:lineRule="exact"/>
        <w:rPr>
          <w:rFonts w:ascii="Arial" w:cs="Arial" w:eastAsia="Arial" w:hAnsi="Arial"/>
          <w:sz w:val="18"/>
          <w:szCs w:val="18"/>
          <w:color w:val="auto"/>
        </w:rPr>
      </w:pPr>
    </w:p>
    <w:p>
      <w:pPr>
        <w:jc w:val="both"/>
        <w:ind w:left="463" w:right="40" w:hanging="463"/>
        <w:spacing w:after="0" w:line="234" w:lineRule="auto"/>
        <w:tabs>
          <w:tab w:leader="none" w:pos="407" w:val="left"/>
        </w:tabs>
        <w:numPr>
          <w:ilvl w:val="0"/>
          <w:numId w:val="68"/>
        </w:numPr>
        <w:rPr>
          <w:rFonts w:ascii="Arial" w:cs="Arial" w:eastAsia="Arial" w:hAnsi="Arial"/>
          <w:sz w:val="18"/>
          <w:szCs w:val="18"/>
          <w:color w:val="auto"/>
        </w:rPr>
      </w:pPr>
      <w:r>
        <w:rPr>
          <w:rFonts w:ascii="Arial" w:cs="Arial" w:eastAsia="Arial" w:hAnsi="Arial"/>
          <w:sz w:val="18"/>
          <w:szCs w:val="18"/>
          <w:color w:val="auto"/>
        </w:rPr>
        <w:t>chaque année, le conseil d'administration, sur proposition du comité de rémunération, fixe le nombre d'options et d'actions</w:t>
      </w:r>
    </w:p>
    <w:p>
      <w:pPr>
        <w:spacing w:after="0" w:line="1" w:lineRule="exact"/>
        <w:rPr>
          <w:rFonts w:ascii="Arial" w:cs="Arial" w:eastAsia="Arial" w:hAnsi="Arial"/>
          <w:sz w:val="18"/>
          <w:szCs w:val="18"/>
          <w:color w:val="auto"/>
        </w:rPr>
      </w:pPr>
    </w:p>
    <w:p>
      <w:pPr>
        <w:ind w:left="603" w:hanging="146"/>
        <w:spacing w:after="0"/>
        <w:tabs>
          <w:tab w:leader="none" w:pos="603" w:val="left"/>
        </w:tabs>
        <w:numPr>
          <w:ilvl w:val="1"/>
          <w:numId w:val="68"/>
        </w:numPr>
        <w:rPr>
          <w:rFonts w:ascii="Arial" w:cs="Arial" w:eastAsia="Arial" w:hAnsi="Arial"/>
          <w:sz w:val="18"/>
          <w:szCs w:val="18"/>
          <w:color w:val="auto"/>
        </w:rPr>
      </w:pPr>
      <w:r>
        <w:rPr>
          <w:rFonts w:ascii="Arial" w:cs="Arial" w:eastAsia="Arial" w:hAnsi="Arial"/>
          <w:sz w:val="18"/>
          <w:szCs w:val="18"/>
          <w:color w:val="auto"/>
        </w:rPr>
        <w:t>attribuer, la date d'attribution et le prix d'exercice;</w:t>
      </w:r>
    </w:p>
    <w:p>
      <w:pPr>
        <w:spacing w:after="0" w:line="198" w:lineRule="exact"/>
        <w:rPr>
          <w:rFonts w:ascii="Arial" w:cs="Arial" w:eastAsia="Arial" w:hAnsi="Arial"/>
          <w:sz w:val="18"/>
          <w:szCs w:val="18"/>
          <w:color w:val="auto"/>
        </w:rPr>
      </w:pPr>
    </w:p>
    <w:p>
      <w:pPr>
        <w:jc w:val="both"/>
        <w:ind w:left="463" w:right="40" w:hanging="463"/>
        <w:spacing w:after="0"/>
        <w:tabs>
          <w:tab w:leader="none" w:pos="469" w:val="left"/>
        </w:tabs>
        <w:numPr>
          <w:ilvl w:val="0"/>
          <w:numId w:val="68"/>
        </w:numPr>
        <w:rPr>
          <w:rFonts w:ascii="Arial" w:cs="Arial" w:eastAsia="Arial" w:hAnsi="Arial"/>
          <w:sz w:val="18"/>
          <w:szCs w:val="18"/>
          <w:color w:val="auto"/>
        </w:rPr>
      </w:pPr>
      <w:r>
        <w:rPr>
          <w:rFonts w:ascii="Arial" w:cs="Arial" w:eastAsia="Arial" w:hAnsi="Arial"/>
          <w:sz w:val="18"/>
          <w:szCs w:val="18"/>
          <w:color w:val="auto"/>
        </w:rPr>
        <w:t>chaque option comporte un droit non transférable, de souscription préférentielle et optionnel d'acquérir un certain nombre d'actions de la société;</w:t>
      </w:r>
    </w:p>
    <w:p>
      <w:pPr>
        <w:spacing w:after="0" w:line="189" w:lineRule="exact"/>
        <w:rPr>
          <w:rFonts w:ascii="Arial" w:cs="Arial" w:eastAsia="Arial" w:hAnsi="Arial"/>
          <w:sz w:val="18"/>
          <w:szCs w:val="18"/>
          <w:color w:val="auto"/>
        </w:rPr>
      </w:pPr>
    </w:p>
    <w:p>
      <w:pPr>
        <w:jc w:val="right"/>
        <w:ind w:left="463" w:right="60" w:hanging="463"/>
        <w:spacing w:after="0" w:line="248" w:lineRule="auto"/>
        <w:tabs>
          <w:tab w:leader="none" w:pos="377" w:val="left"/>
        </w:tabs>
        <w:numPr>
          <w:ilvl w:val="0"/>
          <w:numId w:val="68"/>
        </w:numPr>
        <w:rPr>
          <w:rFonts w:ascii="Arial" w:cs="Arial" w:eastAsia="Arial" w:hAnsi="Arial"/>
          <w:sz w:val="17"/>
          <w:szCs w:val="17"/>
          <w:color w:val="auto"/>
        </w:rPr>
      </w:pPr>
      <w:r>
        <w:rPr>
          <w:rFonts w:ascii="Arial" w:cs="Arial" w:eastAsia="Arial" w:hAnsi="Arial"/>
          <w:sz w:val="17"/>
          <w:szCs w:val="17"/>
          <w:color w:val="auto"/>
        </w:rPr>
        <w:t>dans le cas d'un changement de contrôle (tel que défini dans le plan d’intéressement à long terme) ou la radiation des actions de la société, la Période de Vesting prend fin (vesting accéléré) et le participant est en droit d'exercer les options sur une base pro rata, le jour de la transaction qui a conduit</w:t>
      </w:r>
    </w:p>
    <w:p>
      <w:pPr>
        <w:spacing w:after="0" w:line="2" w:lineRule="exact"/>
        <w:rPr>
          <w:rFonts w:ascii="Arial" w:cs="Arial" w:eastAsia="Arial" w:hAnsi="Arial"/>
          <w:sz w:val="17"/>
          <w:szCs w:val="17"/>
          <w:color w:val="auto"/>
        </w:rPr>
      </w:pPr>
    </w:p>
    <w:p>
      <w:pPr>
        <w:jc w:val="both"/>
        <w:ind w:left="463" w:right="60" w:hanging="6"/>
        <w:spacing w:after="0" w:line="238" w:lineRule="auto"/>
        <w:tabs>
          <w:tab w:leader="none" w:pos="623" w:val="left"/>
        </w:tabs>
        <w:numPr>
          <w:ilvl w:val="1"/>
          <w:numId w:val="68"/>
        </w:numPr>
        <w:rPr>
          <w:rFonts w:ascii="Arial" w:cs="Arial" w:eastAsia="Arial" w:hAnsi="Arial"/>
          <w:sz w:val="18"/>
          <w:szCs w:val="18"/>
          <w:color w:val="auto"/>
        </w:rPr>
      </w:pPr>
      <w:r>
        <w:rPr>
          <w:rFonts w:ascii="Arial" w:cs="Arial" w:eastAsia="Arial" w:hAnsi="Arial"/>
          <w:sz w:val="18"/>
          <w:szCs w:val="18"/>
          <w:color w:val="auto"/>
        </w:rPr>
        <w:t>un changement de contrôle ou le jour où la radiation a été exécutée. Il relève de la libre appréciation du conseil d'administration de décider, sur proposition du comité de rémunération, si les objectifs financiers ont été atteints;</w:t>
      </w:r>
    </w:p>
    <w:p>
      <w:pPr>
        <w:spacing w:after="0" w:line="191" w:lineRule="exact"/>
        <w:rPr>
          <w:rFonts w:ascii="Arial" w:cs="Arial" w:eastAsia="Arial" w:hAnsi="Arial"/>
          <w:sz w:val="18"/>
          <w:szCs w:val="18"/>
          <w:color w:val="auto"/>
        </w:rPr>
      </w:pPr>
    </w:p>
    <w:p>
      <w:pPr>
        <w:jc w:val="both"/>
        <w:ind w:left="463" w:right="40" w:hanging="463"/>
        <w:spacing w:after="0" w:line="238" w:lineRule="auto"/>
        <w:tabs>
          <w:tab w:leader="none" w:pos="438" w:val="left"/>
        </w:tabs>
        <w:numPr>
          <w:ilvl w:val="0"/>
          <w:numId w:val="68"/>
        </w:numPr>
        <w:rPr>
          <w:rFonts w:ascii="Arial" w:cs="Arial" w:eastAsia="Arial" w:hAnsi="Arial"/>
          <w:sz w:val="18"/>
          <w:szCs w:val="18"/>
          <w:color w:val="auto"/>
        </w:rPr>
      </w:pPr>
      <w:r>
        <w:rPr>
          <w:rFonts w:ascii="Arial" w:cs="Arial" w:eastAsia="Arial" w:hAnsi="Arial"/>
          <w:sz w:val="18"/>
          <w:szCs w:val="18"/>
          <w:color w:val="auto"/>
        </w:rPr>
        <w:t>les membres individuels du comité exécutif ou du conseil d'administration qui participent au plan d’intéressement à long terme sont responsables du paiement de tous les impôts ou cotisations de sécurité sociale et de déclarer correctement le revenu aux autorités;</w:t>
      </w:r>
    </w:p>
    <w:p>
      <w:pPr>
        <w:sectPr>
          <w:pgSz w:w="11900" w:h="16838" w:orient="portrait"/>
          <w:cols w:equalWidth="0" w:num="2">
            <w:col w:w="5347" w:space="377"/>
            <w:col w:w="5383"/>
          </w:cols>
          <w:pgMar w:left="413" w:top="249" w:right="379" w:bottom="1440" w:gutter="0" w:footer="0" w:header="0"/>
          <w:type w:val="continuous"/>
        </w:sectPr>
      </w:pPr>
    </w:p>
    <w:bookmarkStart w:id="70" w:name="page71"/>
    <w:bookmarkEnd w:id="70"/>
    <w:tbl>
      <w:tblPr>
        <w:tblLayout w:type="fixed"/>
        <w:tblInd w:w="10" w:type="dxa"/>
        <w:tblCellMar>
          <w:top w:w="0" w:type="dxa"/>
          <w:left w:w="0" w:type="dxa"/>
          <w:bottom w:w="0" w:type="dxa"/>
          <w:right w:w="0" w:type="dxa"/>
        </w:tblCellMar>
      </w:tblPr>
      <w:tr>
        <w:trPr>
          <w:trHeight w:val="187"/>
        </w:trPr>
        <w:tc>
          <w:tcPr>
            <w:tcW w:w="380" w:type="dxa"/>
            <w:vAlign w:val="bottom"/>
            <w:tcBorders>
              <w:bottom w:val="single" w:sz="8" w:color="auto"/>
            </w:tcBorders>
          </w:tcPr>
          <w:p>
            <w:pPr>
              <w:spacing w:after="0"/>
              <w:rPr>
                <w:sz w:val="16"/>
                <w:szCs w:val="16"/>
                <w:color w:val="auto"/>
              </w:rPr>
            </w:pPr>
          </w:p>
        </w:tc>
        <w:tc>
          <w:tcPr>
            <w:tcW w:w="516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5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w:t>
            </w:r>
          </w:p>
        </w:tc>
      </w:tr>
      <w:tr>
        <w:trPr>
          <w:trHeight w:val="195"/>
        </w:trPr>
        <w:tc>
          <w:tcPr>
            <w:tcW w:w="380" w:type="dxa"/>
            <w:vAlign w:val="bottom"/>
            <w:tcBorders>
              <w:left w:val="single" w:sz="8" w:color="auto"/>
            </w:tcBorders>
          </w:tcPr>
          <w:p>
            <w:pPr>
              <w:ind w:left="120"/>
              <w:spacing w:after="0" w:line="195" w:lineRule="exact"/>
              <w:rPr>
                <w:sz w:val="20"/>
                <w:szCs w:val="20"/>
                <w:color w:val="auto"/>
              </w:rPr>
            </w:pPr>
            <w:r>
              <w:rPr>
                <w:rFonts w:ascii="Arial" w:cs="Arial" w:eastAsia="Arial" w:hAnsi="Arial"/>
                <w:sz w:val="18"/>
                <w:szCs w:val="18"/>
                <w:color w:val="auto"/>
              </w:rPr>
              <w:t>f)</w:t>
            </w:r>
          </w:p>
        </w:tc>
        <w:tc>
          <w:tcPr>
            <w:tcW w:w="5160" w:type="dxa"/>
            <w:vAlign w:val="bottom"/>
            <w:tcBorders>
              <w:right w:val="single" w:sz="8" w:color="auto"/>
            </w:tcBorders>
          </w:tcPr>
          <w:p>
            <w:pPr>
              <w:jc w:val="right"/>
              <w:spacing w:after="0" w:line="195" w:lineRule="exact"/>
              <w:rPr>
                <w:sz w:val="20"/>
                <w:szCs w:val="20"/>
                <w:color w:val="auto"/>
              </w:rPr>
            </w:pPr>
            <w:r>
              <w:rPr>
                <w:rFonts w:ascii="Arial" w:cs="Arial" w:eastAsia="Arial" w:hAnsi="Arial"/>
                <w:sz w:val="18"/>
                <w:szCs w:val="18"/>
                <w:color w:val="auto"/>
              </w:rPr>
              <w:t>it is at the sole discretion of the Board of Directors to decide</w:t>
            </w:r>
          </w:p>
        </w:tc>
        <w:tc>
          <w:tcPr>
            <w:tcW w:w="220" w:type="dxa"/>
            <w:vAlign w:val="bottom"/>
            <w:tcBorders>
              <w:right w:val="single" w:sz="8" w:color="auto"/>
            </w:tcBorders>
          </w:tcPr>
          <w:p>
            <w:pPr>
              <w:spacing w:after="0"/>
              <w:rPr>
                <w:sz w:val="16"/>
                <w:szCs w:val="16"/>
                <w:color w:val="auto"/>
              </w:rPr>
            </w:pPr>
          </w:p>
        </w:tc>
        <w:tc>
          <w:tcPr>
            <w:tcW w:w="320" w:type="dxa"/>
            <w:vAlign w:val="bottom"/>
          </w:tcPr>
          <w:p>
            <w:pPr>
              <w:ind w:left="80"/>
              <w:spacing w:after="0" w:line="195" w:lineRule="exact"/>
              <w:rPr>
                <w:sz w:val="20"/>
                <w:szCs w:val="20"/>
                <w:color w:val="auto"/>
              </w:rPr>
            </w:pPr>
            <w:r>
              <w:rPr>
                <w:rFonts w:ascii="Arial" w:cs="Arial" w:eastAsia="Arial" w:hAnsi="Arial"/>
                <w:sz w:val="18"/>
                <w:szCs w:val="18"/>
                <w:color w:val="auto"/>
              </w:rPr>
              <w:t>f)</w:t>
            </w:r>
          </w:p>
        </w:tc>
        <w:tc>
          <w:tcPr>
            <w:tcW w:w="5160" w:type="dxa"/>
            <w:vAlign w:val="bottom"/>
            <w:tcBorders>
              <w:right w:val="single" w:sz="8" w:color="auto"/>
            </w:tcBorders>
          </w:tcPr>
          <w:p>
            <w:pPr>
              <w:jc w:val="right"/>
              <w:spacing w:after="0" w:line="195" w:lineRule="exact"/>
              <w:rPr>
                <w:sz w:val="20"/>
                <w:szCs w:val="20"/>
                <w:color w:val="auto"/>
              </w:rPr>
            </w:pPr>
            <w:r>
              <w:rPr>
                <w:rFonts w:ascii="Arial" w:cs="Arial" w:eastAsia="Arial" w:hAnsi="Arial"/>
                <w:sz w:val="18"/>
                <w:szCs w:val="18"/>
                <w:color w:val="auto"/>
              </w:rPr>
              <w:t>il relève de la libre appréciation du conseil d'administration de</w:t>
            </w:r>
          </w:p>
        </w:tc>
      </w:tr>
      <w:tr>
        <w:trPr>
          <w:trHeight w:val="203"/>
        </w:trPr>
        <w:tc>
          <w:tcPr>
            <w:tcW w:w="380" w:type="dxa"/>
            <w:vAlign w:val="bottom"/>
            <w:tcBorders>
              <w:left w:val="single" w:sz="8" w:color="auto"/>
            </w:tcBorders>
          </w:tcPr>
          <w:p>
            <w:pPr>
              <w:spacing w:after="0"/>
              <w:rPr>
                <w:sz w:val="17"/>
                <w:szCs w:val="17"/>
                <w:color w:val="auto"/>
              </w:rPr>
            </w:pPr>
          </w:p>
        </w:tc>
        <w:tc>
          <w:tcPr>
            <w:tcW w:w="5160" w:type="dxa"/>
            <w:vAlign w:val="bottom"/>
            <w:tcBorders>
              <w:right w:val="single" w:sz="8" w:color="auto"/>
            </w:tcBorders>
          </w:tcPr>
          <w:p>
            <w:pPr>
              <w:jc w:val="right"/>
              <w:spacing w:after="0" w:line="202" w:lineRule="exact"/>
              <w:rPr>
                <w:sz w:val="20"/>
                <w:szCs w:val="20"/>
                <w:color w:val="auto"/>
              </w:rPr>
            </w:pPr>
            <w:r>
              <w:rPr>
                <w:rFonts w:ascii="Arial" w:cs="Arial" w:eastAsia="Arial" w:hAnsi="Arial"/>
                <w:sz w:val="18"/>
                <w:szCs w:val="18"/>
                <w:color w:val="auto"/>
              </w:rPr>
              <w:t>whether to supplement the Long Term Incentive Plan within</w:t>
            </w:r>
          </w:p>
        </w:tc>
        <w:tc>
          <w:tcPr>
            <w:tcW w:w="220" w:type="dxa"/>
            <w:vAlign w:val="bottom"/>
            <w:tcBorders>
              <w:right w:val="single" w:sz="8" w:color="auto"/>
            </w:tcBorders>
          </w:tcPr>
          <w:p>
            <w:pPr>
              <w:spacing w:after="0"/>
              <w:rPr>
                <w:sz w:val="17"/>
                <w:szCs w:val="17"/>
                <w:color w:val="auto"/>
              </w:rPr>
            </w:pPr>
          </w:p>
        </w:tc>
        <w:tc>
          <w:tcPr>
            <w:tcW w:w="320" w:type="dxa"/>
            <w:vAlign w:val="bottom"/>
          </w:tcPr>
          <w:p>
            <w:pPr>
              <w:spacing w:after="0"/>
              <w:rPr>
                <w:sz w:val="17"/>
                <w:szCs w:val="17"/>
                <w:color w:val="auto"/>
              </w:rPr>
            </w:pPr>
          </w:p>
        </w:tc>
        <w:tc>
          <w:tcPr>
            <w:tcW w:w="5160" w:type="dxa"/>
            <w:vAlign w:val="bottom"/>
            <w:tcBorders>
              <w:right w:val="single" w:sz="8" w:color="auto"/>
            </w:tcBorders>
          </w:tcPr>
          <w:p>
            <w:pPr>
              <w:jc w:val="right"/>
              <w:spacing w:after="0" w:line="202" w:lineRule="exact"/>
              <w:rPr>
                <w:sz w:val="20"/>
                <w:szCs w:val="20"/>
                <w:color w:val="auto"/>
              </w:rPr>
            </w:pPr>
            <w:r>
              <w:rPr>
                <w:rFonts w:ascii="Arial" w:cs="Arial" w:eastAsia="Arial" w:hAnsi="Arial"/>
                <w:sz w:val="18"/>
                <w:szCs w:val="18"/>
                <w:color w:val="auto"/>
              </w:rPr>
              <w:t>compléter le plan d’intéressement à long terme dans les</w:t>
            </w:r>
          </w:p>
        </w:tc>
      </w:tr>
      <w:tr>
        <w:trPr>
          <w:trHeight w:val="203"/>
        </w:trPr>
        <w:tc>
          <w:tcPr>
            <w:tcW w:w="380" w:type="dxa"/>
            <w:vAlign w:val="bottom"/>
            <w:tcBorders>
              <w:left w:val="single" w:sz="8" w:color="auto"/>
              <w:bottom w:val="single" w:sz="8" w:color="auto"/>
            </w:tcBorders>
          </w:tcPr>
          <w:p>
            <w:pPr>
              <w:spacing w:after="0"/>
              <w:rPr>
                <w:sz w:val="17"/>
                <w:szCs w:val="17"/>
                <w:color w:val="auto"/>
              </w:rPr>
            </w:pPr>
          </w:p>
        </w:tc>
        <w:tc>
          <w:tcPr>
            <w:tcW w:w="5160" w:type="dxa"/>
            <w:vAlign w:val="bottom"/>
            <w:tcBorders>
              <w:bottom w:val="single" w:sz="8" w:color="auto"/>
              <w:right w:val="single" w:sz="8" w:color="auto"/>
            </w:tcBorders>
          </w:tcPr>
          <w:p>
            <w:pPr>
              <w:jc w:val="right"/>
              <w:ind w:right="50"/>
              <w:spacing w:after="0" w:line="203" w:lineRule="exact"/>
              <w:rPr>
                <w:sz w:val="20"/>
                <w:szCs w:val="20"/>
                <w:color w:val="auto"/>
              </w:rPr>
            </w:pPr>
            <w:r>
              <w:rPr>
                <w:rFonts w:ascii="Arial" w:cs="Arial" w:eastAsia="Arial" w:hAnsi="Arial"/>
                <w:sz w:val="18"/>
                <w:szCs w:val="18"/>
                <w:color w:val="auto"/>
              </w:rPr>
              <w:t>the bounds of the principles set out above or to discontinue it.</w:t>
            </w:r>
          </w:p>
        </w:tc>
        <w:tc>
          <w:tcPr>
            <w:tcW w:w="220" w:type="dxa"/>
            <w:vAlign w:val="bottom"/>
            <w:tcBorders>
              <w:bottom w:val="single" w:sz="8" w:color="auto"/>
              <w:right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5160" w:type="dxa"/>
            <w:vAlign w:val="bottom"/>
            <w:tcBorders>
              <w:bottom w:val="single" w:sz="8" w:color="auto"/>
              <w:right w:val="single" w:sz="8" w:color="auto"/>
            </w:tcBorders>
          </w:tcPr>
          <w:p>
            <w:pPr>
              <w:jc w:val="right"/>
              <w:ind w:right="172"/>
              <w:spacing w:after="0" w:line="203" w:lineRule="exact"/>
              <w:rPr>
                <w:sz w:val="20"/>
                <w:szCs w:val="20"/>
                <w:color w:val="auto"/>
              </w:rPr>
            </w:pPr>
            <w:r>
              <w:rPr>
                <w:rFonts w:ascii="Arial" w:cs="Arial" w:eastAsia="Arial" w:hAnsi="Arial"/>
                <w:sz w:val="18"/>
                <w:szCs w:val="18"/>
                <w:color w:val="auto"/>
              </w:rPr>
              <w:t>limites des principes énoncés ci-dessus ou de l'interrompre.</w:t>
            </w:r>
          </w:p>
        </w:tc>
      </w:tr>
      <w:tr>
        <w:trPr>
          <w:trHeight w:val="263"/>
        </w:trPr>
        <w:tc>
          <w:tcPr>
            <w:tcW w:w="5540" w:type="dxa"/>
            <w:vAlign w:val="bottom"/>
            <w:tcBorders>
              <w:left w:val="single" w:sz="8" w:color="auto"/>
              <w:right w:val="single" w:sz="8" w:color="auto"/>
            </w:tcBorders>
            <w:gridSpan w:val="2"/>
          </w:tcPr>
          <w:p>
            <w:pPr>
              <w:ind w:left="100"/>
              <w:spacing w:after="0"/>
              <w:rPr>
                <w:sz w:val="20"/>
                <w:szCs w:val="20"/>
                <w:color w:val="auto"/>
              </w:rPr>
            </w:pPr>
            <w:r>
              <w:rPr>
                <w:rFonts w:ascii="Arial" w:cs="Arial" w:eastAsia="Arial" w:hAnsi="Arial"/>
                <w:sz w:val="18"/>
                <w:szCs w:val="18"/>
                <w:color w:val="auto"/>
              </w:rPr>
              <w:t>The Company may periodically offer shares in the Company to</w:t>
            </w:r>
          </w:p>
        </w:tc>
        <w:tc>
          <w:tcPr>
            <w:tcW w:w="220" w:type="dxa"/>
            <w:vAlign w:val="bottom"/>
            <w:tcBorders>
              <w:right w:val="single" w:sz="8" w:color="auto"/>
            </w:tcBorders>
          </w:tcPr>
          <w:p>
            <w:pPr>
              <w:spacing w:after="0"/>
              <w:rPr>
                <w:sz w:val="22"/>
                <w:szCs w:val="22"/>
                <w:color w:val="auto"/>
              </w:rPr>
            </w:pPr>
          </w:p>
        </w:tc>
        <w:tc>
          <w:tcPr>
            <w:tcW w:w="5480" w:type="dxa"/>
            <w:vAlign w:val="bottom"/>
            <w:tcBorders>
              <w:right w:val="single" w:sz="8" w:color="auto"/>
            </w:tcBorders>
            <w:gridSpan w:val="2"/>
          </w:tcPr>
          <w:p>
            <w:pPr>
              <w:ind w:left="60"/>
              <w:spacing w:after="0"/>
              <w:rPr>
                <w:sz w:val="20"/>
                <w:szCs w:val="20"/>
                <w:color w:val="auto"/>
              </w:rPr>
            </w:pPr>
            <w:r>
              <w:rPr>
                <w:rFonts w:ascii="Arial" w:cs="Arial" w:eastAsia="Arial" w:hAnsi="Arial"/>
                <w:sz w:val="18"/>
                <w:szCs w:val="18"/>
                <w:color w:val="auto"/>
              </w:rPr>
              <w:t>La société peut périodiquement offrir des actions de la société aux</w:t>
            </w:r>
          </w:p>
        </w:tc>
      </w:tr>
      <w:tr>
        <w:trPr>
          <w:trHeight w:val="203"/>
        </w:trPr>
        <w:tc>
          <w:tcPr>
            <w:tcW w:w="5540" w:type="dxa"/>
            <w:vAlign w:val="bottom"/>
            <w:tcBorders>
              <w:left w:val="single" w:sz="8" w:color="auto"/>
              <w:right w:val="single" w:sz="8" w:color="auto"/>
            </w:tcBorders>
            <w:gridSpan w:val="2"/>
          </w:tcPr>
          <w:p>
            <w:pPr>
              <w:ind w:left="100"/>
              <w:spacing w:after="0" w:line="202" w:lineRule="exact"/>
              <w:rPr>
                <w:sz w:val="20"/>
                <w:szCs w:val="20"/>
                <w:color w:val="auto"/>
              </w:rPr>
            </w:pPr>
            <w:r>
              <w:rPr>
                <w:rFonts w:ascii="Arial" w:cs="Arial" w:eastAsia="Arial" w:hAnsi="Arial"/>
                <w:sz w:val="18"/>
                <w:szCs w:val="18"/>
                <w:color w:val="auto"/>
              </w:rPr>
              <w:t>important and long-term employees for a price being at maximum</w:t>
            </w:r>
          </w:p>
        </w:tc>
        <w:tc>
          <w:tcPr>
            <w:tcW w:w="22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gridSpan w:val="2"/>
          </w:tcPr>
          <w:p>
            <w:pPr>
              <w:ind w:left="60"/>
              <w:spacing w:after="0" w:line="202" w:lineRule="exact"/>
              <w:rPr>
                <w:sz w:val="20"/>
                <w:szCs w:val="20"/>
                <w:color w:val="auto"/>
              </w:rPr>
            </w:pPr>
            <w:r>
              <w:rPr>
                <w:rFonts w:ascii="Arial" w:cs="Arial" w:eastAsia="Arial" w:hAnsi="Arial"/>
                <w:sz w:val="18"/>
                <w:szCs w:val="18"/>
                <w:color w:val="auto"/>
              </w:rPr>
              <w:t>salariés importants et à long terme pour un prix étant au maximum</w:t>
            </w:r>
          </w:p>
        </w:tc>
      </w:tr>
      <w:tr>
        <w:trPr>
          <w:trHeight w:val="203"/>
        </w:trPr>
        <w:tc>
          <w:tcPr>
            <w:tcW w:w="5540" w:type="dxa"/>
            <w:vAlign w:val="bottom"/>
            <w:tcBorders>
              <w:left w:val="single" w:sz="8" w:color="auto"/>
              <w:right w:val="single" w:sz="8" w:color="auto"/>
            </w:tcBorders>
            <w:gridSpan w:val="2"/>
          </w:tcPr>
          <w:p>
            <w:pPr>
              <w:ind w:left="100"/>
              <w:spacing w:after="0" w:line="202" w:lineRule="exact"/>
              <w:rPr>
                <w:sz w:val="20"/>
                <w:szCs w:val="20"/>
                <w:color w:val="auto"/>
              </w:rPr>
            </w:pPr>
            <w:r>
              <w:rPr>
                <w:rFonts w:ascii="Arial" w:cs="Arial" w:eastAsia="Arial" w:hAnsi="Arial"/>
                <w:sz w:val="18"/>
                <w:szCs w:val="18"/>
                <w:color w:val="auto"/>
              </w:rPr>
              <w:t>ten percent below the average volume-weighted price of the last</w:t>
            </w:r>
          </w:p>
        </w:tc>
        <w:tc>
          <w:tcPr>
            <w:tcW w:w="22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gridSpan w:val="2"/>
          </w:tcPr>
          <w:p>
            <w:pPr>
              <w:ind w:left="60"/>
              <w:spacing w:after="0" w:line="202" w:lineRule="exact"/>
              <w:rPr>
                <w:sz w:val="20"/>
                <w:szCs w:val="20"/>
                <w:color w:val="auto"/>
              </w:rPr>
            </w:pPr>
            <w:r>
              <w:rPr>
                <w:rFonts w:ascii="Arial" w:cs="Arial" w:eastAsia="Arial" w:hAnsi="Arial"/>
                <w:sz w:val="18"/>
                <w:szCs w:val="18"/>
                <w:color w:val="auto"/>
              </w:rPr>
              <w:t>dix pour cent au-dessous du prix moyen pondéré par les volumes</w:t>
            </w:r>
          </w:p>
        </w:tc>
      </w:tr>
      <w:tr>
        <w:trPr>
          <w:trHeight w:val="203"/>
        </w:trPr>
        <w:tc>
          <w:tcPr>
            <w:tcW w:w="5540" w:type="dxa"/>
            <w:vAlign w:val="bottom"/>
            <w:tcBorders>
              <w:left w:val="single" w:sz="8" w:color="auto"/>
              <w:right w:val="single" w:sz="8" w:color="auto"/>
            </w:tcBorders>
            <w:gridSpan w:val="2"/>
          </w:tcPr>
          <w:p>
            <w:pPr>
              <w:ind w:left="100"/>
              <w:spacing w:after="0" w:line="202" w:lineRule="exact"/>
              <w:rPr>
                <w:sz w:val="20"/>
                <w:szCs w:val="20"/>
                <w:color w:val="auto"/>
              </w:rPr>
            </w:pPr>
            <w:r>
              <w:rPr>
                <w:rFonts w:ascii="Arial" w:cs="Arial" w:eastAsia="Arial" w:hAnsi="Arial"/>
                <w:sz w:val="18"/>
                <w:szCs w:val="18"/>
                <w:color w:val="auto"/>
              </w:rPr>
              <w:t>30 trading days at the stock exchange. Members of the Board of</w:t>
            </w:r>
          </w:p>
        </w:tc>
        <w:tc>
          <w:tcPr>
            <w:tcW w:w="22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gridSpan w:val="2"/>
          </w:tcPr>
          <w:p>
            <w:pPr>
              <w:ind w:left="60"/>
              <w:spacing w:after="0" w:line="202" w:lineRule="exact"/>
              <w:rPr>
                <w:sz w:val="20"/>
                <w:szCs w:val="20"/>
                <w:color w:val="auto"/>
              </w:rPr>
            </w:pPr>
            <w:r>
              <w:rPr>
                <w:rFonts w:ascii="Arial" w:cs="Arial" w:eastAsia="Arial" w:hAnsi="Arial"/>
                <w:sz w:val="18"/>
                <w:szCs w:val="18"/>
                <w:color w:val="auto"/>
              </w:rPr>
              <w:t>des 30 derniers jours à la bourse. Les membres du conseil</w:t>
            </w:r>
          </w:p>
        </w:tc>
      </w:tr>
      <w:tr>
        <w:trPr>
          <w:trHeight w:val="203"/>
        </w:trPr>
        <w:tc>
          <w:tcPr>
            <w:tcW w:w="5540" w:type="dxa"/>
            <w:vAlign w:val="bottom"/>
            <w:tcBorders>
              <w:left w:val="single" w:sz="8" w:color="auto"/>
              <w:right w:val="single" w:sz="8" w:color="auto"/>
            </w:tcBorders>
            <w:gridSpan w:val="2"/>
          </w:tcPr>
          <w:p>
            <w:pPr>
              <w:ind w:left="100"/>
              <w:spacing w:after="0" w:line="202" w:lineRule="exact"/>
              <w:rPr>
                <w:sz w:val="20"/>
                <w:szCs w:val="20"/>
                <w:color w:val="auto"/>
              </w:rPr>
            </w:pPr>
            <w:r>
              <w:rPr>
                <w:rFonts w:ascii="Arial" w:cs="Arial" w:eastAsia="Arial" w:hAnsi="Arial"/>
                <w:sz w:val="18"/>
                <w:szCs w:val="18"/>
                <w:color w:val="auto"/>
              </w:rPr>
              <w:t>Directors and the Executive Committee may be included in this</w:t>
            </w:r>
          </w:p>
        </w:tc>
        <w:tc>
          <w:tcPr>
            <w:tcW w:w="22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gridSpan w:val="2"/>
          </w:tcPr>
          <w:p>
            <w:pPr>
              <w:ind w:left="60"/>
              <w:spacing w:after="0" w:line="202" w:lineRule="exact"/>
              <w:rPr>
                <w:sz w:val="20"/>
                <w:szCs w:val="20"/>
                <w:color w:val="auto"/>
              </w:rPr>
            </w:pPr>
            <w:r>
              <w:rPr>
                <w:rFonts w:ascii="Arial" w:cs="Arial" w:eastAsia="Arial" w:hAnsi="Arial"/>
                <w:sz w:val="18"/>
                <w:szCs w:val="18"/>
                <w:color w:val="auto"/>
              </w:rPr>
              <w:t>d'administration et du comité exécutif peuvent être inclus dans ce</w:t>
            </w:r>
          </w:p>
        </w:tc>
      </w:tr>
      <w:tr>
        <w:trPr>
          <w:trHeight w:val="203"/>
        </w:trPr>
        <w:tc>
          <w:tcPr>
            <w:tcW w:w="5540" w:type="dxa"/>
            <w:vAlign w:val="bottom"/>
            <w:tcBorders>
              <w:left w:val="single" w:sz="8" w:color="auto"/>
              <w:right w:val="single" w:sz="8" w:color="auto"/>
            </w:tcBorders>
            <w:gridSpan w:val="2"/>
          </w:tcPr>
          <w:p>
            <w:pPr>
              <w:ind w:left="100"/>
              <w:spacing w:after="0" w:line="202" w:lineRule="exact"/>
              <w:rPr>
                <w:sz w:val="20"/>
                <w:szCs w:val="20"/>
                <w:color w:val="auto"/>
              </w:rPr>
            </w:pPr>
            <w:r>
              <w:rPr>
                <w:rFonts w:ascii="Arial" w:cs="Arial" w:eastAsia="Arial" w:hAnsi="Arial"/>
                <w:sz w:val="18"/>
                <w:szCs w:val="18"/>
                <w:color w:val="auto"/>
              </w:rPr>
              <w:t>program. The shares acquired thereby shall be blocked for a</w:t>
            </w:r>
          </w:p>
        </w:tc>
        <w:tc>
          <w:tcPr>
            <w:tcW w:w="22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gridSpan w:val="2"/>
          </w:tcPr>
          <w:p>
            <w:pPr>
              <w:ind w:left="60"/>
              <w:spacing w:after="0" w:line="202" w:lineRule="exact"/>
              <w:rPr>
                <w:sz w:val="20"/>
                <w:szCs w:val="20"/>
                <w:color w:val="auto"/>
              </w:rPr>
            </w:pPr>
            <w:r>
              <w:rPr>
                <w:rFonts w:ascii="Arial" w:cs="Arial" w:eastAsia="Arial" w:hAnsi="Arial"/>
                <w:sz w:val="18"/>
                <w:szCs w:val="18"/>
                <w:color w:val="auto"/>
              </w:rPr>
              <w:t>programme. Les actions ainsi acquises seront bloquées pour une</w:t>
            </w:r>
          </w:p>
        </w:tc>
      </w:tr>
      <w:tr>
        <w:trPr>
          <w:trHeight w:val="217"/>
        </w:trPr>
        <w:tc>
          <w:tcPr>
            <w:tcW w:w="5540" w:type="dxa"/>
            <w:vAlign w:val="bottom"/>
            <w:tcBorders>
              <w:left w:val="single" w:sz="8" w:color="auto"/>
              <w:right w:val="single" w:sz="8" w:color="auto"/>
            </w:tcBorders>
            <w:gridSpan w:val="2"/>
          </w:tcPr>
          <w:p>
            <w:pPr>
              <w:ind w:left="100"/>
              <w:spacing w:after="0"/>
              <w:rPr>
                <w:sz w:val="20"/>
                <w:szCs w:val="20"/>
                <w:color w:val="auto"/>
              </w:rPr>
            </w:pPr>
            <w:r>
              <w:rPr>
                <w:rFonts w:ascii="Arial" w:cs="Arial" w:eastAsia="Arial" w:hAnsi="Arial"/>
                <w:sz w:val="18"/>
                <w:szCs w:val="18"/>
                <w:color w:val="auto"/>
              </w:rPr>
              <w:t>period of at least 3 years.</w:t>
            </w:r>
          </w:p>
        </w:tc>
        <w:tc>
          <w:tcPr>
            <w:tcW w:w="220" w:type="dxa"/>
            <w:vAlign w:val="bottom"/>
            <w:tcBorders>
              <w:right w:val="single" w:sz="8" w:color="auto"/>
            </w:tcBorders>
          </w:tcPr>
          <w:p>
            <w:pPr>
              <w:spacing w:after="0"/>
              <w:rPr>
                <w:sz w:val="18"/>
                <w:szCs w:val="18"/>
                <w:color w:val="auto"/>
              </w:rPr>
            </w:pPr>
          </w:p>
        </w:tc>
        <w:tc>
          <w:tcPr>
            <w:tcW w:w="5480" w:type="dxa"/>
            <w:vAlign w:val="bottom"/>
            <w:tcBorders>
              <w:right w:val="single" w:sz="8" w:color="auto"/>
            </w:tcBorders>
            <w:gridSpan w:val="2"/>
          </w:tcPr>
          <w:p>
            <w:pPr>
              <w:ind w:left="60"/>
              <w:spacing w:after="0"/>
              <w:rPr>
                <w:sz w:val="20"/>
                <w:szCs w:val="20"/>
                <w:color w:val="auto"/>
              </w:rPr>
            </w:pPr>
            <w:r>
              <w:rPr>
                <w:rFonts w:ascii="Arial" w:cs="Arial" w:eastAsia="Arial" w:hAnsi="Arial"/>
                <w:sz w:val="18"/>
                <w:szCs w:val="18"/>
                <w:color w:val="auto"/>
              </w:rPr>
              <w:t>période d'au moins 3 ans.</w:t>
            </w:r>
          </w:p>
        </w:tc>
      </w:tr>
      <w:tr>
        <w:trPr>
          <w:trHeight w:val="54"/>
        </w:trPr>
        <w:tc>
          <w:tcPr>
            <w:tcW w:w="5540" w:type="dxa"/>
            <w:vAlign w:val="bottom"/>
            <w:tcBorders>
              <w:left w:val="single" w:sz="8" w:color="auto"/>
              <w:bottom w:val="single" w:sz="8" w:color="auto"/>
              <w:right w:val="single" w:sz="8" w:color="auto"/>
            </w:tcBorders>
            <w:gridSpan w:val="2"/>
          </w:tcPr>
          <w:p>
            <w:pPr>
              <w:spacing w:after="0"/>
              <w:rPr>
                <w:sz w:val="4"/>
                <w:szCs w:val="4"/>
                <w:color w:val="auto"/>
              </w:rPr>
            </w:pPr>
          </w:p>
        </w:tc>
        <w:tc>
          <w:tcPr>
            <w:tcW w:w="220" w:type="dxa"/>
            <w:vAlign w:val="bottom"/>
            <w:tcBorders>
              <w:bottom w:val="single" w:sz="8" w:color="auto"/>
              <w:right w:val="single" w:sz="8" w:color="auto"/>
            </w:tcBorders>
          </w:tcPr>
          <w:p>
            <w:pPr>
              <w:spacing w:after="0"/>
              <w:rPr>
                <w:sz w:val="4"/>
                <w:szCs w:val="4"/>
                <w:color w:val="auto"/>
              </w:rPr>
            </w:pPr>
          </w:p>
        </w:tc>
        <w:tc>
          <w:tcPr>
            <w:tcW w:w="5480" w:type="dxa"/>
            <w:vAlign w:val="bottom"/>
            <w:tcBorders>
              <w:bottom w:val="single" w:sz="8" w:color="auto"/>
              <w:right w:val="single" w:sz="8" w:color="auto"/>
            </w:tcBorders>
            <w:gridSpan w:val="2"/>
          </w:tcPr>
          <w:p>
            <w:pPr>
              <w:spacing w:after="0"/>
              <w:rPr>
                <w:sz w:val="4"/>
                <w:szCs w:val="4"/>
                <w:color w:val="auto"/>
              </w:rPr>
            </w:pPr>
          </w:p>
        </w:tc>
      </w:tr>
      <w:tr>
        <w:trPr>
          <w:trHeight w:val="241"/>
        </w:trPr>
        <w:tc>
          <w:tcPr>
            <w:tcW w:w="5540" w:type="dxa"/>
            <w:vAlign w:val="bottom"/>
            <w:tcBorders>
              <w:left w:val="single" w:sz="8" w:color="auto"/>
              <w:right w:val="single" w:sz="8" w:color="auto"/>
            </w:tcBorders>
            <w:gridSpan w:val="2"/>
          </w:tcPr>
          <w:p>
            <w:pPr>
              <w:ind w:left="100"/>
              <w:spacing w:after="0"/>
              <w:rPr>
                <w:sz w:val="20"/>
                <w:szCs w:val="20"/>
                <w:color w:val="auto"/>
              </w:rPr>
            </w:pPr>
            <w:r>
              <w:rPr>
                <w:rFonts w:ascii="Arial" w:cs="Arial" w:eastAsia="Arial" w:hAnsi="Arial"/>
                <w:sz w:val="18"/>
                <w:szCs w:val="18"/>
                <w:b w:val="1"/>
                <w:bCs w:val="1"/>
                <w:color w:val="auto"/>
              </w:rPr>
              <w:t>VIII. BUSINESS YEAR, ACCOUNTING, ALLOCATION OF</w:t>
            </w:r>
          </w:p>
        </w:tc>
        <w:tc>
          <w:tcPr>
            <w:tcW w:w="220" w:type="dxa"/>
            <w:vAlign w:val="bottom"/>
            <w:tcBorders>
              <w:right w:val="single" w:sz="8" w:color="auto"/>
            </w:tcBorders>
          </w:tcPr>
          <w:p>
            <w:pPr>
              <w:spacing w:after="0"/>
              <w:rPr>
                <w:sz w:val="20"/>
                <w:szCs w:val="20"/>
                <w:color w:val="auto"/>
              </w:rPr>
            </w:pPr>
          </w:p>
        </w:tc>
        <w:tc>
          <w:tcPr>
            <w:tcW w:w="5480" w:type="dxa"/>
            <w:vAlign w:val="bottom"/>
            <w:tcBorders>
              <w:right w:val="single" w:sz="8" w:color="auto"/>
            </w:tcBorders>
            <w:gridSpan w:val="2"/>
          </w:tcPr>
          <w:p>
            <w:pPr>
              <w:ind w:left="60"/>
              <w:spacing w:after="0"/>
              <w:rPr>
                <w:sz w:val="20"/>
                <w:szCs w:val="20"/>
                <w:color w:val="auto"/>
              </w:rPr>
            </w:pPr>
            <w:r>
              <w:rPr>
                <w:rFonts w:ascii="Arial" w:cs="Arial" w:eastAsia="Arial" w:hAnsi="Arial"/>
                <w:sz w:val="18"/>
                <w:szCs w:val="18"/>
                <w:b w:val="1"/>
                <w:bCs w:val="1"/>
                <w:color w:val="auto"/>
              </w:rPr>
              <w:t>VIII. EXERCICE, COMPTABILITÉ, RÉPARTITION DES</w:t>
            </w:r>
          </w:p>
        </w:tc>
      </w:tr>
      <w:tr>
        <w:trPr>
          <w:trHeight w:val="239"/>
        </w:trPr>
        <w:tc>
          <w:tcPr>
            <w:tcW w:w="5540" w:type="dxa"/>
            <w:vAlign w:val="bottom"/>
            <w:tcBorders>
              <w:left w:val="single" w:sz="8" w:color="auto"/>
              <w:right w:val="single" w:sz="8" w:color="auto"/>
            </w:tcBorders>
            <w:gridSpan w:val="2"/>
          </w:tcPr>
          <w:p>
            <w:pPr>
              <w:ind w:left="100"/>
              <w:spacing w:after="0"/>
              <w:rPr>
                <w:sz w:val="20"/>
                <w:szCs w:val="20"/>
                <w:color w:val="auto"/>
              </w:rPr>
            </w:pPr>
            <w:r>
              <w:rPr>
                <w:rFonts w:ascii="Arial" w:cs="Arial" w:eastAsia="Arial" w:hAnsi="Arial"/>
                <w:sz w:val="18"/>
                <w:szCs w:val="18"/>
                <w:b w:val="1"/>
                <w:bCs w:val="1"/>
                <w:color w:val="auto"/>
              </w:rPr>
              <w:t>PROFITS</w:t>
            </w:r>
          </w:p>
        </w:tc>
        <w:tc>
          <w:tcPr>
            <w:tcW w:w="220" w:type="dxa"/>
            <w:vAlign w:val="bottom"/>
            <w:tcBorders>
              <w:right w:val="single" w:sz="8" w:color="auto"/>
            </w:tcBorders>
          </w:tcPr>
          <w:p>
            <w:pPr>
              <w:spacing w:after="0"/>
              <w:rPr>
                <w:sz w:val="20"/>
                <w:szCs w:val="20"/>
                <w:color w:val="auto"/>
              </w:rPr>
            </w:pPr>
          </w:p>
        </w:tc>
        <w:tc>
          <w:tcPr>
            <w:tcW w:w="5480" w:type="dxa"/>
            <w:vAlign w:val="bottom"/>
            <w:tcBorders>
              <w:right w:val="single" w:sz="8" w:color="auto"/>
            </w:tcBorders>
            <w:gridSpan w:val="2"/>
          </w:tcPr>
          <w:p>
            <w:pPr>
              <w:ind w:left="60"/>
              <w:spacing w:after="0"/>
              <w:rPr>
                <w:sz w:val="20"/>
                <w:szCs w:val="20"/>
                <w:color w:val="auto"/>
              </w:rPr>
            </w:pPr>
            <w:r>
              <w:rPr>
                <w:rFonts w:ascii="Arial" w:cs="Arial" w:eastAsia="Arial" w:hAnsi="Arial"/>
                <w:sz w:val="18"/>
                <w:szCs w:val="18"/>
                <w:b w:val="1"/>
                <w:bCs w:val="1"/>
                <w:color w:val="auto"/>
              </w:rPr>
              <w:t>BÉNÉFICES</w:t>
            </w:r>
          </w:p>
        </w:tc>
      </w:tr>
      <w:tr>
        <w:trPr>
          <w:trHeight w:val="54"/>
        </w:trPr>
        <w:tc>
          <w:tcPr>
            <w:tcW w:w="5540" w:type="dxa"/>
            <w:vAlign w:val="bottom"/>
            <w:tcBorders>
              <w:left w:val="single" w:sz="8" w:color="auto"/>
              <w:bottom w:val="single" w:sz="8" w:color="auto"/>
              <w:right w:val="single" w:sz="8" w:color="auto"/>
            </w:tcBorders>
            <w:gridSpan w:val="2"/>
          </w:tcPr>
          <w:p>
            <w:pPr>
              <w:spacing w:after="0"/>
              <w:rPr>
                <w:sz w:val="4"/>
                <w:szCs w:val="4"/>
                <w:color w:val="auto"/>
              </w:rPr>
            </w:pPr>
          </w:p>
        </w:tc>
        <w:tc>
          <w:tcPr>
            <w:tcW w:w="220" w:type="dxa"/>
            <w:vAlign w:val="bottom"/>
            <w:tcBorders>
              <w:bottom w:val="single" w:sz="8" w:color="auto"/>
              <w:right w:val="single" w:sz="8" w:color="auto"/>
            </w:tcBorders>
          </w:tcPr>
          <w:p>
            <w:pPr>
              <w:spacing w:after="0"/>
              <w:rPr>
                <w:sz w:val="4"/>
                <w:szCs w:val="4"/>
                <w:color w:val="auto"/>
              </w:rPr>
            </w:pPr>
          </w:p>
        </w:tc>
        <w:tc>
          <w:tcPr>
            <w:tcW w:w="5480" w:type="dxa"/>
            <w:vAlign w:val="bottom"/>
            <w:tcBorders>
              <w:bottom w:val="single" w:sz="8" w:color="auto"/>
              <w:right w:val="single" w:sz="8" w:color="auto"/>
            </w:tcBorders>
            <w:gridSpan w:val="2"/>
          </w:tcPr>
          <w:p>
            <w:pPr>
              <w:spacing w:after="0"/>
              <w:rPr>
                <w:sz w:val="4"/>
                <w:szCs w:val="4"/>
                <w:color w:val="auto"/>
              </w:rPr>
            </w:pPr>
          </w:p>
        </w:tc>
      </w:tr>
      <w:tr>
        <w:trPr>
          <w:trHeight w:val="277"/>
        </w:trPr>
        <w:tc>
          <w:tcPr>
            <w:tcW w:w="5540" w:type="dxa"/>
            <w:vAlign w:val="bottom"/>
            <w:tcBorders>
              <w:left w:val="single" w:sz="8" w:color="auto"/>
              <w:right w:val="single" w:sz="8" w:color="auto"/>
            </w:tcBorders>
            <w:gridSpan w:val="2"/>
          </w:tcPr>
          <w:p>
            <w:pPr>
              <w:ind w:left="100"/>
              <w:spacing w:after="0"/>
              <w:rPr>
                <w:sz w:val="20"/>
                <w:szCs w:val="20"/>
                <w:color w:val="auto"/>
              </w:rPr>
            </w:pPr>
            <w:r>
              <w:rPr>
                <w:rFonts w:ascii="Arial" w:cs="Arial" w:eastAsia="Arial" w:hAnsi="Arial"/>
                <w:sz w:val="18"/>
                <w:szCs w:val="18"/>
                <w:b w:val="1"/>
                <w:bCs w:val="1"/>
                <w:color w:val="auto"/>
              </w:rPr>
              <w:t>Art. 42 Business Year</w:t>
            </w:r>
          </w:p>
        </w:tc>
        <w:tc>
          <w:tcPr>
            <w:tcW w:w="220" w:type="dxa"/>
            <w:vAlign w:val="bottom"/>
            <w:tcBorders>
              <w:right w:val="single" w:sz="8" w:color="auto"/>
            </w:tcBorders>
          </w:tcPr>
          <w:p>
            <w:pPr>
              <w:spacing w:after="0"/>
              <w:rPr>
                <w:sz w:val="24"/>
                <w:szCs w:val="24"/>
                <w:color w:val="auto"/>
              </w:rPr>
            </w:pPr>
          </w:p>
        </w:tc>
        <w:tc>
          <w:tcPr>
            <w:tcW w:w="5480" w:type="dxa"/>
            <w:vAlign w:val="bottom"/>
            <w:tcBorders>
              <w:right w:val="single" w:sz="8" w:color="auto"/>
            </w:tcBorders>
            <w:gridSpan w:val="2"/>
          </w:tcPr>
          <w:p>
            <w:pPr>
              <w:ind w:left="60"/>
              <w:spacing w:after="0"/>
              <w:rPr>
                <w:sz w:val="20"/>
                <w:szCs w:val="20"/>
                <w:color w:val="auto"/>
              </w:rPr>
            </w:pPr>
            <w:r>
              <w:rPr>
                <w:rFonts w:ascii="Arial" w:cs="Arial" w:eastAsia="Arial" w:hAnsi="Arial"/>
                <w:sz w:val="18"/>
                <w:szCs w:val="18"/>
                <w:b w:val="1"/>
                <w:bCs w:val="1"/>
                <w:color w:val="auto"/>
              </w:rPr>
              <w:t>Art. 42 Exercice</w:t>
            </w:r>
          </w:p>
        </w:tc>
      </w:tr>
      <w:tr>
        <w:trPr>
          <w:trHeight w:val="391"/>
        </w:trPr>
        <w:tc>
          <w:tcPr>
            <w:tcW w:w="5540" w:type="dxa"/>
            <w:vAlign w:val="bottom"/>
            <w:tcBorders>
              <w:left w:val="single" w:sz="8" w:color="auto"/>
              <w:right w:val="single" w:sz="8" w:color="auto"/>
            </w:tcBorders>
            <w:gridSpan w:val="2"/>
          </w:tcPr>
          <w:p>
            <w:pPr>
              <w:ind w:left="100"/>
              <w:spacing w:after="0"/>
              <w:rPr>
                <w:sz w:val="20"/>
                <w:szCs w:val="20"/>
                <w:color w:val="auto"/>
              </w:rPr>
            </w:pPr>
            <w:r>
              <w:rPr>
                <w:rFonts w:ascii="Arial" w:cs="Arial" w:eastAsia="Arial" w:hAnsi="Arial"/>
                <w:sz w:val="18"/>
                <w:szCs w:val="18"/>
                <w:color w:val="auto"/>
              </w:rPr>
              <w:t>The Board of Directors shall determine the start and the end of the</w:t>
            </w:r>
          </w:p>
        </w:tc>
        <w:tc>
          <w:tcPr>
            <w:tcW w:w="220" w:type="dxa"/>
            <w:vAlign w:val="bottom"/>
            <w:tcBorders>
              <w:right w:val="single" w:sz="8" w:color="auto"/>
            </w:tcBorders>
          </w:tcPr>
          <w:p>
            <w:pPr>
              <w:spacing w:after="0"/>
              <w:rPr>
                <w:sz w:val="24"/>
                <w:szCs w:val="24"/>
                <w:color w:val="auto"/>
              </w:rPr>
            </w:pPr>
          </w:p>
        </w:tc>
        <w:tc>
          <w:tcPr>
            <w:tcW w:w="5480" w:type="dxa"/>
            <w:vAlign w:val="bottom"/>
            <w:tcBorders>
              <w:right w:val="single" w:sz="8" w:color="auto"/>
            </w:tcBorders>
            <w:gridSpan w:val="2"/>
          </w:tcPr>
          <w:p>
            <w:pPr>
              <w:ind w:left="60"/>
              <w:spacing w:after="0"/>
              <w:rPr>
                <w:sz w:val="20"/>
                <w:szCs w:val="20"/>
                <w:color w:val="auto"/>
              </w:rPr>
            </w:pPr>
            <w:r>
              <w:rPr>
                <w:rFonts w:ascii="Arial" w:cs="Arial" w:eastAsia="Arial" w:hAnsi="Arial"/>
                <w:sz w:val="18"/>
                <w:szCs w:val="18"/>
                <w:color w:val="auto"/>
              </w:rPr>
              <w:t>Le conseil d'administration détermine le début et la fin de l'exercice</w:t>
            </w:r>
          </w:p>
        </w:tc>
      </w:tr>
      <w:tr>
        <w:trPr>
          <w:trHeight w:val="217"/>
        </w:trPr>
        <w:tc>
          <w:tcPr>
            <w:tcW w:w="5540" w:type="dxa"/>
            <w:vAlign w:val="bottom"/>
            <w:tcBorders>
              <w:left w:val="single" w:sz="8" w:color="auto"/>
              <w:right w:val="single" w:sz="8" w:color="auto"/>
            </w:tcBorders>
            <w:gridSpan w:val="2"/>
          </w:tcPr>
          <w:p>
            <w:pPr>
              <w:ind w:left="100"/>
              <w:spacing w:after="0"/>
              <w:rPr>
                <w:sz w:val="20"/>
                <w:szCs w:val="20"/>
                <w:color w:val="auto"/>
              </w:rPr>
            </w:pPr>
            <w:r>
              <w:rPr>
                <w:rFonts w:ascii="Arial" w:cs="Arial" w:eastAsia="Arial" w:hAnsi="Arial"/>
                <w:sz w:val="18"/>
                <w:szCs w:val="18"/>
                <w:color w:val="auto"/>
              </w:rPr>
              <w:t>Company's business year.</w:t>
            </w:r>
          </w:p>
        </w:tc>
        <w:tc>
          <w:tcPr>
            <w:tcW w:w="220" w:type="dxa"/>
            <w:vAlign w:val="bottom"/>
            <w:tcBorders>
              <w:right w:val="single" w:sz="8" w:color="auto"/>
            </w:tcBorders>
          </w:tcPr>
          <w:p>
            <w:pPr>
              <w:spacing w:after="0"/>
              <w:rPr>
                <w:sz w:val="18"/>
                <w:szCs w:val="18"/>
                <w:color w:val="auto"/>
              </w:rPr>
            </w:pPr>
          </w:p>
        </w:tc>
        <w:tc>
          <w:tcPr>
            <w:tcW w:w="5480" w:type="dxa"/>
            <w:vAlign w:val="bottom"/>
            <w:tcBorders>
              <w:right w:val="single" w:sz="8" w:color="auto"/>
            </w:tcBorders>
            <w:gridSpan w:val="2"/>
          </w:tcPr>
          <w:p>
            <w:pPr>
              <w:ind w:left="60"/>
              <w:spacing w:after="0"/>
              <w:rPr>
                <w:sz w:val="20"/>
                <w:szCs w:val="20"/>
                <w:color w:val="auto"/>
              </w:rPr>
            </w:pPr>
            <w:r>
              <w:rPr>
                <w:rFonts w:ascii="Arial" w:cs="Arial" w:eastAsia="Arial" w:hAnsi="Arial"/>
                <w:sz w:val="18"/>
                <w:szCs w:val="18"/>
                <w:color w:val="auto"/>
              </w:rPr>
              <w:t>de la société.</w:t>
            </w:r>
          </w:p>
        </w:tc>
      </w:tr>
      <w:tr>
        <w:trPr>
          <w:trHeight w:val="54"/>
        </w:trPr>
        <w:tc>
          <w:tcPr>
            <w:tcW w:w="5540" w:type="dxa"/>
            <w:vAlign w:val="bottom"/>
            <w:tcBorders>
              <w:left w:val="single" w:sz="8" w:color="auto"/>
              <w:bottom w:val="single" w:sz="8" w:color="auto"/>
              <w:right w:val="single" w:sz="8" w:color="auto"/>
            </w:tcBorders>
            <w:gridSpan w:val="2"/>
          </w:tcPr>
          <w:p>
            <w:pPr>
              <w:spacing w:after="0"/>
              <w:rPr>
                <w:sz w:val="4"/>
                <w:szCs w:val="4"/>
                <w:color w:val="auto"/>
              </w:rPr>
            </w:pPr>
          </w:p>
        </w:tc>
        <w:tc>
          <w:tcPr>
            <w:tcW w:w="220" w:type="dxa"/>
            <w:vAlign w:val="bottom"/>
            <w:tcBorders>
              <w:bottom w:val="single" w:sz="8" w:color="auto"/>
              <w:right w:val="single" w:sz="8" w:color="auto"/>
            </w:tcBorders>
          </w:tcPr>
          <w:p>
            <w:pPr>
              <w:spacing w:after="0"/>
              <w:rPr>
                <w:sz w:val="4"/>
                <w:szCs w:val="4"/>
                <w:color w:val="auto"/>
              </w:rPr>
            </w:pPr>
          </w:p>
        </w:tc>
        <w:tc>
          <w:tcPr>
            <w:tcW w:w="5480" w:type="dxa"/>
            <w:vAlign w:val="bottom"/>
            <w:tcBorders>
              <w:bottom w:val="single" w:sz="8" w:color="auto"/>
              <w:right w:val="single" w:sz="8" w:color="auto"/>
            </w:tcBorders>
            <w:gridSpan w:val="2"/>
          </w:tcPr>
          <w:p>
            <w:pPr>
              <w:spacing w:after="0"/>
              <w:rPr>
                <w:sz w:val="4"/>
                <w:szCs w:val="4"/>
                <w:color w:val="auto"/>
              </w:rPr>
            </w:pPr>
          </w:p>
        </w:tc>
      </w:tr>
      <w:tr>
        <w:trPr>
          <w:trHeight w:val="277"/>
        </w:trPr>
        <w:tc>
          <w:tcPr>
            <w:tcW w:w="5540" w:type="dxa"/>
            <w:vAlign w:val="bottom"/>
            <w:tcBorders>
              <w:left w:val="single" w:sz="8" w:color="auto"/>
              <w:right w:val="single" w:sz="8" w:color="auto"/>
            </w:tcBorders>
            <w:gridSpan w:val="2"/>
          </w:tcPr>
          <w:p>
            <w:pPr>
              <w:ind w:left="100"/>
              <w:spacing w:after="0"/>
              <w:rPr>
                <w:sz w:val="20"/>
                <w:szCs w:val="20"/>
                <w:color w:val="auto"/>
              </w:rPr>
            </w:pPr>
            <w:r>
              <w:rPr>
                <w:rFonts w:ascii="Arial" w:cs="Arial" w:eastAsia="Arial" w:hAnsi="Arial"/>
                <w:sz w:val="18"/>
                <w:szCs w:val="18"/>
                <w:b w:val="1"/>
                <w:bCs w:val="1"/>
                <w:color w:val="auto"/>
              </w:rPr>
              <w:t>Art. 43 Accounting</w:t>
            </w:r>
          </w:p>
        </w:tc>
        <w:tc>
          <w:tcPr>
            <w:tcW w:w="220" w:type="dxa"/>
            <w:vAlign w:val="bottom"/>
            <w:tcBorders>
              <w:right w:val="single" w:sz="8" w:color="auto"/>
            </w:tcBorders>
          </w:tcPr>
          <w:p>
            <w:pPr>
              <w:spacing w:after="0"/>
              <w:rPr>
                <w:sz w:val="24"/>
                <w:szCs w:val="24"/>
                <w:color w:val="auto"/>
              </w:rPr>
            </w:pPr>
          </w:p>
        </w:tc>
        <w:tc>
          <w:tcPr>
            <w:tcW w:w="5480" w:type="dxa"/>
            <w:vAlign w:val="bottom"/>
            <w:tcBorders>
              <w:right w:val="single" w:sz="8" w:color="auto"/>
            </w:tcBorders>
            <w:gridSpan w:val="2"/>
          </w:tcPr>
          <w:p>
            <w:pPr>
              <w:ind w:left="60"/>
              <w:spacing w:after="0"/>
              <w:rPr>
                <w:sz w:val="20"/>
                <w:szCs w:val="20"/>
                <w:color w:val="auto"/>
              </w:rPr>
            </w:pPr>
            <w:r>
              <w:rPr>
                <w:rFonts w:ascii="Arial" w:cs="Arial" w:eastAsia="Arial" w:hAnsi="Arial"/>
                <w:sz w:val="18"/>
                <w:szCs w:val="18"/>
                <w:b w:val="1"/>
                <w:bCs w:val="1"/>
                <w:color w:val="auto"/>
              </w:rPr>
              <w:t>Art. 43 Comptabilité</w:t>
            </w:r>
          </w:p>
        </w:tc>
      </w:tr>
      <w:tr>
        <w:trPr>
          <w:trHeight w:val="391"/>
        </w:trPr>
        <w:tc>
          <w:tcPr>
            <w:tcW w:w="5540" w:type="dxa"/>
            <w:vAlign w:val="bottom"/>
            <w:tcBorders>
              <w:left w:val="single" w:sz="8" w:color="auto"/>
              <w:right w:val="single" w:sz="8" w:color="auto"/>
            </w:tcBorders>
            <w:gridSpan w:val="2"/>
          </w:tcPr>
          <w:p>
            <w:pPr>
              <w:ind w:left="100"/>
              <w:spacing w:after="0"/>
              <w:rPr>
                <w:sz w:val="20"/>
                <w:szCs w:val="20"/>
                <w:color w:val="auto"/>
              </w:rPr>
            </w:pPr>
            <w:r>
              <w:rPr>
                <w:rFonts w:ascii="Arial" w:cs="Arial" w:eastAsia="Arial" w:hAnsi="Arial"/>
                <w:sz w:val="18"/>
                <w:szCs w:val="18"/>
                <w:color w:val="auto"/>
              </w:rPr>
              <w:t>The annual accounts consist of the profit and loss statement, the</w:t>
            </w:r>
          </w:p>
        </w:tc>
        <w:tc>
          <w:tcPr>
            <w:tcW w:w="220" w:type="dxa"/>
            <w:vAlign w:val="bottom"/>
            <w:tcBorders>
              <w:right w:val="single" w:sz="8" w:color="auto"/>
            </w:tcBorders>
          </w:tcPr>
          <w:p>
            <w:pPr>
              <w:spacing w:after="0"/>
              <w:rPr>
                <w:sz w:val="24"/>
                <w:szCs w:val="24"/>
                <w:color w:val="auto"/>
              </w:rPr>
            </w:pPr>
          </w:p>
        </w:tc>
        <w:tc>
          <w:tcPr>
            <w:tcW w:w="5480" w:type="dxa"/>
            <w:vAlign w:val="bottom"/>
            <w:tcBorders>
              <w:right w:val="single" w:sz="8" w:color="auto"/>
            </w:tcBorders>
            <w:gridSpan w:val="2"/>
          </w:tcPr>
          <w:p>
            <w:pPr>
              <w:ind w:left="60"/>
              <w:spacing w:after="0"/>
              <w:rPr>
                <w:sz w:val="20"/>
                <w:szCs w:val="20"/>
                <w:color w:val="auto"/>
              </w:rPr>
            </w:pPr>
            <w:r>
              <w:rPr>
                <w:rFonts w:ascii="Arial" w:cs="Arial" w:eastAsia="Arial" w:hAnsi="Arial"/>
                <w:sz w:val="18"/>
                <w:szCs w:val="18"/>
                <w:color w:val="auto"/>
              </w:rPr>
              <w:t>Les comptes annuels se composent du compte de profits et</w:t>
            </w:r>
          </w:p>
        </w:tc>
      </w:tr>
      <w:tr>
        <w:trPr>
          <w:trHeight w:val="203"/>
        </w:trPr>
        <w:tc>
          <w:tcPr>
            <w:tcW w:w="5540" w:type="dxa"/>
            <w:vAlign w:val="bottom"/>
            <w:tcBorders>
              <w:left w:val="single" w:sz="8" w:color="auto"/>
              <w:right w:val="single" w:sz="8" w:color="auto"/>
            </w:tcBorders>
            <w:gridSpan w:val="2"/>
          </w:tcPr>
          <w:p>
            <w:pPr>
              <w:ind w:left="100"/>
              <w:spacing w:after="0" w:line="202" w:lineRule="exact"/>
              <w:rPr>
                <w:sz w:val="20"/>
                <w:szCs w:val="20"/>
                <w:color w:val="auto"/>
              </w:rPr>
            </w:pPr>
            <w:r>
              <w:rPr>
                <w:rFonts w:ascii="Arial" w:cs="Arial" w:eastAsia="Arial" w:hAnsi="Arial"/>
                <w:sz w:val="18"/>
                <w:szCs w:val="18"/>
                <w:color w:val="auto"/>
              </w:rPr>
              <w:t>balance  sheet,  the  cash  flow  statement,  the  annex  and  the</w:t>
            </w:r>
          </w:p>
        </w:tc>
        <w:tc>
          <w:tcPr>
            <w:tcW w:w="22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gridSpan w:val="2"/>
          </w:tcPr>
          <w:p>
            <w:pPr>
              <w:ind w:left="60"/>
              <w:spacing w:after="0" w:line="202" w:lineRule="exact"/>
              <w:rPr>
                <w:sz w:val="20"/>
                <w:szCs w:val="20"/>
                <w:color w:val="auto"/>
              </w:rPr>
            </w:pPr>
            <w:r>
              <w:rPr>
                <w:rFonts w:ascii="Arial" w:cs="Arial" w:eastAsia="Arial" w:hAnsi="Arial"/>
                <w:sz w:val="18"/>
                <w:szCs w:val="18"/>
                <w:color w:val="auto"/>
              </w:rPr>
              <w:t>pertes, du bilan, du tableau des flux de trésorerie, de l'annexe et</w:t>
            </w:r>
          </w:p>
        </w:tc>
      </w:tr>
      <w:tr>
        <w:trPr>
          <w:trHeight w:val="184"/>
        </w:trPr>
        <w:tc>
          <w:tcPr>
            <w:tcW w:w="5540" w:type="dxa"/>
            <w:vAlign w:val="bottom"/>
            <w:tcBorders>
              <w:left w:val="single" w:sz="8" w:color="auto"/>
              <w:right w:val="single" w:sz="8" w:color="auto"/>
            </w:tcBorders>
            <w:gridSpan w:val="2"/>
          </w:tcPr>
          <w:p>
            <w:pPr>
              <w:ind w:left="100"/>
              <w:spacing w:after="0" w:line="184" w:lineRule="exact"/>
              <w:rPr>
                <w:sz w:val="20"/>
                <w:szCs w:val="20"/>
                <w:color w:val="auto"/>
              </w:rPr>
            </w:pPr>
            <w:r>
              <w:rPr>
                <w:rFonts w:ascii="Arial" w:cs="Arial" w:eastAsia="Arial" w:hAnsi="Arial"/>
                <w:sz w:val="18"/>
                <w:szCs w:val="18"/>
                <w:color w:val="auto"/>
              </w:rPr>
              <w:t>management  report,  and  shall  be  drawn  up  pursuant  to  the</w:t>
            </w:r>
          </w:p>
        </w:tc>
        <w:tc>
          <w:tcPr>
            <w:tcW w:w="220" w:type="dxa"/>
            <w:vAlign w:val="bottom"/>
            <w:tcBorders>
              <w:right w:val="single" w:sz="8" w:color="auto"/>
            </w:tcBorders>
          </w:tcPr>
          <w:p>
            <w:pPr>
              <w:spacing w:after="0"/>
              <w:rPr>
                <w:sz w:val="16"/>
                <w:szCs w:val="16"/>
                <w:color w:val="auto"/>
              </w:rPr>
            </w:pPr>
          </w:p>
        </w:tc>
        <w:tc>
          <w:tcPr>
            <w:tcW w:w="5480" w:type="dxa"/>
            <w:vAlign w:val="bottom"/>
            <w:tcBorders>
              <w:right w:val="single" w:sz="8" w:color="auto"/>
            </w:tcBorders>
            <w:gridSpan w:val="2"/>
          </w:tcPr>
          <w:p>
            <w:pPr>
              <w:ind w:left="60"/>
              <w:spacing w:after="0" w:line="184" w:lineRule="exact"/>
              <w:rPr>
                <w:sz w:val="20"/>
                <w:szCs w:val="20"/>
                <w:color w:val="auto"/>
              </w:rPr>
            </w:pPr>
            <w:r>
              <w:rPr>
                <w:rFonts w:ascii="Arial" w:cs="Arial" w:eastAsia="Arial" w:hAnsi="Arial"/>
                <w:sz w:val="18"/>
                <w:szCs w:val="18"/>
                <w:color w:val="auto"/>
              </w:rPr>
              <w:t>du  rapport  de  gestion,  et  sont  établis  conformément  aux</w:t>
            </w:r>
          </w:p>
        </w:tc>
      </w:tr>
      <w:tr>
        <w:trPr>
          <w:trHeight w:val="221"/>
        </w:trPr>
        <w:tc>
          <w:tcPr>
            <w:tcW w:w="5540" w:type="dxa"/>
            <w:vAlign w:val="bottom"/>
            <w:tcBorders>
              <w:left w:val="single" w:sz="8" w:color="auto"/>
              <w:right w:val="single" w:sz="8" w:color="auto"/>
            </w:tcBorders>
            <w:gridSpan w:val="2"/>
          </w:tcPr>
          <w:p>
            <w:pPr>
              <w:ind w:left="100"/>
              <w:spacing w:after="0"/>
              <w:rPr>
                <w:sz w:val="20"/>
                <w:szCs w:val="20"/>
                <w:color w:val="auto"/>
              </w:rPr>
            </w:pPr>
            <w:r>
              <w:rPr>
                <w:rFonts w:ascii="Arial" w:cs="Arial" w:eastAsia="Arial" w:hAnsi="Arial"/>
                <w:sz w:val="18"/>
                <w:szCs w:val="18"/>
                <w:color w:val="auto"/>
              </w:rPr>
              <w:t xml:space="preserve">provisions of the CO, particularly of Articles 958 </w:t>
            </w:r>
            <w:r>
              <w:rPr>
                <w:rFonts w:ascii="Arial" w:cs="Arial" w:eastAsia="Arial" w:hAnsi="Arial"/>
                <w:sz w:val="18"/>
                <w:szCs w:val="18"/>
                <w:i w:val="1"/>
                <w:iCs w:val="1"/>
                <w:color w:val="auto"/>
              </w:rPr>
              <w:t>et seq.</w:t>
            </w:r>
            <w:r>
              <w:rPr>
                <w:rFonts w:ascii="Arial" w:cs="Arial" w:eastAsia="Arial" w:hAnsi="Arial"/>
                <w:sz w:val="18"/>
                <w:szCs w:val="18"/>
                <w:color w:val="auto"/>
              </w:rPr>
              <w:t xml:space="preserve"> CO, and</w:t>
            </w:r>
          </w:p>
        </w:tc>
        <w:tc>
          <w:tcPr>
            <w:tcW w:w="220" w:type="dxa"/>
            <w:vAlign w:val="bottom"/>
            <w:tcBorders>
              <w:right w:val="single" w:sz="8" w:color="auto"/>
            </w:tcBorders>
          </w:tcPr>
          <w:p>
            <w:pPr>
              <w:spacing w:after="0"/>
              <w:rPr>
                <w:sz w:val="19"/>
                <w:szCs w:val="19"/>
                <w:color w:val="auto"/>
              </w:rPr>
            </w:pPr>
          </w:p>
        </w:tc>
        <w:tc>
          <w:tcPr>
            <w:tcW w:w="5480" w:type="dxa"/>
            <w:vAlign w:val="bottom"/>
            <w:tcBorders>
              <w:right w:val="single" w:sz="8" w:color="auto"/>
            </w:tcBorders>
            <w:gridSpan w:val="2"/>
          </w:tcPr>
          <w:p>
            <w:pPr>
              <w:ind w:left="60"/>
              <w:spacing w:after="0"/>
              <w:rPr>
                <w:sz w:val="20"/>
                <w:szCs w:val="20"/>
                <w:color w:val="auto"/>
              </w:rPr>
            </w:pPr>
            <w:r>
              <w:rPr>
                <w:rFonts w:ascii="Arial" w:cs="Arial" w:eastAsia="Arial" w:hAnsi="Arial"/>
                <w:sz w:val="18"/>
                <w:szCs w:val="18"/>
                <w:color w:val="auto"/>
              </w:rPr>
              <w:t>dispositions du CO, en particulier des articles 958 ss. CO, et aux</w:t>
            </w:r>
          </w:p>
        </w:tc>
      </w:tr>
      <w:tr>
        <w:trPr>
          <w:trHeight w:val="203"/>
        </w:trPr>
        <w:tc>
          <w:tcPr>
            <w:tcW w:w="5540" w:type="dxa"/>
            <w:vAlign w:val="bottom"/>
            <w:tcBorders>
              <w:left w:val="single" w:sz="8" w:color="auto"/>
              <w:right w:val="single" w:sz="8" w:color="auto"/>
            </w:tcBorders>
            <w:gridSpan w:val="2"/>
          </w:tcPr>
          <w:p>
            <w:pPr>
              <w:ind w:left="100"/>
              <w:spacing w:after="0" w:line="202" w:lineRule="exact"/>
              <w:rPr>
                <w:sz w:val="20"/>
                <w:szCs w:val="20"/>
                <w:color w:val="auto"/>
              </w:rPr>
            </w:pPr>
            <w:r>
              <w:rPr>
                <w:rFonts w:ascii="Arial" w:cs="Arial" w:eastAsia="Arial" w:hAnsi="Arial"/>
                <w:sz w:val="18"/>
                <w:szCs w:val="18"/>
                <w:color w:val="auto"/>
              </w:rPr>
              <w:t>the generally accepted commercial principles and customary rules</w:t>
            </w:r>
          </w:p>
        </w:tc>
        <w:tc>
          <w:tcPr>
            <w:tcW w:w="22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gridSpan w:val="2"/>
          </w:tcPr>
          <w:p>
            <w:pPr>
              <w:ind w:left="60"/>
              <w:spacing w:after="0" w:line="202" w:lineRule="exact"/>
              <w:rPr>
                <w:sz w:val="20"/>
                <w:szCs w:val="20"/>
                <w:color w:val="auto"/>
              </w:rPr>
            </w:pPr>
            <w:r>
              <w:rPr>
                <w:rFonts w:ascii="Arial" w:cs="Arial" w:eastAsia="Arial" w:hAnsi="Arial"/>
                <w:sz w:val="18"/>
                <w:szCs w:val="18"/>
                <w:color w:val="auto"/>
              </w:rPr>
              <w:t>principes  commerciaux  généralement  reconnus  et  aux  règles</w:t>
            </w:r>
          </w:p>
        </w:tc>
      </w:tr>
      <w:tr>
        <w:trPr>
          <w:trHeight w:val="217"/>
        </w:trPr>
        <w:tc>
          <w:tcPr>
            <w:tcW w:w="5540" w:type="dxa"/>
            <w:vAlign w:val="bottom"/>
            <w:tcBorders>
              <w:left w:val="single" w:sz="8" w:color="auto"/>
              <w:right w:val="single" w:sz="8" w:color="auto"/>
            </w:tcBorders>
            <w:gridSpan w:val="2"/>
          </w:tcPr>
          <w:p>
            <w:pPr>
              <w:ind w:left="100"/>
              <w:spacing w:after="0"/>
              <w:rPr>
                <w:sz w:val="20"/>
                <w:szCs w:val="20"/>
                <w:color w:val="auto"/>
              </w:rPr>
            </w:pPr>
            <w:r>
              <w:rPr>
                <w:rFonts w:ascii="Arial" w:cs="Arial" w:eastAsia="Arial" w:hAnsi="Arial"/>
                <w:sz w:val="18"/>
                <w:szCs w:val="18"/>
                <w:color w:val="auto"/>
              </w:rPr>
              <w:t>in that business area.</w:t>
            </w:r>
          </w:p>
        </w:tc>
        <w:tc>
          <w:tcPr>
            <w:tcW w:w="220" w:type="dxa"/>
            <w:vAlign w:val="bottom"/>
            <w:tcBorders>
              <w:right w:val="single" w:sz="8" w:color="auto"/>
            </w:tcBorders>
          </w:tcPr>
          <w:p>
            <w:pPr>
              <w:spacing w:after="0"/>
              <w:rPr>
                <w:sz w:val="18"/>
                <w:szCs w:val="18"/>
                <w:color w:val="auto"/>
              </w:rPr>
            </w:pPr>
          </w:p>
        </w:tc>
        <w:tc>
          <w:tcPr>
            <w:tcW w:w="5480" w:type="dxa"/>
            <w:vAlign w:val="bottom"/>
            <w:tcBorders>
              <w:right w:val="single" w:sz="8" w:color="auto"/>
            </w:tcBorders>
            <w:gridSpan w:val="2"/>
          </w:tcPr>
          <w:p>
            <w:pPr>
              <w:ind w:left="60"/>
              <w:spacing w:after="0"/>
              <w:rPr>
                <w:sz w:val="20"/>
                <w:szCs w:val="20"/>
                <w:color w:val="auto"/>
              </w:rPr>
            </w:pPr>
            <w:r>
              <w:rPr>
                <w:rFonts w:ascii="Arial" w:cs="Arial" w:eastAsia="Arial" w:hAnsi="Arial"/>
                <w:sz w:val="18"/>
                <w:szCs w:val="18"/>
                <w:color w:val="auto"/>
              </w:rPr>
              <w:t>coutumières dans ce secteur d'activité.</w:t>
            </w:r>
          </w:p>
        </w:tc>
      </w:tr>
      <w:tr>
        <w:trPr>
          <w:trHeight w:val="54"/>
        </w:trPr>
        <w:tc>
          <w:tcPr>
            <w:tcW w:w="5540" w:type="dxa"/>
            <w:vAlign w:val="bottom"/>
            <w:tcBorders>
              <w:left w:val="single" w:sz="8" w:color="auto"/>
              <w:bottom w:val="single" w:sz="8" w:color="auto"/>
              <w:right w:val="single" w:sz="8" w:color="auto"/>
            </w:tcBorders>
            <w:gridSpan w:val="2"/>
          </w:tcPr>
          <w:p>
            <w:pPr>
              <w:spacing w:after="0"/>
              <w:rPr>
                <w:sz w:val="4"/>
                <w:szCs w:val="4"/>
                <w:color w:val="auto"/>
              </w:rPr>
            </w:pPr>
          </w:p>
        </w:tc>
        <w:tc>
          <w:tcPr>
            <w:tcW w:w="220" w:type="dxa"/>
            <w:vAlign w:val="bottom"/>
            <w:tcBorders>
              <w:bottom w:val="single" w:sz="8" w:color="auto"/>
              <w:right w:val="single" w:sz="8" w:color="auto"/>
            </w:tcBorders>
          </w:tcPr>
          <w:p>
            <w:pPr>
              <w:spacing w:after="0"/>
              <w:rPr>
                <w:sz w:val="4"/>
                <w:szCs w:val="4"/>
                <w:color w:val="auto"/>
              </w:rPr>
            </w:pPr>
          </w:p>
        </w:tc>
        <w:tc>
          <w:tcPr>
            <w:tcW w:w="5480" w:type="dxa"/>
            <w:vAlign w:val="bottom"/>
            <w:tcBorders>
              <w:bottom w:val="single" w:sz="8" w:color="auto"/>
              <w:right w:val="single" w:sz="8" w:color="auto"/>
            </w:tcBorders>
            <w:gridSpan w:val="2"/>
          </w:tcPr>
          <w:p>
            <w:pPr>
              <w:spacing w:after="0"/>
              <w:rPr>
                <w:sz w:val="4"/>
                <w:szCs w:val="4"/>
                <w:color w:val="auto"/>
              </w:rPr>
            </w:pPr>
          </w:p>
        </w:tc>
      </w:tr>
      <w:tr>
        <w:trPr>
          <w:trHeight w:val="263"/>
        </w:trPr>
        <w:tc>
          <w:tcPr>
            <w:tcW w:w="5540" w:type="dxa"/>
            <w:vAlign w:val="bottom"/>
            <w:tcBorders>
              <w:left w:val="single" w:sz="8" w:color="auto"/>
              <w:right w:val="single" w:sz="8" w:color="auto"/>
            </w:tcBorders>
            <w:gridSpan w:val="2"/>
          </w:tcPr>
          <w:p>
            <w:pPr>
              <w:ind w:left="100"/>
              <w:spacing w:after="0"/>
              <w:rPr>
                <w:sz w:val="20"/>
                <w:szCs w:val="20"/>
                <w:color w:val="auto"/>
              </w:rPr>
            </w:pPr>
            <w:r>
              <w:rPr>
                <w:rFonts w:ascii="Arial" w:cs="Arial" w:eastAsia="Arial" w:hAnsi="Arial"/>
                <w:sz w:val="18"/>
                <w:szCs w:val="18"/>
                <w:color w:val="auto"/>
              </w:rPr>
              <w:t>If required by law, the consolidated financial statements shall be</w:t>
            </w:r>
          </w:p>
        </w:tc>
        <w:tc>
          <w:tcPr>
            <w:tcW w:w="220" w:type="dxa"/>
            <w:vAlign w:val="bottom"/>
            <w:tcBorders>
              <w:right w:val="single" w:sz="8" w:color="auto"/>
            </w:tcBorders>
          </w:tcPr>
          <w:p>
            <w:pPr>
              <w:spacing w:after="0"/>
              <w:rPr>
                <w:sz w:val="22"/>
                <w:szCs w:val="22"/>
                <w:color w:val="auto"/>
              </w:rPr>
            </w:pPr>
          </w:p>
        </w:tc>
        <w:tc>
          <w:tcPr>
            <w:tcW w:w="5480" w:type="dxa"/>
            <w:vAlign w:val="bottom"/>
            <w:tcBorders>
              <w:right w:val="single" w:sz="8" w:color="auto"/>
            </w:tcBorders>
            <w:gridSpan w:val="2"/>
          </w:tcPr>
          <w:p>
            <w:pPr>
              <w:ind w:left="60"/>
              <w:spacing w:after="0"/>
              <w:rPr>
                <w:sz w:val="20"/>
                <w:szCs w:val="20"/>
                <w:color w:val="auto"/>
              </w:rPr>
            </w:pPr>
            <w:r>
              <w:rPr>
                <w:rFonts w:ascii="Arial" w:cs="Arial" w:eastAsia="Arial" w:hAnsi="Arial"/>
                <w:sz w:val="18"/>
                <w:szCs w:val="18"/>
                <w:color w:val="auto"/>
              </w:rPr>
              <w:t>Si requis par la loi, les états financiers consolidés sont établis en</w:t>
            </w:r>
          </w:p>
        </w:tc>
      </w:tr>
      <w:tr>
        <w:trPr>
          <w:trHeight w:val="217"/>
        </w:trPr>
        <w:tc>
          <w:tcPr>
            <w:tcW w:w="5540" w:type="dxa"/>
            <w:vAlign w:val="bottom"/>
            <w:tcBorders>
              <w:left w:val="single" w:sz="8" w:color="auto"/>
              <w:right w:val="single" w:sz="8" w:color="auto"/>
            </w:tcBorders>
            <w:gridSpan w:val="2"/>
          </w:tcPr>
          <w:p>
            <w:pPr>
              <w:ind w:left="100"/>
              <w:spacing w:after="0"/>
              <w:rPr>
                <w:sz w:val="20"/>
                <w:szCs w:val="20"/>
                <w:color w:val="auto"/>
              </w:rPr>
            </w:pPr>
            <w:r>
              <w:rPr>
                <w:rFonts w:ascii="Arial" w:cs="Arial" w:eastAsia="Arial" w:hAnsi="Arial"/>
                <w:sz w:val="18"/>
                <w:szCs w:val="18"/>
                <w:color w:val="auto"/>
              </w:rPr>
              <w:t>drawn in accordance with the provisions of Article 962 CO.</w:t>
            </w:r>
          </w:p>
        </w:tc>
        <w:tc>
          <w:tcPr>
            <w:tcW w:w="220" w:type="dxa"/>
            <w:vAlign w:val="bottom"/>
            <w:tcBorders>
              <w:right w:val="single" w:sz="8" w:color="auto"/>
            </w:tcBorders>
          </w:tcPr>
          <w:p>
            <w:pPr>
              <w:spacing w:after="0"/>
              <w:rPr>
                <w:sz w:val="18"/>
                <w:szCs w:val="18"/>
                <w:color w:val="auto"/>
              </w:rPr>
            </w:pPr>
          </w:p>
        </w:tc>
        <w:tc>
          <w:tcPr>
            <w:tcW w:w="5480" w:type="dxa"/>
            <w:vAlign w:val="bottom"/>
            <w:tcBorders>
              <w:right w:val="single" w:sz="8" w:color="auto"/>
            </w:tcBorders>
            <w:gridSpan w:val="2"/>
          </w:tcPr>
          <w:p>
            <w:pPr>
              <w:ind w:left="60"/>
              <w:spacing w:after="0"/>
              <w:rPr>
                <w:sz w:val="20"/>
                <w:szCs w:val="20"/>
                <w:color w:val="auto"/>
              </w:rPr>
            </w:pPr>
            <w:r>
              <w:rPr>
                <w:rFonts w:ascii="Arial" w:cs="Arial" w:eastAsia="Arial" w:hAnsi="Arial"/>
                <w:sz w:val="18"/>
                <w:szCs w:val="18"/>
                <w:color w:val="auto"/>
              </w:rPr>
              <w:t>conformité avec les dispositions de l'article 962 CO.</w:t>
            </w:r>
          </w:p>
        </w:tc>
      </w:tr>
      <w:tr>
        <w:trPr>
          <w:trHeight w:val="54"/>
        </w:trPr>
        <w:tc>
          <w:tcPr>
            <w:tcW w:w="5540" w:type="dxa"/>
            <w:vAlign w:val="bottom"/>
            <w:tcBorders>
              <w:left w:val="single" w:sz="8" w:color="auto"/>
              <w:bottom w:val="single" w:sz="8" w:color="auto"/>
              <w:right w:val="single" w:sz="8" w:color="auto"/>
            </w:tcBorders>
            <w:gridSpan w:val="2"/>
          </w:tcPr>
          <w:p>
            <w:pPr>
              <w:spacing w:after="0"/>
              <w:rPr>
                <w:sz w:val="4"/>
                <w:szCs w:val="4"/>
                <w:color w:val="auto"/>
              </w:rPr>
            </w:pPr>
          </w:p>
        </w:tc>
        <w:tc>
          <w:tcPr>
            <w:tcW w:w="220" w:type="dxa"/>
            <w:vAlign w:val="bottom"/>
            <w:tcBorders>
              <w:bottom w:val="single" w:sz="8" w:color="auto"/>
              <w:right w:val="single" w:sz="8" w:color="auto"/>
            </w:tcBorders>
          </w:tcPr>
          <w:p>
            <w:pPr>
              <w:spacing w:after="0"/>
              <w:rPr>
                <w:sz w:val="4"/>
                <w:szCs w:val="4"/>
                <w:color w:val="auto"/>
              </w:rPr>
            </w:pPr>
          </w:p>
        </w:tc>
        <w:tc>
          <w:tcPr>
            <w:tcW w:w="5480" w:type="dxa"/>
            <w:vAlign w:val="bottom"/>
            <w:tcBorders>
              <w:bottom w:val="single" w:sz="8" w:color="auto"/>
              <w:right w:val="single" w:sz="8" w:color="auto"/>
            </w:tcBorders>
            <w:gridSpan w:val="2"/>
          </w:tcPr>
          <w:p>
            <w:pPr>
              <w:spacing w:after="0"/>
              <w:rPr>
                <w:sz w:val="4"/>
                <w:szCs w:val="4"/>
                <w:color w:val="auto"/>
              </w:rPr>
            </w:pPr>
          </w:p>
        </w:tc>
      </w:tr>
      <w:tr>
        <w:trPr>
          <w:trHeight w:val="277"/>
        </w:trPr>
        <w:tc>
          <w:tcPr>
            <w:tcW w:w="5540" w:type="dxa"/>
            <w:vAlign w:val="bottom"/>
            <w:tcBorders>
              <w:left w:val="single" w:sz="8" w:color="auto"/>
              <w:right w:val="single" w:sz="8" w:color="auto"/>
            </w:tcBorders>
            <w:gridSpan w:val="2"/>
          </w:tcPr>
          <w:p>
            <w:pPr>
              <w:ind w:left="100"/>
              <w:spacing w:after="0"/>
              <w:rPr>
                <w:sz w:val="20"/>
                <w:szCs w:val="20"/>
                <w:color w:val="auto"/>
              </w:rPr>
            </w:pPr>
            <w:r>
              <w:rPr>
                <w:rFonts w:ascii="Arial" w:cs="Arial" w:eastAsia="Arial" w:hAnsi="Arial"/>
                <w:sz w:val="18"/>
                <w:szCs w:val="18"/>
                <w:b w:val="1"/>
                <w:bCs w:val="1"/>
                <w:color w:val="auto"/>
              </w:rPr>
              <w:t>Art. 44 Allocation of Profits</w:t>
            </w:r>
          </w:p>
        </w:tc>
        <w:tc>
          <w:tcPr>
            <w:tcW w:w="220" w:type="dxa"/>
            <w:vAlign w:val="bottom"/>
            <w:tcBorders>
              <w:right w:val="single" w:sz="8" w:color="auto"/>
            </w:tcBorders>
          </w:tcPr>
          <w:p>
            <w:pPr>
              <w:spacing w:after="0"/>
              <w:rPr>
                <w:sz w:val="24"/>
                <w:szCs w:val="24"/>
                <w:color w:val="auto"/>
              </w:rPr>
            </w:pPr>
          </w:p>
        </w:tc>
        <w:tc>
          <w:tcPr>
            <w:tcW w:w="5480" w:type="dxa"/>
            <w:vAlign w:val="bottom"/>
            <w:tcBorders>
              <w:right w:val="single" w:sz="8" w:color="auto"/>
            </w:tcBorders>
            <w:gridSpan w:val="2"/>
          </w:tcPr>
          <w:p>
            <w:pPr>
              <w:ind w:left="60"/>
              <w:spacing w:after="0"/>
              <w:rPr>
                <w:sz w:val="20"/>
                <w:szCs w:val="20"/>
                <w:color w:val="auto"/>
              </w:rPr>
            </w:pPr>
            <w:r>
              <w:rPr>
                <w:rFonts w:ascii="Arial" w:cs="Arial" w:eastAsia="Arial" w:hAnsi="Arial"/>
                <w:sz w:val="18"/>
                <w:szCs w:val="18"/>
                <w:b w:val="1"/>
                <w:bCs w:val="1"/>
                <w:color w:val="auto"/>
              </w:rPr>
              <w:t>Art. 44 Répartition des bénéfices</w:t>
            </w:r>
          </w:p>
        </w:tc>
      </w:tr>
      <w:tr>
        <w:trPr>
          <w:trHeight w:val="391"/>
        </w:trPr>
        <w:tc>
          <w:tcPr>
            <w:tcW w:w="5540" w:type="dxa"/>
            <w:vAlign w:val="bottom"/>
            <w:tcBorders>
              <w:left w:val="single" w:sz="8" w:color="auto"/>
              <w:right w:val="single" w:sz="8" w:color="auto"/>
            </w:tcBorders>
            <w:gridSpan w:val="2"/>
          </w:tcPr>
          <w:p>
            <w:pPr>
              <w:ind w:left="100"/>
              <w:spacing w:after="0"/>
              <w:rPr>
                <w:sz w:val="20"/>
                <w:szCs w:val="20"/>
                <w:color w:val="auto"/>
              </w:rPr>
            </w:pPr>
            <w:r>
              <w:rPr>
                <w:rFonts w:ascii="Arial" w:cs="Arial" w:eastAsia="Arial" w:hAnsi="Arial"/>
                <w:sz w:val="18"/>
                <w:szCs w:val="18"/>
                <w:color w:val="auto"/>
              </w:rPr>
              <w:t>Subject to the legal provisions regarding distribution of profits, the</w:t>
            </w:r>
          </w:p>
        </w:tc>
        <w:tc>
          <w:tcPr>
            <w:tcW w:w="220" w:type="dxa"/>
            <w:vAlign w:val="bottom"/>
            <w:tcBorders>
              <w:right w:val="single" w:sz="8" w:color="auto"/>
            </w:tcBorders>
          </w:tcPr>
          <w:p>
            <w:pPr>
              <w:spacing w:after="0"/>
              <w:rPr>
                <w:sz w:val="24"/>
                <w:szCs w:val="24"/>
                <w:color w:val="auto"/>
              </w:rPr>
            </w:pPr>
          </w:p>
        </w:tc>
        <w:tc>
          <w:tcPr>
            <w:tcW w:w="5480" w:type="dxa"/>
            <w:vAlign w:val="bottom"/>
            <w:tcBorders>
              <w:right w:val="single" w:sz="8" w:color="auto"/>
            </w:tcBorders>
            <w:gridSpan w:val="2"/>
          </w:tcPr>
          <w:p>
            <w:pPr>
              <w:ind w:left="60"/>
              <w:spacing w:after="0"/>
              <w:rPr>
                <w:sz w:val="20"/>
                <w:szCs w:val="20"/>
                <w:color w:val="auto"/>
              </w:rPr>
            </w:pPr>
            <w:r>
              <w:rPr>
                <w:rFonts w:ascii="Arial" w:cs="Arial" w:eastAsia="Arial" w:hAnsi="Arial"/>
                <w:sz w:val="18"/>
                <w:szCs w:val="18"/>
                <w:color w:val="auto"/>
              </w:rPr>
              <w:t>Sous réserve des dispositions légales en matière de répartition</w:t>
            </w:r>
          </w:p>
        </w:tc>
      </w:tr>
      <w:tr>
        <w:trPr>
          <w:trHeight w:val="203"/>
        </w:trPr>
        <w:tc>
          <w:tcPr>
            <w:tcW w:w="5540" w:type="dxa"/>
            <w:vAlign w:val="bottom"/>
            <w:tcBorders>
              <w:left w:val="single" w:sz="8" w:color="auto"/>
              <w:right w:val="single" w:sz="8" w:color="auto"/>
            </w:tcBorders>
            <w:gridSpan w:val="2"/>
          </w:tcPr>
          <w:p>
            <w:pPr>
              <w:ind w:left="100"/>
              <w:spacing w:after="0" w:line="202" w:lineRule="exact"/>
              <w:rPr>
                <w:sz w:val="20"/>
                <w:szCs w:val="20"/>
                <w:color w:val="auto"/>
              </w:rPr>
            </w:pPr>
            <w:r>
              <w:rPr>
                <w:rFonts w:ascii="Arial" w:cs="Arial" w:eastAsia="Arial" w:hAnsi="Arial"/>
                <w:sz w:val="18"/>
                <w:szCs w:val="18"/>
                <w:color w:val="auto"/>
              </w:rPr>
              <w:t>profit as shown on the balance sheet shall be allocated by the</w:t>
            </w:r>
          </w:p>
        </w:tc>
        <w:tc>
          <w:tcPr>
            <w:tcW w:w="22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gridSpan w:val="2"/>
          </w:tcPr>
          <w:p>
            <w:pPr>
              <w:ind w:left="60"/>
              <w:spacing w:after="0" w:line="202" w:lineRule="exact"/>
              <w:rPr>
                <w:sz w:val="20"/>
                <w:szCs w:val="20"/>
                <w:color w:val="auto"/>
              </w:rPr>
            </w:pPr>
            <w:r>
              <w:rPr>
                <w:rFonts w:ascii="Arial" w:cs="Arial" w:eastAsia="Arial" w:hAnsi="Arial"/>
                <w:sz w:val="18"/>
                <w:szCs w:val="18"/>
                <w:color w:val="auto"/>
              </w:rPr>
              <w:t>des bénéfices, le bénéfice comme indiqué sur le bilan doit être</w:t>
            </w:r>
          </w:p>
        </w:tc>
      </w:tr>
      <w:tr>
        <w:trPr>
          <w:trHeight w:val="203"/>
        </w:trPr>
        <w:tc>
          <w:tcPr>
            <w:tcW w:w="5540" w:type="dxa"/>
            <w:vAlign w:val="bottom"/>
            <w:tcBorders>
              <w:left w:val="single" w:sz="8" w:color="auto"/>
              <w:right w:val="single" w:sz="8" w:color="auto"/>
            </w:tcBorders>
            <w:gridSpan w:val="2"/>
          </w:tcPr>
          <w:p>
            <w:pPr>
              <w:ind w:left="100"/>
              <w:spacing w:after="0" w:line="202" w:lineRule="exact"/>
              <w:rPr>
                <w:sz w:val="20"/>
                <w:szCs w:val="20"/>
                <w:color w:val="auto"/>
              </w:rPr>
            </w:pPr>
            <w:r>
              <w:rPr>
                <w:rFonts w:ascii="Arial" w:cs="Arial" w:eastAsia="Arial" w:hAnsi="Arial"/>
                <w:sz w:val="18"/>
                <w:szCs w:val="18"/>
                <w:color w:val="auto"/>
              </w:rPr>
              <w:t>General Meeting at its discretion after receipt of the proposals of</w:t>
            </w:r>
          </w:p>
        </w:tc>
        <w:tc>
          <w:tcPr>
            <w:tcW w:w="22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gridSpan w:val="2"/>
          </w:tcPr>
          <w:p>
            <w:pPr>
              <w:ind w:left="60"/>
              <w:spacing w:after="0" w:line="202" w:lineRule="exact"/>
              <w:rPr>
                <w:sz w:val="20"/>
                <w:szCs w:val="20"/>
                <w:color w:val="auto"/>
              </w:rPr>
            </w:pPr>
            <w:r>
              <w:rPr>
                <w:rFonts w:ascii="Arial" w:cs="Arial" w:eastAsia="Arial" w:hAnsi="Arial"/>
                <w:sz w:val="18"/>
                <w:szCs w:val="18"/>
                <w:color w:val="auto"/>
              </w:rPr>
              <w:t>alloué  à  la  libre  appréciation  de  l'assemblée  générale  après</w:t>
            </w:r>
          </w:p>
        </w:tc>
      </w:tr>
      <w:tr>
        <w:trPr>
          <w:trHeight w:val="203"/>
        </w:trPr>
        <w:tc>
          <w:tcPr>
            <w:tcW w:w="5540" w:type="dxa"/>
            <w:vAlign w:val="bottom"/>
            <w:tcBorders>
              <w:left w:val="single" w:sz="8" w:color="auto"/>
              <w:right w:val="single" w:sz="8" w:color="auto"/>
            </w:tcBorders>
            <w:gridSpan w:val="2"/>
          </w:tcPr>
          <w:p>
            <w:pPr>
              <w:ind w:left="100"/>
              <w:spacing w:after="0" w:line="202" w:lineRule="exact"/>
              <w:rPr>
                <w:sz w:val="20"/>
                <w:szCs w:val="20"/>
                <w:color w:val="auto"/>
              </w:rPr>
            </w:pPr>
            <w:r>
              <w:rPr>
                <w:rFonts w:ascii="Arial" w:cs="Arial" w:eastAsia="Arial" w:hAnsi="Arial"/>
                <w:sz w:val="18"/>
                <w:szCs w:val="18"/>
                <w:color w:val="auto"/>
              </w:rPr>
              <w:t>the Board of Directors and the Auditors.</w:t>
            </w:r>
          </w:p>
        </w:tc>
        <w:tc>
          <w:tcPr>
            <w:tcW w:w="22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gridSpan w:val="2"/>
          </w:tcPr>
          <w:p>
            <w:pPr>
              <w:ind w:left="60"/>
              <w:spacing w:after="0" w:line="202" w:lineRule="exact"/>
              <w:rPr>
                <w:sz w:val="20"/>
                <w:szCs w:val="20"/>
                <w:color w:val="auto"/>
              </w:rPr>
            </w:pPr>
            <w:r>
              <w:rPr>
                <w:rFonts w:ascii="Arial" w:cs="Arial" w:eastAsia="Arial" w:hAnsi="Arial"/>
                <w:sz w:val="18"/>
                <w:szCs w:val="18"/>
                <w:color w:val="auto"/>
              </w:rPr>
              <w:t>réception  des  propositions  du  conseil  d'administration  et  de</w:t>
            </w:r>
          </w:p>
        </w:tc>
      </w:tr>
      <w:tr>
        <w:trPr>
          <w:trHeight w:val="217"/>
        </w:trPr>
        <w:tc>
          <w:tcPr>
            <w:tcW w:w="380" w:type="dxa"/>
            <w:vAlign w:val="bottom"/>
            <w:tcBorders>
              <w:left w:val="single" w:sz="8" w:color="auto"/>
            </w:tcBorders>
          </w:tcPr>
          <w:p>
            <w:pPr>
              <w:spacing w:after="0"/>
              <w:rPr>
                <w:sz w:val="18"/>
                <w:szCs w:val="18"/>
                <w:color w:val="auto"/>
              </w:rPr>
            </w:pPr>
          </w:p>
        </w:tc>
        <w:tc>
          <w:tcPr>
            <w:tcW w:w="5160" w:type="dxa"/>
            <w:vAlign w:val="bottom"/>
            <w:tcBorders>
              <w:right w:val="single" w:sz="8" w:color="auto"/>
            </w:tcBorders>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5480" w:type="dxa"/>
            <w:vAlign w:val="bottom"/>
            <w:tcBorders>
              <w:right w:val="single" w:sz="8" w:color="auto"/>
            </w:tcBorders>
            <w:gridSpan w:val="2"/>
          </w:tcPr>
          <w:p>
            <w:pPr>
              <w:ind w:left="60"/>
              <w:spacing w:after="0"/>
              <w:rPr>
                <w:sz w:val="20"/>
                <w:szCs w:val="20"/>
                <w:color w:val="auto"/>
              </w:rPr>
            </w:pPr>
            <w:r>
              <w:rPr>
                <w:rFonts w:ascii="Arial" w:cs="Arial" w:eastAsia="Arial" w:hAnsi="Arial"/>
                <w:sz w:val="18"/>
                <w:szCs w:val="18"/>
                <w:color w:val="auto"/>
              </w:rPr>
              <w:t>l'organe de révision.</w:t>
            </w:r>
          </w:p>
        </w:tc>
      </w:tr>
      <w:tr>
        <w:trPr>
          <w:trHeight w:val="54"/>
        </w:trPr>
        <w:tc>
          <w:tcPr>
            <w:tcW w:w="380" w:type="dxa"/>
            <w:vAlign w:val="bottom"/>
            <w:tcBorders>
              <w:left w:val="single" w:sz="8" w:color="auto"/>
              <w:bottom w:val="single" w:sz="8" w:color="auto"/>
            </w:tcBorders>
          </w:tcPr>
          <w:p>
            <w:pPr>
              <w:spacing w:after="0"/>
              <w:rPr>
                <w:sz w:val="4"/>
                <w:szCs w:val="4"/>
                <w:color w:val="auto"/>
              </w:rPr>
            </w:pPr>
          </w:p>
        </w:tc>
        <w:tc>
          <w:tcPr>
            <w:tcW w:w="5160" w:type="dxa"/>
            <w:vAlign w:val="bottom"/>
            <w:tcBorders>
              <w:bottom w:val="single" w:sz="8" w:color="auto"/>
              <w:right w:val="single" w:sz="8" w:color="auto"/>
            </w:tcBorders>
          </w:tcPr>
          <w:p>
            <w:pPr>
              <w:spacing w:after="0"/>
              <w:rPr>
                <w:sz w:val="4"/>
                <w:szCs w:val="4"/>
                <w:color w:val="auto"/>
              </w:rPr>
            </w:pPr>
          </w:p>
        </w:tc>
        <w:tc>
          <w:tcPr>
            <w:tcW w:w="220" w:type="dxa"/>
            <w:vAlign w:val="bottom"/>
            <w:tcBorders>
              <w:bottom w:val="single" w:sz="8" w:color="auto"/>
              <w:right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5160" w:type="dxa"/>
            <w:vAlign w:val="bottom"/>
            <w:tcBorders>
              <w:bottom w:val="single" w:sz="8" w:color="auto"/>
              <w:right w:val="single" w:sz="8" w:color="auto"/>
            </w:tcBorders>
          </w:tcPr>
          <w:p>
            <w:pPr>
              <w:spacing w:after="0"/>
              <w:rPr>
                <w:sz w:val="4"/>
                <w:szCs w:val="4"/>
                <w:color w:val="auto"/>
              </w:rPr>
            </w:pPr>
          </w:p>
        </w:tc>
      </w:tr>
      <w:tr>
        <w:trPr>
          <w:trHeight w:val="452"/>
        </w:trPr>
        <w:tc>
          <w:tcPr>
            <w:tcW w:w="380" w:type="dxa"/>
            <w:vAlign w:val="bottom"/>
            <w:tcBorders>
              <w:bottom w:val="single" w:sz="8" w:color="auto"/>
            </w:tcBorders>
          </w:tcPr>
          <w:p>
            <w:pPr>
              <w:spacing w:after="0"/>
              <w:rPr>
                <w:sz w:val="24"/>
                <w:szCs w:val="24"/>
                <w:color w:val="auto"/>
              </w:rPr>
            </w:pPr>
          </w:p>
        </w:tc>
        <w:tc>
          <w:tcPr>
            <w:tcW w:w="51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51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249" w:right="339" w:bottom="1440" w:gutter="0" w:footer="0" w:header="0"/>
        </w:sectPr>
      </w:pPr>
    </w:p>
    <w:bookmarkStart w:id="71" w:name="page72"/>
    <w:bookmarkEnd w:id="71"/>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187"/>
        </w:trPr>
        <w:tc>
          <w:tcPr>
            <w:tcW w:w="554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5480" w:type="dxa"/>
            <w:vAlign w:val="bottom"/>
            <w:tcBorders>
              <w:bottom w:val="single" w:sz="8" w:color="auto"/>
            </w:tcBorders>
          </w:tcPr>
          <w:p>
            <w:pPr>
              <w:ind w:left="5260"/>
              <w:spacing w:after="0"/>
              <w:rPr>
                <w:sz w:val="20"/>
                <w:szCs w:val="20"/>
                <w:color w:val="auto"/>
              </w:rPr>
            </w:pPr>
            <w:r>
              <w:rPr>
                <w:rFonts w:ascii="Arial" w:cs="Arial" w:eastAsia="Arial" w:hAnsi="Arial"/>
                <w:sz w:val="16"/>
                <w:szCs w:val="16"/>
                <w:color w:val="auto"/>
              </w:rPr>
              <w:t>33</w:t>
            </w:r>
          </w:p>
        </w:tc>
      </w:tr>
      <w:tr>
        <w:trPr>
          <w:trHeight w:val="263"/>
        </w:trPr>
        <w:tc>
          <w:tcPr>
            <w:tcW w:w="554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In addition to the legal reserves, the General Meeting may create</w:t>
            </w:r>
          </w:p>
        </w:tc>
        <w:tc>
          <w:tcPr>
            <w:tcW w:w="220" w:type="dxa"/>
            <w:vAlign w:val="bottom"/>
            <w:tcBorders>
              <w:right w:val="single" w:sz="8" w:color="auto"/>
            </w:tcBorders>
          </w:tcPr>
          <w:p>
            <w:pPr>
              <w:spacing w:after="0"/>
              <w:rPr>
                <w:sz w:val="22"/>
                <w:szCs w:val="22"/>
                <w:color w:val="auto"/>
              </w:rPr>
            </w:pPr>
          </w:p>
        </w:tc>
        <w:tc>
          <w:tcPr>
            <w:tcW w:w="548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En plus des réserves légales, l'assemblée générale peut créer des</w:t>
            </w:r>
          </w:p>
        </w:tc>
      </w:tr>
      <w:tr>
        <w:trPr>
          <w:trHeight w:val="217"/>
        </w:trPr>
        <w:tc>
          <w:tcPr>
            <w:tcW w:w="554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supplemental reserves.</w:t>
            </w:r>
          </w:p>
        </w:tc>
        <w:tc>
          <w:tcPr>
            <w:tcW w:w="220" w:type="dxa"/>
            <w:vAlign w:val="bottom"/>
            <w:tcBorders>
              <w:right w:val="single" w:sz="8" w:color="auto"/>
            </w:tcBorders>
          </w:tcPr>
          <w:p>
            <w:pPr>
              <w:spacing w:after="0"/>
              <w:rPr>
                <w:sz w:val="18"/>
                <w:szCs w:val="18"/>
                <w:color w:val="auto"/>
              </w:rPr>
            </w:pPr>
          </w:p>
        </w:tc>
        <w:tc>
          <w:tcPr>
            <w:tcW w:w="548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réserves supplémentaires.</w:t>
            </w:r>
          </w:p>
        </w:tc>
      </w:tr>
      <w:tr>
        <w:trPr>
          <w:trHeight w:val="54"/>
        </w:trPr>
        <w:tc>
          <w:tcPr>
            <w:tcW w:w="5540" w:type="dxa"/>
            <w:vAlign w:val="bottom"/>
            <w:tcBorders>
              <w:left w:val="single" w:sz="8" w:color="auto"/>
              <w:bottom w:val="single" w:sz="8" w:color="auto"/>
              <w:right w:val="single" w:sz="8" w:color="auto"/>
            </w:tcBorders>
          </w:tcPr>
          <w:p>
            <w:pPr>
              <w:spacing w:after="0"/>
              <w:rPr>
                <w:sz w:val="4"/>
                <w:szCs w:val="4"/>
                <w:color w:val="auto"/>
              </w:rPr>
            </w:pPr>
          </w:p>
        </w:tc>
        <w:tc>
          <w:tcPr>
            <w:tcW w:w="220" w:type="dxa"/>
            <w:vAlign w:val="bottom"/>
            <w:tcBorders>
              <w:bottom w:val="single" w:sz="8" w:color="auto"/>
              <w:right w:val="single" w:sz="8" w:color="auto"/>
            </w:tcBorders>
          </w:tcPr>
          <w:p>
            <w:pPr>
              <w:spacing w:after="0"/>
              <w:rPr>
                <w:sz w:val="4"/>
                <w:szCs w:val="4"/>
                <w:color w:val="auto"/>
              </w:rPr>
            </w:pPr>
          </w:p>
        </w:tc>
        <w:tc>
          <w:tcPr>
            <w:tcW w:w="5480" w:type="dxa"/>
            <w:vAlign w:val="bottom"/>
            <w:tcBorders>
              <w:bottom w:val="single" w:sz="8" w:color="auto"/>
              <w:right w:val="single" w:sz="8" w:color="auto"/>
            </w:tcBorders>
          </w:tcPr>
          <w:p>
            <w:pPr>
              <w:spacing w:after="0"/>
              <w:rPr>
                <w:sz w:val="4"/>
                <w:szCs w:val="4"/>
                <w:color w:val="auto"/>
              </w:rPr>
            </w:pPr>
          </w:p>
        </w:tc>
      </w:tr>
      <w:tr>
        <w:trPr>
          <w:trHeight w:val="263"/>
        </w:trPr>
        <w:tc>
          <w:tcPr>
            <w:tcW w:w="554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Dividends not claimed within five years after the due date shall</w:t>
            </w:r>
          </w:p>
        </w:tc>
        <w:tc>
          <w:tcPr>
            <w:tcW w:w="220" w:type="dxa"/>
            <w:vAlign w:val="bottom"/>
            <w:tcBorders>
              <w:right w:val="single" w:sz="8" w:color="auto"/>
            </w:tcBorders>
          </w:tcPr>
          <w:p>
            <w:pPr>
              <w:spacing w:after="0"/>
              <w:rPr>
                <w:sz w:val="22"/>
                <w:szCs w:val="22"/>
                <w:color w:val="auto"/>
              </w:rPr>
            </w:pPr>
          </w:p>
        </w:tc>
        <w:tc>
          <w:tcPr>
            <w:tcW w:w="548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Les dividendes non réclamés dans les cinq ans après la date</w:t>
            </w:r>
          </w:p>
        </w:tc>
      </w:tr>
      <w:tr>
        <w:trPr>
          <w:trHeight w:val="203"/>
        </w:trPr>
        <w:tc>
          <w:tcPr>
            <w:tcW w:w="5540" w:type="dxa"/>
            <w:vAlign w:val="bottom"/>
            <w:tcBorders>
              <w:left w:val="single" w:sz="8" w:color="auto"/>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remain  with  the  Company  and  be  allocated  to  the  general</w:t>
            </w:r>
          </w:p>
        </w:tc>
        <w:tc>
          <w:tcPr>
            <w:tcW w:w="22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d'échéance restent avec la société et sont attribués aux réserves</w:t>
            </w:r>
          </w:p>
        </w:tc>
      </w:tr>
      <w:tr>
        <w:trPr>
          <w:trHeight w:val="217"/>
        </w:trPr>
        <w:tc>
          <w:tcPr>
            <w:tcW w:w="554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reserves.</w:t>
            </w:r>
          </w:p>
        </w:tc>
        <w:tc>
          <w:tcPr>
            <w:tcW w:w="220" w:type="dxa"/>
            <w:vAlign w:val="bottom"/>
            <w:tcBorders>
              <w:right w:val="single" w:sz="8" w:color="auto"/>
            </w:tcBorders>
          </w:tcPr>
          <w:p>
            <w:pPr>
              <w:spacing w:after="0"/>
              <w:rPr>
                <w:sz w:val="18"/>
                <w:szCs w:val="18"/>
                <w:color w:val="auto"/>
              </w:rPr>
            </w:pPr>
          </w:p>
        </w:tc>
        <w:tc>
          <w:tcPr>
            <w:tcW w:w="548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générales.</w:t>
            </w:r>
          </w:p>
        </w:tc>
      </w:tr>
      <w:tr>
        <w:trPr>
          <w:trHeight w:val="54"/>
        </w:trPr>
        <w:tc>
          <w:tcPr>
            <w:tcW w:w="5540" w:type="dxa"/>
            <w:vAlign w:val="bottom"/>
            <w:tcBorders>
              <w:left w:val="single" w:sz="8" w:color="auto"/>
              <w:bottom w:val="single" w:sz="8" w:color="auto"/>
              <w:right w:val="single" w:sz="8" w:color="auto"/>
            </w:tcBorders>
          </w:tcPr>
          <w:p>
            <w:pPr>
              <w:spacing w:after="0"/>
              <w:rPr>
                <w:sz w:val="4"/>
                <w:szCs w:val="4"/>
                <w:color w:val="auto"/>
              </w:rPr>
            </w:pPr>
          </w:p>
        </w:tc>
        <w:tc>
          <w:tcPr>
            <w:tcW w:w="220" w:type="dxa"/>
            <w:vAlign w:val="bottom"/>
            <w:tcBorders>
              <w:bottom w:val="single" w:sz="8" w:color="auto"/>
              <w:right w:val="single" w:sz="8" w:color="auto"/>
            </w:tcBorders>
          </w:tcPr>
          <w:p>
            <w:pPr>
              <w:spacing w:after="0"/>
              <w:rPr>
                <w:sz w:val="4"/>
                <w:szCs w:val="4"/>
                <w:color w:val="auto"/>
              </w:rPr>
            </w:pPr>
          </w:p>
        </w:tc>
        <w:tc>
          <w:tcPr>
            <w:tcW w:w="5480" w:type="dxa"/>
            <w:vAlign w:val="bottom"/>
            <w:tcBorders>
              <w:bottom w:val="single" w:sz="8" w:color="auto"/>
              <w:right w:val="single" w:sz="8" w:color="auto"/>
            </w:tcBorders>
          </w:tcPr>
          <w:p>
            <w:pPr>
              <w:spacing w:after="0"/>
              <w:rPr>
                <w:sz w:val="4"/>
                <w:szCs w:val="4"/>
                <w:color w:val="auto"/>
              </w:rPr>
            </w:pPr>
          </w:p>
        </w:tc>
      </w:tr>
      <w:tr>
        <w:trPr>
          <w:trHeight w:val="277"/>
        </w:trPr>
        <w:tc>
          <w:tcPr>
            <w:tcW w:w="554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b w:val="1"/>
                <w:bCs w:val="1"/>
                <w:color w:val="auto"/>
              </w:rPr>
              <w:t>IX. DISSOLUTION AND LIQUIDATION</w:t>
            </w:r>
          </w:p>
        </w:tc>
        <w:tc>
          <w:tcPr>
            <w:tcW w:w="220" w:type="dxa"/>
            <w:vAlign w:val="bottom"/>
            <w:tcBorders>
              <w:right w:val="single" w:sz="8" w:color="auto"/>
            </w:tcBorders>
          </w:tcPr>
          <w:p>
            <w:pPr>
              <w:spacing w:after="0"/>
              <w:rPr>
                <w:sz w:val="24"/>
                <w:szCs w:val="24"/>
                <w:color w:val="auto"/>
              </w:rPr>
            </w:pPr>
          </w:p>
        </w:tc>
        <w:tc>
          <w:tcPr>
            <w:tcW w:w="5480" w:type="dxa"/>
            <w:vAlign w:val="bottom"/>
            <w:tcBorders>
              <w:right w:val="single" w:sz="8" w:color="auto"/>
            </w:tcBorders>
          </w:tcPr>
          <w:p>
            <w:pPr>
              <w:ind w:left="60"/>
              <w:spacing w:after="0"/>
              <w:rPr>
                <w:sz w:val="20"/>
                <w:szCs w:val="20"/>
                <w:color w:val="auto"/>
              </w:rPr>
            </w:pPr>
            <w:r>
              <w:rPr>
                <w:rFonts w:ascii="Arial" w:cs="Arial" w:eastAsia="Arial" w:hAnsi="Arial"/>
                <w:sz w:val="18"/>
                <w:szCs w:val="18"/>
                <w:b w:val="1"/>
                <w:bCs w:val="1"/>
                <w:color w:val="auto"/>
              </w:rPr>
              <w:t>IX. DISSOLUTION ET LIQUIDATION</w:t>
            </w:r>
          </w:p>
        </w:tc>
      </w:tr>
      <w:tr>
        <w:trPr>
          <w:trHeight w:val="54"/>
        </w:trPr>
        <w:tc>
          <w:tcPr>
            <w:tcW w:w="5540" w:type="dxa"/>
            <w:vAlign w:val="bottom"/>
            <w:tcBorders>
              <w:left w:val="single" w:sz="8" w:color="auto"/>
              <w:bottom w:val="single" w:sz="8" w:color="auto"/>
              <w:right w:val="single" w:sz="8" w:color="auto"/>
            </w:tcBorders>
          </w:tcPr>
          <w:p>
            <w:pPr>
              <w:spacing w:after="0"/>
              <w:rPr>
                <w:sz w:val="4"/>
                <w:szCs w:val="4"/>
                <w:color w:val="auto"/>
              </w:rPr>
            </w:pPr>
          </w:p>
        </w:tc>
        <w:tc>
          <w:tcPr>
            <w:tcW w:w="220" w:type="dxa"/>
            <w:vAlign w:val="bottom"/>
            <w:tcBorders>
              <w:bottom w:val="single" w:sz="8" w:color="auto"/>
              <w:right w:val="single" w:sz="8" w:color="auto"/>
            </w:tcBorders>
          </w:tcPr>
          <w:p>
            <w:pPr>
              <w:spacing w:after="0"/>
              <w:rPr>
                <w:sz w:val="4"/>
                <w:szCs w:val="4"/>
                <w:color w:val="auto"/>
              </w:rPr>
            </w:pPr>
          </w:p>
        </w:tc>
        <w:tc>
          <w:tcPr>
            <w:tcW w:w="5480" w:type="dxa"/>
            <w:vAlign w:val="bottom"/>
            <w:tcBorders>
              <w:bottom w:val="single" w:sz="8" w:color="auto"/>
              <w:right w:val="single" w:sz="8" w:color="auto"/>
            </w:tcBorders>
          </w:tcPr>
          <w:p>
            <w:pPr>
              <w:spacing w:after="0"/>
              <w:rPr>
                <w:sz w:val="4"/>
                <w:szCs w:val="4"/>
                <w:color w:val="auto"/>
              </w:rPr>
            </w:pPr>
          </w:p>
        </w:tc>
      </w:tr>
      <w:tr>
        <w:trPr>
          <w:trHeight w:val="277"/>
        </w:trPr>
        <w:tc>
          <w:tcPr>
            <w:tcW w:w="554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b w:val="1"/>
                <w:bCs w:val="1"/>
                <w:color w:val="auto"/>
              </w:rPr>
              <w:t>Art. 45 Dissolution and Liquidation</w:t>
            </w:r>
          </w:p>
        </w:tc>
        <w:tc>
          <w:tcPr>
            <w:tcW w:w="220" w:type="dxa"/>
            <w:vAlign w:val="bottom"/>
            <w:tcBorders>
              <w:right w:val="single" w:sz="8" w:color="auto"/>
            </w:tcBorders>
          </w:tcPr>
          <w:p>
            <w:pPr>
              <w:spacing w:after="0"/>
              <w:rPr>
                <w:sz w:val="24"/>
                <w:szCs w:val="24"/>
                <w:color w:val="auto"/>
              </w:rPr>
            </w:pPr>
          </w:p>
        </w:tc>
        <w:tc>
          <w:tcPr>
            <w:tcW w:w="5480" w:type="dxa"/>
            <w:vAlign w:val="bottom"/>
            <w:tcBorders>
              <w:right w:val="single" w:sz="8" w:color="auto"/>
            </w:tcBorders>
          </w:tcPr>
          <w:p>
            <w:pPr>
              <w:ind w:left="60"/>
              <w:spacing w:after="0"/>
              <w:rPr>
                <w:sz w:val="20"/>
                <w:szCs w:val="20"/>
                <w:color w:val="auto"/>
              </w:rPr>
            </w:pPr>
            <w:r>
              <w:rPr>
                <w:rFonts w:ascii="Arial" w:cs="Arial" w:eastAsia="Arial" w:hAnsi="Arial"/>
                <w:sz w:val="18"/>
                <w:szCs w:val="18"/>
                <w:b w:val="1"/>
                <w:bCs w:val="1"/>
                <w:color w:val="auto"/>
              </w:rPr>
              <w:t>Art. 45 Dissolution et Liquidation</w:t>
            </w:r>
          </w:p>
        </w:tc>
      </w:tr>
      <w:tr>
        <w:trPr>
          <w:trHeight w:val="391"/>
        </w:trPr>
        <w:tc>
          <w:tcPr>
            <w:tcW w:w="554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The dissolution and liquidation of the Company shall take place in</w:t>
            </w:r>
          </w:p>
        </w:tc>
        <w:tc>
          <w:tcPr>
            <w:tcW w:w="220" w:type="dxa"/>
            <w:vAlign w:val="bottom"/>
            <w:tcBorders>
              <w:right w:val="single" w:sz="8" w:color="auto"/>
            </w:tcBorders>
          </w:tcPr>
          <w:p>
            <w:pPr>
              <w:spacing w:after="0"/>
              <w:rPr>
                <w:sz w:val="24"/>
                <w:szCs w:val="24"/>
                <w:color w:val="auto"/>
              </w:rPr>
            </w:pPr>
          </w:p>
        </w:tc>
        <w:tc>
          <w:tcPr>
            <w:tcW w:w="548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La dissolution et la liquidation de la société ont lieu en conformité</w:t>
            </w:r>
          </w:p>
        </w:tc>
      </w:tr>
      <w:tr>
        <w:trPr>
          <w:trHeight w:val="217"/>
        </w:trPr>
        <w:tc>
          <w:tcPr>
            <w:tcW w:w="554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accordance with the provisions of the CO.</w:t>
            </w:r>
          </w:p>
        </w:tc>
        <w:tc>
          <w:tcPr>
            <w:tcW w:w="220" w:type="dxa"/>
            <w:vAlign w:val="bottom"/>
            <w:tcBorders>
              <w:right w:val="single" w:sz="8" w:color="auto"/>
            </w:tcBorders>
          </w:tcPr>
          <w:p>
            <w:pPr>
              <w:spacing w:after="0"/>
              <w:rPr>
                <w:sz w:val="18"/>
                <w:szCs w:val="18"/>
                <w:color w:val="auto"/>
              </w:rPr>
            </w:pPr>
          </w:p>
        </w:tc>
        <w:tc>
          <w:tcPr>
            <w:tcW w:w="548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avec les dispositions du CO.</w:t>
            </w:r>
          </w:p>
        </w:tc>
      </w:tr>
      <w:tr>
        <w:trPr>
          <w:trHeight w:val="54"/>
        </w:trPr>
        <w:tc>
          <w:tcPr>
            <w:tcW w:w="5540" w:type="dxa"/>
            <w:vAlign w:val="bottom"/>
            <w:tcBorders>
              <w:left w:val="single" w:sz="8" w:color="auto"/>
              <w:bottom w:val="single" w:sz="8" w:color="auto"/>
              <w:right w:val="single" w:sz="8" w:color="auto"/>
            </w:tcBorders>
          </w:tcPr>
          <w:p>
            <w:pPr>
              <w:spacing w:after="0"/>
              <w:rPr>
                <w:sz w:val="4"/>
                <w:szCs w:val="4"/>
                <w:color w:val="auto"/>
              </w:rPr>
            </w:pPr>
          </w:p>
        </w:tc>
        <w:tc>
          <w:tcPr>
            <w:tcW w:w="220" w:type="dxa"/>
            <w:vAlign w:val="bottom"/>
            <w:tcBorders>
              <w:bottom w:val="single" w:sz="8" w:color="auto"/>
              <w:right w:val="single" w:sz="8" w:color="auto"/>
            </w:tcBorders>
          </w:tcPr>
          <w:p>
            <w:pPr>
              <w:spacing w:after="0"/>
              <w:rPr>
                <w:sz w:val="4"/>
                <w:szCs w:val="4"/>
                <w:color w:val="auto"/>
              </w:rPr>
            </w:pPr>
          </w:p>
        </w:tc>
        <w:tc>
          <w:tcPr>
            <w:tcW w:w="5480" w:type="dxa"/>
            <w:vAlign w:val="bottom"/>
            <w:tcBorders>
              <w:bottom w:val="single" w:sz="8" w:color="auto"/>
              <w:right w:val="single" w:sz="8" w:color="auto"/>
            </w:tcBorders>
          </w:tcPr>
          <w:p>
            <w:pPr>
              <w:spacing w:after="0"/>
              <w:rPr>
                <w:sz w:val="4"/>
                <w:szCs w:val="4"/>
                <w:color w:val="auto"/>
              </w:rPr>
            </w:pPr>
          </w:p>
        </w:tc>
      </w:tr>
      <w:tr>
        <w:trPr>
          <w:trHeight w:val="277"/>
        </w:trPr>
        <w:tc>
          <w:tcPr>
            <w:tcW w:w="554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b w:val="1"/>
                <w:bCs w:val="1"/>
                <w:color w:val="auto"/>
              </w:rPr>
              <w:t>X. NOTICES AND PUBLICATIONS</w:t>
            </w:r>
          </w:p>
        </w:tc>
        <w:tc>
          <w:tcPr>
            <w:tcW w:w="220" w:type="dxa"/>
            <w:vAlign w:val="bottom"/>
            <w:tcBorders>
              <w:right w:val="single" w:sz="8" w:color="auto"/>
            </w:tcBorders>
          </w:tcPr>
          <w:p>
            <w:pPr>
              <w:spacing w:after="0"/>
              <w:rPr>
                <w:sz w:val="24"/>
                <w:szCs w:val="24"/>
                <w:color w:val="auto"/>
              </w:rPr>
            </w:pPr>
          </w:p>
        </w:tc>
        <w:tc>
          <w:tcPr>
            <w:tcW w:w="5480" w:type="dxa"/>
            <w:vAlign w:val="bottom"/>
            <w:tcBorders>
              <w:right w:val="single" w:sz="8" w:color="auto"/>
            </w:tcBorders>
          </w:tcPr>
          <w:p>
            <w:pPr>
              <w:ind w:left="60"/>
              <w:spacing w:after="0"/>
              <w:rPr>
                <w:sz w:val="20"/>
                <w:szCs w:val="20"/>
                <w:color w:val="auto"/>
              </w:rPr>
            </w:pPr>
            <w:r>
              <w:rPr>
                <w:rFonts w:ascii="Arial" w:cs="Arial" w:eastAsia="Arial" w:hAnsi="Arial"/>
                <w:sz w:val="18"/>
                <w:szCs w:val="18"/>
                <w:b w:val="1"/>
                <w:bCs w:val="1"/>
                <w:color w:val="auto"/>
              </w:rPr>
              <w:t>X. AVIS ET PUBLICATIONS</w:t>
            </w:r>
          </w:p>
        </w:tc>
      </w:tr>
      <w:tr>
        <w:trPr>
          <w:trHeight w:val="54"/>
        </w:trPr>
        <w:tc>
          <w:tcPr>
            <w:tcW w:w="5540" w:type="dxa"/>
            <w:vAlign w:val="bottom"/>
            <w:tcBorders>
              <w:left w:val="single" w:sz="8" w:color="auto"/>
              <w:bottom w:val="single" w:sz="8" w:color="auto"/>
              <w:right w:val="single" w:sz="8" w:color="auto"/>
            </w:tcBorders>
          </w:tcPr>
          <w:p>
            <w:pPr>
              <w:spacing w:after="0"/>
              <w:rPr>
                <w:sz w:val="4"/>
                <w:szCs w:val="4"/>
                <w:color w:val="auto"/>
              </w:rPr>
            </w:pPr>
          </w:p>
        </w:tc>
        <w:tc>
          <w:tcPr>
            <w:tcW w:w="220" w:type="dxa"/>
            <w:vAlign w:val="bottom"/>
            <w:tcBorders>
              <w:bottom w:val="single" w:sz="8" w:color="auto"/>
              <w:right w:val="single" w:sz="8" w:color="auto"/>
            </w:tcBorders>
          </w:tcPr>
          <w:p>
            <w:pPr>
              <w:spacing w:after="0"/>
              <w:rPr>
                <w:sz w:val="4"/>
                <w:szCs w:val="4"/>
                <w:color w:val="auto"/>
              </w:rPr>
            </w:pPr>
          </w:p>
        </w:tc>
        <w:tc>
          <w:tcPr>
            <w:tcW w:w="5480" w:type="dxa"/>
            <w:vAlign w:val="bottom"/>
            <w:tcBorders>
              <w:bottom w:val="single" w:sz="8" w:color="auto"/>
              <w:right w:val="single" w:sz="8" w:color="auto"/>
            </w:tcBorders>
          </w:tcPr>
          <w:p>
            <w:pPr>
              <w:spacing w:after="0"/>
              <w:rPr>
                <w:sz w:val="4"/>
                <w:szCs w:val="4"/>
                <w:color w:val="auto"/>
              </w:rPr>
            </w:pPr>
          </w:p>
        </w:tc>
      </w:tr>
      <w:tr>
        <w:trPr>
          <w:trHeight w:val="277"/>
        </w:trPr>
        <w:tc>
          <w:tcPr>
            <w:tcW w:w="554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b w:val="1"/>
                <w:bCs w:val="1"/>
                <w:color w:val="auto"/>
              </w:rPr>
              <w:t>Art. 46 Notices and Publications</w:t>
            </w:r>
          </w:p>
        </w:tc>
        <w:tc>
          <w:tcPr>
            <w:tcW w:w="220" w:type="dxa"/>
            <w:vAlign w:val="bottom"/>
            <w:tcBorders>
              <w:right w:val="single" w:sz="8" w:color="auto"/>
            </w:tcBorders>
          </w:tcPr>
          <w:p>
            <w:pPr>
              <w:spacing w:after="0"/>
              <w:rPr>
                <w:sz w:val="24"/>
                <w:szCs w:val="24"/>
                <w:color w:val="auto"/>
              </w:rPr>
            </w:pPr>
          </w:p>
        </w:tc>
        <w:tc>
          <w:tcPr>
            <w:tcW w:w="5480" w:type="dxa"/>
            <w:vAlign w:val="bottom"/>
            <w:tcBorders>
              <w:right w:val="single" w:sz="8" w:color="auto"/>
            </w:tcBorders>
          </w:tcPr>
          <w:p>
            <w:pPr>
              <w:ind w:left="60"/>
              <w:spacing w:after="0"/>
              <w:rPr>
                <w:sz w:val="20"/>
                <w:szCs w:val="20"/>
                <w:color w:val="auto"/>
              </w:rPr>
            </w:pPr>
            <w:r>
              <w:rPr>
                <w:rFonts w:ascii="Arial" w:cs="Arial" w:eastAsia="Arial" w:hAnsi="Arial"/>
                <w:sz w:val="18"/>
                <w:szCs w:val="18"/>
                <w:b w:val="1"/>
                <w:bCs w:val="1"/>
                <w:color w:val="auto"/>
              </w:rPr>
              <w:t>Art. 46 Avis et Publications</w:t>
            </w:r>
          </w:p>
        </w:tc>
      </w:tr>
      <w:tr>
        <w:trPr>
          <w:trHeight w:val="391"/>
        </w:trPr>
        <w:tc>
          <w:tcPr>
            <w:tcW w:w="554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The Swiss Official Gazette of Commerce is the official publication</w:t>
            </w:r>
          </w:p>
        </w:tc>
        <w:tc>
          <w:tcPr>
            <w:tcW w:w="220" w:type="dxa"/>
            <w:vAlign w:val="bottom"/>
            <w:tcBorders>
              <w:right w:val="single" w:sz="8" w:color="auto"/>
            </w:tcBorders>
          </w:tcPr>
          <w:p>
            <w:pPr>
              <w:spacing w:after="0"/>
              <w:rPr>
                <w:sz w:val="24"/>
                <w:szCs w:val="24"/>
                <w:color w:val="auto"/>
              </w:rPr>
            </w:pPr>
          </w:p>
        </w:tc>
        <w:tc>
          <w:tcPr>
            <w:tcW w:w="548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L'organe de publication légal est la Feuille officielle suisse du</w:t>
            </w:r>
          </w:p>
        </w:tc>
      </w:tr>
      <w:tr>
        <w:trPr>
          <w:trHeight w:val="217"/>
        </w:trPr>
        <w:tc>
          <w:tcPr>
            <w:tcW w:w="554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medium.</w:t>
            </w:r>
          </w:p>
        </w:tc>
        <w:tc>
          <w:tcPr>
            <w:tcW w:w="220" w:type="dxa"/>
            <w:vAlign w:val="bottom"/>
            <w:tcBorders>
              <w:right w:val="single" w:sz="8" w:color="auto"/>
            </w:tcBorders>
          </w:tcPr>
          <w:p>
            <w:pPr>
              <w:spacing w:after="0"/>
              <w:rPr>
                <w:sz w:val="18"/>
                <w:szCs w:val="18"/>
                <w:color w:val="auto"/>
              </w:rPr>
            </w:pPr>
          </w:p>
        </w:tc>
        <w:tc>
          <w:tcPr>
            <w:tcW w:w="548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commerce.</w:t>
            </w:r>
          </w:p>
        </w:tc>
      </w:tr>
      <w:tr>
        <w:trPr>
          <w:trHeight w:val="54"/>
        </w:trPr>
        <w:tc>
          <w:tcPr>
            <w:tcW w:w="5540" w:type="dxa"/>
            <w:vAlign w:val="bottom"/>
            <w:tcBorders>
              <w:left w:val="single" w:sz="8" w:color="auto"/>
              <w:bottom w:val="single" w:sz="8" w:color="auto"/>
              <w:right w:val="single" w:sz="8" w:color="auto"/>
            </w:tcBorders>
          </w:tcPr>
          <w:p>
            <w:pPr>
              <w:spacing w:after="0"/>
              <w:rPr>
                <w:sz w:val="4"/>
                <w:szCs w:val="4"/>
                <w:color w:val="auto"/>
              </w:rPr>
            </w:pPr>
          </w:p>
        </w:tc>
        <w:tc>
          <w:tcPr>
            <w:tcW w:w="220" w:type="dxa"/>
            <w:vAlign w:val="bottom"/>
            <w:tcBorders>
              <w:bottom w:val="single" w:sz="8" w:color="auto"/>
              <w:right w:val="single" w:sz="8" w:color="auto"/>
            </w:tcBorders>
          </w:tcPr>
          <w:p>
            <w:pPr>
              <w:spacing w:after="0"/>
              <w:rPr>
                <w:sz w:val="4"/>
                <w:szCs w:val="4"/>
                <w:color w:val="auto"/>
              </w:rPr>
            </w:pPr>
          </w:p>
        </w:tc>
        <w:tc>
          <w:tcPr>
            <w:tcW w:w="5480" w:type="dxa"/>
            <w:vAlign w:val="bottom"/>
            <w:tcBorders>
              <w:bottom w:val="single" w:sz="8" w:color="auto"/>
              <w:right w:val="single" w:sz="8" w:color="auto"/>
            </w:tcBorders>
          </w:tcPr>
          <w:p>
            <w:pPr>
              <w:spacing w:after="0"/>
              <w:rPr>
                <w:sz w:val="4"/>
                <w:szCs w:val="4"/>
                <w:color w:val="auto"/>
              </w:rPr>
            </w:pPr>
          </w:p>
        </w:tc>
      </w:tr>
      <w:tr>
        <w:trPr>
          <w:trHeight w:val="263"/>
        </w:trPr>
        <w:tc>
          <w:tcPr>
            <w:tcW w:w="554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Shareholder communications and notices to the shareholders shall</w:t>
            </w:r>
          </w:p>
        </w:tc>
        <w:tc>
          <w:tcPr>
            <w:tcW w:w="220" w:type="dxa"/>
            <w:vAlign w:val="bottom"/>
            <w:tcBorders>
              <w:right w:val="single" w:sz="8" w:color="auto"/>
            </w:tcBorders>
          </w:tcPr>
          <w:p>
            <w:pPr>
              <w:spacing w:after="0"/>
              <w:rPr>
                <w:sz w:val="22"/>
                <w:szCs w:val="22"/>
                <w:color w:val="auto"/>
              </w:rPr>
            </w:pPr>
          </w:p>
        </w:tc>
        <w:tc>
          <w:tcPr>
            <w:tcW w:w="548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Les communications et avis aux actionnaires sont effectués par</w:t>
            </w:r>
          </w:p>
        </w:tc>
      </w:tr>
      <w:tr>
        <w:trPr>
          <w:trHeight w:val="203"/>
        </w:trPr>
        <w:tc>
          <w:tcPr>
            <w:tcW w:w="5540" w:type="dxa"/>
            <w:vAlign w:val="bottom"/>
            <w:tcBorders>
              <w:left w:val="single" w:sz="8" w:color="auto"/>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be made by publication in the Swiss Official Gazette of Commerce</w:t>
            </w:r>
          </w:p>
        </w:tc>
        <w:tc>
          <w:tcPr>
            <w:tcW w:w="22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publication  dans  la  Feuille  officielle  suisse  du  commerce  ou</w:t>
            </w:r>
          </w:p>
        </w:tc>
      </w:tr>
      <w:tr>
        <w:trPr>
          <w:trHeight w:val="203"/>
        </w:trPr>
        <w:tc>
          <w:tcPr>
            <w:tcW w:w="5540" w:type="dxa"/>
            <w:vAlign w:val="bottom"/>
            <w:tcBorders>
              <w:left w:val="single" w:sz="8" w:color="auto"/>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or sent by mail or e-mail to the addresses registered in the share</w:t>
            </w:r>
          </w:p>
        </w:tc>
        <w:tc>
          <w:tcPr>
            <w:tcW w:w="22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envoyés par courrier ou e-mail aux adresses enregistrées dans le</w:t>
            </w:r>
          </w:p>
        </w:tc>
      </w:tr>
      <w:tr>
        <w:trPr>
          <w:trHeight w:val="217"/>
        </w:trPr>
        <w:tc>
          <w:tcPr>
            <w:tcW w:w="554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register.</w:t>
            </w:r>
          </w:p>
        </w:tc>
        <w:tc>
          <w:tcPr>
            <w:tcW w:w="220" w:type="dxa"/>
            <w:vAlign w:val="bottom"/>
            <w:tcBorders>
              <w:right w:val="single" w:sz="8" w:color="auto"/>
            </w:tcBorders>
          </w:tcPr>
          <w:p>
            <w:pPr>
              <w:spacing w:after="0"/>
              <w:rPr>
                <w:sz w:val="18"/>
                <w:szCs w:val="18"/>
                <w:color w:val="auto"/>
              </w:rPr>
            </w:pPr>
          </w:p>
        </w:tc>
        <w:tc>
          <w:tcPr>
            <w:tcW w:w="548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registre des actions.</w:t>
            </w:r>
          </w:p>
        </w:tc>
      </w:tr>
      <w:tr>
        <w:trPr>
          <w:trHeight w:val="54"/>
        </w:trPr>
        <w:tc>
          <w:tcPr>
            <w:tcW w:w="5540" w:type="dxa"/>
            <w:vAlign w:val="bottom"/>
            <w:tcBorders>
              <w:left w:val="single" w:sz="8" w:color="auto"/>
              <w:bottom w:val="single" w:sz="8" w:color="auto"/>
              <w:right w:val="single" w:sz="8" w:color="auto"/>
            </w:tcBorders>
          </w:tcPr>
          <w:p>
            <w:pPr>
              <w:spacing w:after="0"/>
              <w:rPr>
                <w:sz w:val="4"/>
                <w:szCs w:val="4"/>
                <w:color w:val="auto"/>
              </w:rPr>
            </w:pPr>
          </w:p>
        </w:tc>
        <w:tc>
          <w:tcPr>
            <w:tcW w:w="220" w:type="dxa"/>
            <w:vAlign w:val="bottom"/>
            <w:tcBorders>
              <w:bottom w:val="single" w:sz="8" w:color="auto"/>
              <w:right w:val="single" w:sz="8" w:color="auto"/>
            </w:tcBorders>
          </w:tcPr>
          <w:p>
            <w:pPr>
              <w:spacing w:after="0"/>
              <w:rPr>
                <w:sz w:val="4"/>
                <w:szCs w:val="4"/>
                <w:color w:val="auto"/>
              </w:rPr>
            </w:pPr>
          </w:p>
        </w:tc>
        <w:tc>
          <w:tcPr>
            <w:tcW w:w="5480" w:type="dxa"/>
            <w:vAlign w:val="bottom"/>
            <w:tcBorders>
              <w:bottom w:val="single" w:sz="8" w:color="auto"/>
              <w:right w:val="single" w:sz="8" w:color="auto"/>
            </w:tcBorders>
          </w:tcPr>
          <w:p>
            <w:pPr>
              <w:spacing w:after="0"/>
              <w:rPr>
                <w:sz w:val="4"/>
                <w:szCs w:val="4"/>
                <w:color w:val="auto"/>
              </w:rPr>
            </w:pPr>
          </w:p>
        </w:tc>
      </w:tr>
      <w:tr>
        <w:trPr>
          <w:trHeight w:val="263"/>
        </w:trPr>
        <w:tc>
          <w:tcPr>
            <w:tcW w:w="554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Unless the law provides otherwise, notices shall be given to</w:t>
            </w:r>
          </w:p>
        </w:tc>
        <w:tc>
          <w:tcPr>
            <w:tcW w:w="220" w:type="dxa"/>
            <w:vAlign w:val="bottom"/>
            <w:tcBorders>
              <w:right w:val="single" w:sz="8" w:color="auto"/>
            </w:tcBorders>
          </w:tcPr>
          <w:p>
            <w:pPr>
              <w:spacing w:after="0"/>
              <w:rPr>
                <w:sz w:val="22"/>
                <w:szCs w:val="22"/>
                <w:color w:val="auto"/>
              </w:rPr>
            </w:pPr>
          </w:p>
        </w:tc>
        <w:tc>
          <w:tcPr>
            <w:tcW w:w="548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Sauf si la loi en dispose autrement, les avis seront envoyés aux</w:t>
            </w:r>
          </w:p>
        </w:tc>
      </w:tr>
      <w:tr>
        <w:trPr>
          <w:trHeight w:val="203"/>
        </w:trPr>
        <w:tc>
          <w:tcPr>
            <w:tcW w:w="5540" w:type="dxa"/>
            <w:vAlign w:val="bottom"/>
            <w:tcBorders>
              <w:left w:val="single" w:sz="8" w:color="auto"/>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creditors by publication in the Swiss Official Gazette of Commerce.</w:t>
            </w:r>
          </w:p>
        </w:tc>
        <w:tc>
          <w:tcPr>
            <w:tcW w:w="22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créanciers par publication dans la Feuille officielle suisse du</w:t>
            </w:r>
          </w:p>
        </w:tc>
      </w:tr>
      <w:tr>
        <w:trPr>
          <w:trHeight w:val="203"/>
        </w:trPr>
        <w:tc>
          <w:tcPr>
            <w:tcW w:w="5540" w:type="dxa"/>
            <w:vAlign w:val="bottom"/>
            <w:tcBorders>
              <w:left w:val="single" w:sz="8" w:color="auto"/>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The  Board  of  Directors  may  assign  further  means  of</w:t>
            </w:r>
          </w:p>
        </w:tc>
        <w:tc>
          <w:tcPr>
            <w:tcW w:w="22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commerce.  Le  conseil  d'administration  peut  prévoir  d'autres</w:t>
            </w:r>
          </w:p>
        </w:tc>
      </w:tr>
      <w:tr>
        <w:trPr>
          <w:trHeight w:val="217"/>
        </w:trPr>
        <w:tc>
          <w:tcPr>
            <w:tcW w:w="554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communication.</w:t>
            </w:r>
          </w:p>
        </w:tc>
        <w:tc>
          <w:tcPr>
            <w:tcW w:w="220" w:type="dxa"/>
            <w:vAlign w:val="bottom"/>
            <w:tcBorders>
              <w:right w:val="single" w:sz="8" w:color="auto"/>
            </w:tcBorders>
          </w:tcPr>
          <w:p>
            <w:pPr>
              <w:spacing w:after="0"/>
              <w:rPr>
                <w:sz w:val="18"/>
                <w:szCs w:val="18"/>
                <w:color w:val="auto"/>
              </w:rPr>
            </w:pPr>
          </w:p>
        </w:tc>
        <w:tc>
          <w:tcPr>
            <w:tcW w:w="548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moyens de communication.</w:t>
            </w:r>
          </w:p>
        </w:tc>
      </w:tr>
      <w:tr>
        <w:trPr>
          <w:trHeight w:val="54"/>
        </w:trPr>
        <w:tc>
          <w:tcPr>
            <w:tcW w:w="5540" w:type="dxa"/>
            <w:vAlign w:val="bottom"/>
            <w:tcBorders>
              <w:left w:val="single" w:sz="8" w:color="auto"/>
              <w:bottom w:val="single" w:sz="8" w:color="auto"/>
              <w:right w:val="single" w:sz="8" w:color="auto"/>
            </w:tcBorders>
          </w:tcPr>
          <w:p>
            <w:pPr>
              <w:spacing w:after="0"/>
              <w:rPr>
                <w:sz w:val="4"/>
                <w:szCs w:val="4"/>
                <w:color w:val="auto"/>
              </w:rPr>
            </w:pPr>
          </w:p>
        </w:tc>
        <w:tc>
          <w:tcPr>
            <w:tcW w:w="220" w:type="dxa"/>
            <w:vAlign w:val="bottom"/>
            <w:tcBorders>
              <w:bottom w:val="single" w:sz="8" w:color="auto"/>
              <w:right w:val="single" w:sz="8" w:color="auto"/>
            </w:tcBorders>
          </w:tcPr>
          <w:p>
            <w:pPr>
              <w:spacing w:after="0"/>
              <w:rPr>
                <w:sz w:val="4"/>
                <w:szCs w:val="4"/>
                <w:color w:val="auto"/>
              </w:rPr>
            </w:pPr>
          </w:p>
        </w:tc>
        <w:tc>
          <w:tcPr>
            <w:tcW w:w="5480" w:type="dxa"/>
            <w:vAlign w:val="bottom"/>
            <w:tcBorders>
              <w:bottom w:val="single" w:sz="8" w:color="auto"/>
              <w:right w:val="single" w:sz="8" w:color="auto"/>
            </w:tcBorders>
          </w:tcPr>
          <w:p>
            <w:pPr>
              <w:spacing w:after="0"/>
              <w:rPr>
                <w:sz w:val="4"/>
                <w:szCs w:val="4"/>
                <w:color w:val="auto"/>
              </w:rPr>
            </w:pPr>
          </w:p>
        </w:tc>
      </w:tr>
      <w:tr>
        <w:trPr>
          <w:trHeight w:val="277"/>
        </w:trPr>
        <w:tc>
          <w:tcPr>
            <w:tcW w:w="554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b w:val="1"/>
                <w:bCs w:val="1"/>
                <w:color w:val="auto"/>
              </w:rPr>
              <w:t>XI. TRANSITIONAL PROVISIONS</w:t>
            </w:r>
          </w:p>
        </w:tc>
        <w:tc>
          <w:tcPr>
            <w:tcW w:w="220" w:type="dxa"/>
            <w:vAlign w:val="bottom"/>
            <w:tcBorders>
              <w:right w:val="single" w:sz="8" w:color="auto"/>
            </w:tcBorders>
          </w:tcPr>
          <w:p>
            <w:pPr>
              <w:spacing w:after="0"/>
              <w:rPr>
                <w:sz w:val="24"/>
                <w:szCs w:val="24"/>
                <w:color w:val="auto"/>
              </w:rPr>
            </w:pPr>
          </w:p>
        </w:tc>
        <w:tc>
          <w:tcPr>
            <w:tcW w:w="5480" w:type="dxa"/>
            <w:vAlign w:val="bottom"/>
            <w:tcBorders>
              <w:right w:val="single" w:sz="8" w:color="auto"/>
            </w:tcBorders>
          </w:tcPr>
          <w:p>
            <w:pPr>
              <w:ind w:left="60"/>
              <w:spacing w:after="0"/>
              <w:rPr>
                <w:sz w:val="20"/>
                <w:szCs w:val="20"/>
                <w:color w:val="auto"/>
              </w:rPr>
            </w:pPr>
            <w:r>
              <w:rPr>
                <w:rFonts w:ascii="Arial" w:cs="Arial" w:eastAsia="Arial" w:hAnsi="Arial"/>
                <w:sz w:val="18"/>
                <w:szCs w:val="18"/>
                <w:b w:val="1"/>
                <w:bCs w:val="1"/>
                <w:color w:val="auto"/>
              </w:rPr>
              <w:t>XI. DISPOSITIONS TRANSITOIRES</w:t>
            </w:r>
          </w:p>
        </w:tc>
      </w:tr>
      <w:tr>
        <w:trPr>
          <w:trHeight w:val="54"/>
        </w:trPr>
        <w:tc>
          <w:tcPr>
            <w:tcW w:w="5540" w:type="dxa"/>
            <w:vAlign w:val="bottom"/>
            <w:tcBorders>
              <w:left w:val="single" w:sz="8" w:color="auto"/>
              <w:bottom w:val="single" w:sz="8" w:color="auto"/>
              <w:right w:val="single" w:sz="8" w:color="auto"/>
            </w:tcBorders>
          </w:tcPr>
          <w:p>
            <w:pPr>
              <w:spacing w:after="0"/>
              <w:rPr>
                <w:sz w:val="4"/>
                <w:szCs w:val="4"/>
                <w:color w:val="auto"/>
              </w:rPr>
            </w:pPr>
          </w:p>
        </w:tc>
        <w:tc>
          <w:tcPr>
            <w:tcW w:w="220" w:type="dxa"/>
            <w:vAlign w:val="bottom"/>
            <w:tcBorders>
              <w:bottom w:val="single" w:sz="8" w:color="auto"/>
              <w:right w:val="single" w:sz="8" w:color="auto"/>
            </w:tcBorders>
          </w:tcPr>
          <w:p>
            <w:pPr>
              <w:spacing w:after="0"/>
              <w:rPr>
                <w:sz w:val="4"/>
                <w:szCs w:val="4"/>
                <w:color w:val="auto"/>
              </w:rPr>
            </w:pPr>
          </w:p>
        </w:tc>
        <w:tc>
          <w:tcPr>
            <w:tcW w:w="5480" w:type="dxa"/>
            <w:vAlign w:val="bottom"/>
            <w:tcBorders>
              <w:bottom w:val="single" w:sz="8" w:color="auto"/>
              <w:right w:val="single" w:sz="8" w:color="auto"/>
            </w:tcBorders>
          </w:tcPr>
          <w:p>
            <w:pPr>
              <w:spacing w:after="0"/>
              <w:rPr>
                <w:sz w:val="4"/>
                <w:szCs w:val="4"/>
                <w:color w:val="auto"/>
              </w:rPr>
            </w:pPr>
          </w:p>
        </w:tc>
      </w:tr>
      <w:tr>
        <w:trPr>
          <w:trHeight w:val="241"/>
        </w:trPr>
        <w:tc>
          <w:tcPr>
            <w:tcW w:w="554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b w:val="1"/>
                <w:bCs w:val="1"/>
                <w:color w:val="auto"/>
              </w:rPr>
              <w:t>Art. 47 Transitional Provisions concerning the Compensation</w:t>
            </w:r>
          </w:p>
        </w:tc>
        <w:tc>
          <w:tcPr>
            <w:tcW w:w="220" w:type="dxa"/>
            <w:vAlign w:val="bottom"/>
            <w:tcBorders>
              <w:right w:val="single" w:sz="8" w:color="auto"/>
            </w:tcBorders>
          </w:tcPr>
          <w:p>
            <w:pPr>
              <w:spacing w:after="0"/>
              <w:rPr>
                <w:sz w:val="20"/>
                <w:szCs w:val="20"/>
                <w:color w:val="auto"/>
              </w:rPr>
            </w:pPr>
          </w:p>
        </w:tc>
        <w:tc>
          <w:tcPr>
            <w:tcW w:w="5480" w:type="dxa"/>
            <w:vAlign w:val="bottom"/>
            <w:tcBorders>
              <w:right w:val="single" w:sz="8" w:color="auto"/>
            </w:tcBorders>
          </w:tcPr>
          <w:p>
            <w:pPr>
              <w:ind w:left="60"/>
              <w:spacing w:after="0"/>
              <w:rPr>
                <w:sz w:val="20"/>
                <w:szCs w:val="20"/>
                <w:color w:val="auto"/>
              </w:rPr>
            </w:pPr>
            <w:r>
              <w:rPr>
                <w:rFonts w:ascii="Arial" w:cs="Arial" w:eastAsia="Arial" w:hAnsi="Arial"/>
                <w:sz w:val="18"/>
                <w:szCs w:val="18"/>
                <w:b w:val="1"/>
                <w:bCs w:val="1"/>
                <w:color w:val="auto"/>
              </w:rPr>
              <w:t>Art. 47 Dispositions transitoires concernant la rémunération</w:t>
            </w:r>
          </w:p>
        </w:tc>
      </w:tr>
      <w:tr>
        <w:trPr>
          <w:trHeight w:val="239"/>
        </w:trPr>
        <w:tc>
          <w:tcPr>
            <w:tcW w:w="554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b w:val="1"/>
                <w:bCs w:val="1"/>
                <w:color w:val="auto"/>
              </w:rPr>
              <w:t>of the Executive Committee</w:t>
            </w:r>
          </w:p>
        </w:tc>
        <w:tc>
          <w:tcPr>
            <w:tcW w:w="220" w:type="dxa"/>
            <w:vAlign w:val="bottom"/>
            <w:tcBorders>
              <w:right w:val="single" w:sz="8" w:color="auto"/>
            </w:tcBorders>
          </w:tcPr>
          <w:p>
            <w:pPr>
              <w:spacing w:after="0"/>
              <w:rPr>
                <w:sz w:val="20"/>
                <w:szCs w:val="20"/>
                <w:color w:val="auto"/>
              </w:rPr>
            </w:pPr>
          </w:p>
        </w:tc>
        <w:tc>
          <w:tcPr>
            <w:tcW w:w="5480" w:type="dxa"/>
            <w:vAlign w:val="bottom"/>
            <w:tcBorders>
              <w:right w:val="single" w:sz="8" w:color="auto"/>
            </w:tcBorders>
          </w:tcPr>
          <w:p>
            <w:pPr>
              <w:ind w:left="60"/>
              <w:spacing w:after="0"/>
              <w:rPr>
                <w:sz w:val="20"/>
                <w:szCs w:val="20"/>
                <w:color w:val="auto"/>
              </w:rPr>
            </w:pPr>
            <w:r>
              <w:rPr>
                <w:rFonts w:ascii="Arial" w:cs="Arial" w:eastAsia="Arial" w:hAnsi="Arial"/>
                <w:sz w:val="18"/>
                <w:szCs w:val="18"/>
                <w:b w:val="1"/>
                <w:bCs w:val="1"/>
                <w:color w:val="auto"/>
              </w:rPr>
              <w:t>du comité exécutif</w:t>
            </w:r>
          </w:p>
        </w:tc>
      </w:tr>
      <w:tr>
        <w:trPr>
          <w:trHeight w:val="391"/>
        </w:trPr>
        <w:tc>
          <w:tcPr>
            <w:tcW w:w="554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In the event that no vote was taken prior to the Ordinary General</w:t>
            </w:r>
          </w:p>
        </w:tc>
        <w:tc>
          <w:tcPr>
            <w:tcW w:w="220" w:type="dxa"/>
            <w:vAlign w:val="bottom"/>
            <w:tcBorders>
              <w:right w:val="single" w:sz="8" w:color="auto"/>
            </w:tcBorders>
          </w:tcPr>
          <w:p>
            <w:pPr>
              <w:spacing w:after="0"/>
              <w:rPr>
                <w:sz w:val="24"/>
                <w:szCs w:val="24"/>
                <w:color w:val="auto"/>
              </w:rPr>
            </w:pPr>
          </w:p>
        </w:tc>
        <w:tc>
          <w:tcPr>
            <w:tcW w:w="548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Dans l’hypothèse où aucun vote n’a eu lieu avant l'assemblée</w:t>
            </w:r>
          </w:p>
        </w:tc>
      </w:tr>
      <w:tr>
        <w:trPr>
          <w:trHeight w:val="203"/>
        </w:trPr>
        <w:tc>
          <w:tcPr>
            <w:tcW w:w="5540" w:type="dxa"/>
            <w:vAlign w:val="bottom"/>
            <w:tcBorders>
              <w:left w:val="single" w:sz="8" w:color="auto"/>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Meeting 2022 with respect to i) and ii) below, the shareholders</w:t>
            </w:r>
          </w:p>
        </w:tc>
        <w:tc>
          <w:tcPr>
            <w:tcW w:w="22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générale ordinaire 2022 sur les objets (i) et (ii) ci-dessous, les</w:t>
            </w:r>
          </w:p>
        </w:tc>
      </w:tr>
      <w:tr>
        <w:trPr>
          <w:trHeight w:val="203"/>
        </w:trPr>
        <w:tc>
          <w:tcPr>
            <w:tcW w:w="5540" w:type="dxa"/>
            <w:vAlign w:val="bottom"/>
            <w:tcBorders>
              <w:left w:val="single" w:sz="8" w:color="auto"/>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shall vote, at the Ordinary General Meeting 2022, among other</w:t>
            </w:r>
          </w:p>
        </w:tc>
        <w:tc>
          <w:tcPr>
            <w:tcW w:w="22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actionnaires voteront lors de l'assemblée générale ordinaire 2022,</w:t>
            </w:r>
          </w:p>
        </w:tc>
      </w:tr>
      <w:tr>
        <w:trPr>
          <w:trHeight w:val="203"/>
        </w:trPr>
        <w:tc>
          <w:tcPr>
            <w:tcW w:w="5540" w:type="dxa"/>
            <w:vAlign w:val="bottom"/>
            <w:tcBorders>
              <w:left w:val="single" w:sz="8" w:color="auto"/>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things, separately on the approval of the proposals of the Board of</w:t>
            </w:r>
          </w:p>
        </w:tc>
        <w:tc>
          <w:tcPr>
            <w:tcW w:w="22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entre autres, séparément sur l'approbation des propositions du</w:t>
            </w:r>
          </w:p>
        </w:tc>
      </w:tr>
      <w:tr>
        <w:trPr>
          <w:trHeight w:val="203"/>
        </w:trPr>
        <w:tc>
          <w:tcPr>
            <w:tcW w:w="5540" w:type="dxa"/>
            <w:vAlign w:val="bottom"/>
            <w:tcBorders>
              <w:left w:val="single" w:sz="8" w:color="auto"/>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Directors in relation to (i) the maximum aggregate amount of</w:t>
            </w:r>
          </w:p>
        </w:tc>
        <w:tc>
          <w:tcPr>
            <w:tcW w:w="22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conseil d'administration concernant (i) le montant global maximum</w:t>
            </w:r>
          </w:p>
        </w:tc>
      </w:tr>
      <w:tr>
        <w:trPr>
          <w:trHeight w:val="217"/>
        </w:trPr>
        <w:tc>
          <w:tcPr>
            <w:tcW w:w="554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compensation of the</w:t>
            </w:r>
          </w:p>
        </w:tc>
        <w:tc>
          <w:tcPr>
            <w:tcW w:w="220" w:type="dxa"/>
            <w:vAlign w:val="bottom"/>
            <w:tcBorders>
              <w:right w:val="single" w:sz="8" w:color="auto"/>
            </w:tcBorders>
          </w:tcPr>
          <w:p>
            <w:pPr>
              <w:spacing w:after="0"/>
              <w:rPr>
                <w:sz w:val="18"/>
                <w:szCs w:val="18"/>
                <w:color w:val="auto"/>
              </w:rPr>
            </w:pPr>
          </w:p>
        </w:tc>
        <w:tc>
          <w:tcPr>
            <w:tcW w:w="548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de</w:t>
            </w:r>
          </w:p>
        </w:tc>
      </w:tr>
      <w:tr>
        <w:trPr>
          <w:trHeight w:val="54"/>
        </w:trPr>
        <w:tc>
          <w:tcPr>
            <w:tcW w:w="5540" w:type="dxa"/>
            <w:vAlign w:val="bottom"/>
            <w:tcBorders>
              <w:left w:val="single" w:sz="8" w:color="auto"/>
              <w:bottom w:val="single" w:sz="8" w:color="auto"/>
              <w:right w:val="single" w:sz="8" w:color="auto"/>
            </w:tcBorders>
          </w:tcPr>
          <w:p>
            <w:pPr>
              <w:spacing w:after="0"/>
              <w:rPr>
                <w:sz w:val="4"/>
                <w:szCs w:val="4"/>
                <w:color w:val="auto"/>
              </w:rPr>
            </w:pPr>
          </w:p>
        </w:tc>
        <w:tc>
          <w:tcPr>
            <w:tcW w:w="220" w:type="dxa"/>
            <w:vAlign w:val="bottom"/>
            <w:tcBorders>
              <w:bottom w:val="single" w:sz="8" w:color="auto"/>
              <w:right w:val="single" w:sz="8" w:color="auto"/>
            </w:tcBorders>
          </w:tcPr>
          <w:p>
            <w:pPr>
              <w:spacing w:after="0"/>
              <w:rPr>
                <w:sz w:val="4"/>
                <w:szCs w:val="4"/>
                <w:color w:val="auto"/>
              </w:rPr>
            </w:pPr>
          </w:p>
        </w:tc>
        <w:tc>
          <w:tcPr>
            <w:tcW w:w="5480" w:type="dxa"/>
            <w:vAlign w:val="bottom"/>
            <w:tcBorders>
              <w:bottom w:val="single" w:sz="8" w:color="auto"/>
              <w:right w:val="single" w:sz="8" w:color="auto"/>
            </w:tcBorders>
          </w:tcPr>
          <w:p>
            <w:pPr>
              <w:spacing w:after="0"/>
              <w:rPr>
                <w:sz w:val="4"/>
                <w:szCs w:val="4"/>
                <w:color w:val="auto"/>
              </w:rPr>
            </w:pPr>
          </w:p>
        </w:tc>
      </w:tr>
      <w:tr>
        <w:trPr>
          <w:trHeight w:val="453"/>
        </w:trPr>
        <w:tc>
          <w:tcPr>
            <w:tcW w:w="55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54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249" w:right="339" w:bottom="1440" w:gutter="0" w:footer="0" w:header="0"/>
        </w:sectPr>
      </w:pPr>
    </w:p>
    <w:bookmarkStart w:id="72" w:name="page73"/>
    <w:bookmarkEnd w:id="72"/>
    <w:p>
      <w:pPr>
        <w:ind w:left="11020"/>
        <w:spacing w:after="0"/>
        <w:rPr>
          <w:sz w:val="20"/>
          <w:szCs w:val="20"/>
          <w:color w:val="auto"/>
        </w:rPr>
      </w:pPr>
      <w:r>
        <w:rPr>
          <w:rFonts w:ascii="Arial" w:cs="Arial" w:eastAsia="Arial" w:hAnsi="Arial"/>
          <w:sz w:val="16"/>
          <w:szCs w:val="16"/>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132320" cy="2802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2802890"/>
                    </a:xfrm>
                    <a:prstGeom prst="rect">
                      <a:avLst/>
                    </a:prstGeom>
                    <a:noFill/>
                  </pic:spPr>
                </pic:pic>
              </a:graphicData>
            </a:graphic>
          </wp:anchor>
        </w:drawing>
      </w:r>
    </w:p>
    <w:p>
      <w:pPr>
        <w:sectPr>
          <w:pgSz w:w="11900" w:h="16838" w:orient="portrait"/>
          <w:cols w:equalWidth="0" w:num="1">
            <w:col w:w="11200"/>
          </w:cols>
          <w:pgMar w:left="320" w:top="249" w:right="379" w:bottom="1440" w:gutter="0" w:footer="0" w:header="0"/>
        </w:sectPr>
      </w:pPr>
    </w:p>
    <w:p>
      <w:pPr>
        <w:spacing w:after="0" w:line="83" w:lineRule="exact"/>
        <w:rPr>
          <w:sz w:val="20"/>
          <w:szCs w:val="20"/>
          <w:color w:val="auto"/>
        </w:rPr>
      </w:pPr>
    </w:p>
    <w:p>
      <w:pPr>
        <w:jc w:val="both"/>
        <w:ind w:left="100"/>
        <w:spacing w:after="0" w:line="237" w:lineRule="auto"/>
        <w:rPr>
          <w:sz w:val="20"/>
          <w:szCs w:val="20"/>
          <w:color w:val="auto"/>
        </w:rPr>
      </w:pPr>
      <w:r>
        <w:rPr>
          <w:rFonts w:ascii="Arial" w:cs="Arial" w:eastAsia="Arial" w:hAnsi="Arial"/>
          <w:sz w:val="18"/>
          <w:szCs w:val="18"/>
          <w:color w:val="auto"/>
        </w:rPr>
        <w:t>Executive Committee for the following financial year 2023 in accordance with the amended Articles 8 para. 1 lit. e) and 18 of the Articles of Association approved by the Ordinary General Meeting held on 25 June 2021 and the Articles 33 and 35 of the Articles of Association, and (ii) the total maximum amount of compensation of the Executive Committee for</w:t>
      </w:r>
    </w:p>
    <w:p>
      <w:pPr>
        <w:spacing w:after="0" w:line="191" w:lineRule="exact"/>
        <w:rPr>
          <w:sz w:val="20"/>
          <w:szCs w:val="20"/>
          <w:color w:val="auto"/>
        </w:rPr>
      </w:pPr>
    </w:p>
    <w:p>
      <w:pPr>
        <w:jc w:val="both"/>
        <w:ind w:left="420" w:hanging="327"/>
        <w:spacing w:after="0"/>
        <w:tabs>
          <w:tab w:leader="none" w:pos="497"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non-performance-related compensation of the Executive Committee for the 6-month period starting on 1 July 2022 to 31 December 2022;</w:t>
      </w:r>
    </w:p>
    <w:p>
      <w:pPr>
        <w:spacing w:after="0" w:line="189" w:lineRule="exact"/>
        <w:rPr>
          <w:rFonts w:ascii="Arial" w:cs="Arial" w:eastAsia="Arial" w:hAnsi="Arial"/>
          <w:sz w:val="18"/>
          <w:szCs w:val="18"/>
          <w:color w:val="auto"/>
        </w:rPr>
      </w:pPr>
    </w:p>
    <w:p>
      <w:pPr>
        <w:jc w:val="both"/>
        <w:ind w:left="420" w:hanging="327"/>
        <w:spacing w:after="0"/>
        <w:tabs>
          <w:tab w:leader="none" w:pos="416"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variable compensation for the Executive Committee for the 12-month period starting on 1 January 2022 to 31 December 2022; and</w:t>
      </w:r>
    </w:p>
    <w:p>
      <w:pPr>
        <w:spacing w:after="0" w:line="189" w:lineRule="exact"/>
        <w:rPr>
          <w:rFonts w:ascii="Arial" w:cs="Arial" w:eastAsia="Arial" w:hAnsi="Arial"/>
          <w:sz w:val="18"/>
          <w:szCs w:val="18"/>
          <w:color w:val="auto"/>
        </w:rPr>
      </w:pPr>
    </w:p>
    <w:p>
      <w:pPr>
        <w:jc w:val="both"/>
        <w:ind w:left="420" w:hanging="327"/>
        <w:spacing w:after="0"/>
        <w:tabs>
          <w:tab w:leader="none" w:pos="402"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grant of Equity in the Company to the Executive Committee for the 6-month period starting on 1 July 2022 to 31 December 2022,</w:t>
      </w:r>
    </w:p>
    <w:p>
      <w:pPr>
        <w:spacing w:after="0" w:line="189" w:lineRule="exact"/>
        <w:rPr>
          <w:sz w:val="20"/>
          <w:szCs w:val="20"/>
          <w:color w:val="auto"/>
        </w:rPr>
      </w:pPr>
    </w:p>
    <w:p>
      <w:pPr>
        <w:ind w:left="100" w:right="260"/>
        <w:spacing w:after="0" w:line="246" w:lineRule="auto"/>
        <w:rPr>
          <w:sz w:val="20"/>
          <w:szCs w:val="20"/>
          <w:color w:val="auto"/>
        </w:rPr>
      </w:pPr>
      <w:r>
        <w:rPr>
          <w:rFonts w:ascii="Arial" w:cs="Arial" w:eastAsia="Arial" w:hAnsi="Arial"/>
          <w:sz w:val="18"/>
          <w:szCs w:val="18"/>
          <w:color w:val="auto"/>
        </w:rPr>
        <w:t>in accordance with Articles 18 para. 2 and 3, 33 as well as 35 of the Articles of Association.</w:t>
      </w:r>
    </w:p>
    <w:p>
      <w:pPr>
        <w:spacing w:after="0" w:line="20" w:lineRule="exact"/>
        <w:rPr>
          <w:sz w:val="20"/>
          <w:szCs w:val="20"/>
          <w:color w:val="auto"/>
        </w:rPr>
      </w:pPr>
      <w:r>
        <w:rPr>
          <w:sz w:val="20"/>
          <w:szCs w:val="20"/>
          <w:color w:val="auto"/>
        </w:rPr>
        <w:br w:type="column"/>
      </w:r>
    </w:p>
    <w:p>
      <w:pPr>
        <w:spacing w:after="0" w:line="63" w:lineRule="exact"/>
        <w:rPr>
          <w:sz w:val="20"/>
          <w:szCs w:val="20"/>
          <w:color w:val="auto"/>
        </w:rPr>
      </w:pPr>
    </w:p>
    <w:p>
      <w:pPr>
        <w:jc w:val="both"/>
        <w:ind w:left="3" w:right="40"/>
        <w:spacing w:after="0" w:line="238" w:lineRule="auto"/>
        <w:rPr>
          <w:sz w:val="20"/>
          <w:szCs w:val="20"/>
          <w:color w:val="auto"/>
        </w:rPr>
      </w:pPr>
      <w:r>
        <w:rPr>
          <w:rFonts w:ascii="Arial" w:cs="Arial" w:eastAsia="Arial" w:hAnsi="Arial"/>
          <w:sz w:val="18"/>
          <w:szCs w:val="18"/>
          <w:color w:val="auto"/>
        </w:rPr>
        <w:t>la rémunération du comité exécutif pour l'exercice suivant 2023 conformément aux articles 8, al. 1 let. e) et 18 des statuts approuvés par l'assemblée générale ordinaire du 25 juin 2021 et les articles 33 et 35 des statuts, et (ii) le montant total maximum de la rémunération du comité exécutif pour</w:t>
      </w:r>
    </w:p>
    <w:p>
      <w:pPr>
        <w:spacing w:after="0" w:line="391" w:lineRule="exact"/>
        <w:rPr>
          <w:sz w:val="20"/>
          <w:szCs w:val="20"/>
          <w:color w:val="auto"/>
        </w:rPr>
      </w:pPr>
    </w:p>
    <w:p>
      <w:pPr>
        <w:jc w:val="both"/>
        <w:ind w:left="323" w:right="40" w:hanging="323"/>
        <w:spacing w:after="0"/>
        <w:tabs>
          <w:tab w:leader="none" w:pos="349" w:val="left"/>
        </w:tabs>
        <w:numPr>
          <w:ilvl w:val="0"/>
          <w:numId w:val="70"/>
        </w:numPr>
        <w:rPr>
          <w:rFonts w:ascii="Arial" w:cs="Arial" w:eastAsia="Arial" w:hAnsi="Arial"/>
          <w:sz w:val="18"/>
          <w:szCs w:val="18"/>
          <w:color w:val="auto"/>
        </w:rPr>
      </w:pPr>
      <w:r>
        <w:rPr>
          <w:rFonts w:ascii="Arial" w:cs="Arial" w:eastAsia="Arial" w:hAnsi="Arial"/>
          <w:sz w:val="18"/>
          <w:szCs w:val="18"/>
          <w:color w:val="auto"/>
        </w:rPr>
        <w:t>la rémunération non liée à la performance du comité exécutif pour la période de 6 mois du 1er juillet 2022 au 31 décembre 2022;</w:t>
      </w:r>
    </w:p>
    <w:p>
      <w:pPr>
        <w:spacing w:after="0" w:line="189" w:lineRule="exact"/>
        <w:rPr>
          <w:rFonts w:ascii="Arial" w:cs="Arial" w:eastAsia="Arial" w:hAnsi="Arial"/>
          <w:sz w:val="18"/>
          <w:szCs w:val="18"/>
          <w:color w:val="auto"/>
        </w:rPr>
      </w:pPr>
    </w:p>
    <w:p>
      <w:pPr>
        <w:ind w:left="323" w:right="60" w:hanging="323"/>
        <w:spacing w:after="0" w:line="246" w:lineRule="auto"/>
        <w:tabs>
          <w:tab w:leader="none" w:pos="482" w:val="left"/>
        </w:tabs>
        <w:numPr>
          <w:ilvl w:val="0"/>
          <w:numId w:val="70"/>
        </w:numPr>
        <w:rPr>
          <w:rFonts w:ascii="Arial" w:cs="Arial" w:eastAsia="Arial" w:hAnsi="Arial"/>
          <w:sz w:val="18"/>
          <w:szCs w:val="18"/>
          <w:color w:val="auto"/>
        </w:rPr>
      </w:pPr>
      <w:r>
        <w:rPr>
          <w:rFonts w:ascii="Arial" w:cs="Arial" w:eastAsia="Arial" w:hAnsi="Arial"/>
          <w:sz w:val="18"/>
          <w:szCs w:val="18"/>
          <w:color w:val="auto"/>
        </w:rPr>
        <w:t>la rémunération variable pour le comité exécutif pour la période de 12 mois du 1er janvier 2022 au 31 décembre 2022</w:t>
      </w:r>
    </w:p>
    <w:p>
      <w:pPr>
        <w:spacing w:after="0" w:line="183" w:lineRule="exact"/>
        <w:rPr>
          <w:rFonts w:ascii="Arial" w:cs="Arial" w:eastAsia="Arial" w:hAnsi="Arial"/>
          <w:sz w:val="18"/>
          <w:szCs w:val="18"/>
          <w:color w:val="auto"/>
        </w:rPr>
      </w:pPr>
    </w:p>
    <w:p>
      <w:pPr>
        <w:ind w:left="323" w:right="40" w:hanging="323"/>
        <w:spacing w:after="0" w:line="246" w:lineRule="auto"/>
        <w:tabs>
          <w:tab w:leader="none" w:pos="298" w:val="left"/>
        </w:tabs>
        <w:numPr>
          <w:ilvl w:val="0"/>
          <w:numId w:val="70"/>
        </w:numPr>
        <w:rPr>
          <w:rFonts w:ascii="Arial" w:cs="Arial" w:eastAsia="Arial" w:hAnsi="Arial"/>
          <w:sz w:val="18"/>
          <w:szCs w:val="18"/>
          <w:color w:val="auto"/>
        </w:rPr>
      </w:pPr>
      <w:r>
        <w:rPr>
          <w:rFonts w:ascii="Arial" w:cs="Arial" w:eastAsia="Arial" w:hAnsi="Arial"/>
          <w:sz w:val="18"/>
          <w:szCs w:val="18"/>
          <w:color w:val="auto"/>
        </w:rPr>
        <w:t>l'octroi de participations dans la société au comité exécutif pour la période de 6 mois du 1er juillet 2022 au 31 décembre 2022,</w:t>
      </w:r>
    </w:p>
    <w:p>
      <w:pPr>
        <w:spacing w:after="0" w:line="183" w:lineRule="exact"/>
        <w:rPr>
          <w:sz w:val="20"/>
          <w:szCs w:val="20"/>
          <w:color w:val="auto"/>
        </w:rPr>
      </w:pPr>
    </w:p>
    <w:p>
      <w:pPr>
        <w:ind w:left="3" w:right="620"/>
        <w:spacing w:after="0" w:line="246" w:lineRule="auto"/>
        <w:rPr>
          <w:sz w:val="20"/>
          <w:szCs w:val="20"/>
          <w:color w:val="auto"/>
        </w:rPr>
      </w:pPr>
      <w:r>
        <w:rPr>
          <w:rFonts w:ascii="Arial" w:cs="Arial" w:eastAsia="Arial" w:hAnsi="Arial"/>
          <w:sz w:val="18"/>
          <w:szCs w:val="18"/>
          <w:color w:val="auto"/>
        </w:rPr>
        <w:t>conformément à l'article 18 al. 2 et 3, ainsi que 33 et 35 des statuts.</w:t>
      </w:r>
    </w:p>
    <w:p>
      <w:pPr>
        <w:spacing w:after="0" w:line="605" w:lineRule="exact"/>
        <w:rPr>
          <w:sz w:val="20"/>
          <w:szCs w:val="20"/>
          <w:color w:val="auto"/>
        </w:rPr>
      </w:pPr>
    </w:p>
    <w:p>
      <w:pPr>
        <w:sectPr>
          <w:pgSz w:w="11900" w:h="16838" w:orient="portrait"/>
          <w:cols w:equalWidth="0" w:num="2">
            <w:col w:w="5440" w:space="377"/>
            <w:col w:w="5383"/>
          </w:cols>
          <w:pgMar w:left="320" w:top="249" w:right="379" w:bottom="1440" w:gutter="0" w:footer="0" w:header="0"/>
          <w:type w:val="continuous"/>
        </w:sectPr>
      </w:pP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color w:val="auto"/>
        </w:rPr>
        <w:t>Statuts modifiés lors de la séance du conseil d’administration du 21 octobre 2021.</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color w:val="auto"/>
        </w:rPr>
        <w:t>L'atteste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408940</wp:posOffset>
            </wp:positionV>
            <wp:extent cx="713232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249" w:right="379" w:bottom="1440" w:gutter="0" w:footer="0" w:header="0"/>
          <w:type w:val="continuous"/>
        </w:sectPr>
      </w:pPr>
    </w:p>
    <w:bookmarkStart w:id="73" w:name="page74"/>
    <w:bookmarkEnd w:id="73"/>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A1"/>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40BADFC"/>
    <w:multiLevelType w:val="hybridMultilevel"/>
    <w:lvl w:ilvl="0">
      <w:lvlJc w:val="left"/>
      <w:lvlText w:val="%1."/>
      <w:numFmt w:val="decimal"/>
      <w:start w:val="1"/>
    </w:lvl>
  </w:abstractNum>
  <w:abstractNum w:abstractNumId="1">
    <w:nsid w:val="5072367"/>
    <w:multiLevelType w:val="hybridMultilevel"/>
    <w:lvl w:ilvl="0">
      <w:lvlJc w:val="left"/>
      <w:lvlText w:val="%1."/>
      <w:numFmt w:val="decimal"/>
      <w:start w:val="2"/>
    </w:lvl>
  </w:abstractNum>
  <w:abstractNum w:abstractNumId="2">
    <w:nsid w:val="3804823E"/>
    <w:multiLevelType w:val="hybridMultilevel"/>
    <w:lvl w:ilvl="0">
      <w:lvlJc w:val="left"/>
      <w:lvlText w:val="(%1)"/>
      <w:numFmt w:val="lowerRoman"/>
      <w:start w:val="1"/>
    </w:lvl>
  </w:abstractNum>
  <w:abstractNum w:abstractNumId="3">
    <w:nsid w:val="77465F01"/>
    <w:multiLevelType w:val="hybridMultilevel"/>
    <w:lvl w:ilvl="0">
      <w:lvlJc w:val="left"/>
      <w:lvlText w:val="·"/>
      <w:numFmt w:val="bullet"/>
      <w:start w:val="1"/>
    </w:lvl>
  </w:abstractNum>
  <w:abstractNum w:abstractNumId="4">
    <w:nsid w:val="7724C67E"/>
    <w:multiLevelType w:val="hybridMultilevel"/>
    <w:lvl w:ilvl="0">
      <w:lvlJc w:val="left"/>
      <w:lvlText w:val="%1."/>
      <w:numFmt w:val="decimal"/>
      <w:start w:val="3"/>
    </w:lvl>
  </w:abstractNum>
  <w:abstractNum w:abstractNumId="5">
    <w:nsid w:val="5C482A97"/>
    <w:multiLevelType w:val="hybridMultilevel"/>
    <w:lvl w:ilvl="0">
      <w:lvlJc w:val="left"/>
      <w:lvlText w:val="%1."/>
      <w:numFmt w:val="decimal"/>
      <w:start w:val="4"/>
    </w:lvl>
  </w:abstractNum>
  <w:abstractNum w:abstractNumId="6">
    <w:nsid w:val="2463B9EA"/>
    <w:multiLevelType w:val="hybridMultilevel"/>
    <w:lvl w:ilvl="0">
      <w:lvlJc w:val="left"/>
      <w:lvlText w:val="%1."/>
      <w:numFmt w:val="decimal"/>
      <w:start w:val="6"/>
    </w:lvl>
  </w:abstractNum>
  <w:abstractNum w:abstractNumId="7">
    <w:nsid w:val="5E884ADC"/>
    <w:multiLevelType w:val="hybridMultilevel"/>
    <w:lvl w:ilvl="0">
      <w:lvlJc w:val="left"/>
      <w:lvlText w:val="%1."/>
      <w:numFmt w:val="decimal"/>
      <w:start w:val="7"/>
    </w:lvl>
  </w:abstractNum>
  <w:abstractNum w:abstractNumId="8">
    <w:nsid w:val="51EAD36B"/>
    <w:multiLevelType w:val="hybridMultilevel"/>
    <w:lvl w:ilvl="0">
      <w:lvlJc w:val="left"/>
      <w:lvlText w:val="%1."/>
      <w:numFmt w:val="decimal"/>
      <w:start w:val="8"/>
    </w:lvl>
  </w:abstractNum>
  <w:abstractNum w:abstractNumId="9">
    <w:nsid w:val="2D517796"/>
    <w:multiLevelType w:val="hybridMultilevel"/>
    <w:lvl w:ilvl="0">
      <w:lvlJc w:val="left"/>
      <w:lvlText w:val="%1."/>
      <w:numFmt w:val="decimal"/>
      <w:start w:val="9"/>
    </w:lvl>
  </w:abstractNum>
  <w:abstractNum w:abstractNumId="10">
    <w:nsid w:val="580BD78F"/>
    <w:multiLevelType w:val="hybridMultilevel"/>
    <w:lvl w:ilvl="0">
      <w:lvlJc w:val="left"/>
      <w:lvlText w:val="·"/>
      <w:numFmt w:val="bullet"/>
      <w:start w:val="1"/>
    </w:lvl>
  </w:abstractNum>
  <w:abstractNum w:abstractNumId="11">
    <w:nsid w:val="153EA438"/>
    <w:multiLevelType w:val="hybridMultilevel"/>
    <w:lvl w:ilvl="0">
      <w:lvlJc w:val="left"/>
      <w:lvlText w:val="·"/>
      <w:numFmt w:val="bullet"/>
      <w:start w:val="1"/>
    </w:lvl>
  </w:abstractNum>
  <w:abstractNum w:abstractNumId="12">
    <w:nsid w:val="3855585C"/>
    <w:multiLevelType w:val="hybridMultilevel"/>
    <w:lvl w:ilvl="0">
      <w:lvlJc w:val="left"/>
      <w:lvlText w:val="·"/>
      <w:numFmt w:val="bullet"/>
      <w:start w:val="1"/>
    </w:lvl>
  </w:abstractNum>
  <w:abstractNum w:abstractNumId="13">
    <w:nsid w:val="70A64E2A"/>
    <w:multiLevelType w:val="hybridMultilevel"/>
    <w:lvl w:ilvl="0">
      <w:lvlJc w:val="left"/>
      <w:lvlText w:val="·"/>
      <w:numFmt w:val="bullet"/>
      <w:start w:val="1"/>
    </w:lvl>
  </w:abstractNum>
  <w:abstractNum w:abstractNumId="14">
    <w:nsid w:val="6A2342EC"/>
    <w:multiLevelType w:val="hybridMultilevel"/>
    <w:lvl w:ilvl="0">
      <w:lvlJc w:val="left"/>
      <w:lvlText w:val="·"/>
      <w:numFmt w:val="bullet"/>
      <w:start w:val="1"/>
    </w:lvl>
  </w:abstractNum>
  <w:abstractNum w:abstractNumId="15">
    <w:nsid w:val="2A487CB0"/>
    <w:multiLevelType w:val="hybridMultilevel"/>
    <w:lvl w:ilvl="0">
      <w:lvlJc w:val="left"/>
      <w:lvlText w:val="·"/>
      <w:numFmt w:val="bullet"/>
      <w:start w:val="1"/>
    </w:lvl>
  </w:abstractNum>
  <w:abstractNum w:abstractNumId="16">
    <w:nsid w:val="1D4ED43B"/>
    <w:multiLevelType w:val="hybridMultilevel"/>
    <w:lvl w:ilvl="0">
      <w:lvlJc w:val="left"/>
      <w:lvlText w:val="1"/>
      <w:numFmt w:val="bullet"/>
      <w:start w:val="1"/>
    </w:lvl>
  </w:abstractNum>
  <w:abstractNum w:abstractNumId="17">
    <w:nsid w:val="725A06FB"/>
    <w:multiLevelType w:val="hybridMultilevel"/>
    <w:lvl w:ilvl="0">
      <w:lvlJc w:val="left"/>
      <w:lvlText w:val="2"/>
      <w:numFmt w:val="bullet"/>
      <w:start w:val="1"/>
    </w:lvl>
    <w:lvl w:ilvl="1">
      <w:lvlJc w:val="left"/>
      <w:lvlText w:val="·"/>
      <w:numFmt w:val="bullet"/>
      <w:start w:val="1"/>
    </w:lvl>
  </w:abstractNum>
  <w:abstractNum w:abstractNumId="18">
    <w:nsid w:val="2CD89A32"/>
    <w:multiLevelType w:val="hybridMultilevel"/>
    <w:lvl w:ilvl="0">
      <w:lvlJc w:val="left"/>
      <w:lvlText w:val="·"/>
      <w:numFmt w:val="bullet"/>
      <w:start w:val="1"/>
    </w:lvl>
  </w:abstractNum>
  <w:abstractNum w:abstractNumId="19">
    <w:nsid w:val="57E4CCAF"/>
    <w:multiLevelType w:val="hybridMultilevel"/>
    <w:lvl w:ilvl="0">
      <w:lvlJc w:val="left"/>
      <w:lvlText w:val="·"/>
      <w:numFmt w:val="bullet"/>
      <w:start w:val="1"/>
    </w:lvl>
  </w:abstractNum>
  <w:abstractNum w:abstractNumId="20">
    <w:nsid w:val="7A6D8D3C"/>
    <w:multiLevelType w:val="hybridMultilevel"/>
    <w:lvl w:ilvl="0">
      <w:lvlJc w:val="left"/>
      <w:lvlText w:val="·"/>
      <w:numFmt w:val="bullet"/>
      <w:start w:val="1"/>
    </w:lvl>
  </w:abstractNum>
  <w:abstractNum w:abstractNumId="21">
    <w:nsid w:val="4B588F54"/>
    <w:multiLevelType w:val="hybridMultilevel"/>
    <w:lvl w:ilvl="0">
      <w:lvlJc w:val="left"/>
      <w:lvlText w:val="·"/>
      <w:numFmt w:val="bullet"/>
      <w:start w:val="1"/>
    </w:lvl>
  </w:abstractNum>
  <w:abstractNum w:abstractNumId="22">
    <w:nsid w:val="542289EC"/>
    <w:multiLevelType w:val="hybridMultilevel"/>
    <w:lvl w:ilvl="0">
      <w:lvlJc w:val="left"/>
      <w:lvlText w:val="1"/>
      <w:numFmt w:val="bullet"/>
      <w:start w:val="1"/>
    </w:lvl>
  </w:abstractNum>
  <w:abstractNum w:abstractNumId="23">
    <w:nsid w:val="6DE91B18"/>
    <w:multiLevelType w:val="hybridMultilevel"/>
    <w:lvl w:ilvl="0">
      <w:lvlJc w:val="left"/>
      <w:lvlText w:val="2"/>
      <w:numFmt w:val="bullet"/>
      <w:start w:val="1"/>
    </w:lvl>
  </w:abstractNum>
  <w:abstractNum w:abstractNumId="24">
    <w:nsid w:val="38437FDB"/>
    <w:multiLevelType w:val="hybridMultilevel"/>
    <w:lvl w:ilvl="0">
      <w:lvlJc w:val="left"/>
      <w:lvlText w:val="·"/>
      <w:numFmt w:val="bullet"/>
      <w:start w:val="1"/>
    </w:lvl>
  </w:abstractNum>
  <w:abstractNum w:abstractNumId="25">
    <w:nsid w:val="7644A45C"/>
    <w:multiLevelType w:val="hybridMultilevel"/>
    <w:lvl w:ilvl="0">
      <w:lvlJc w:val="left"/>
      <w:lvlText w:val="·"/>
      <w:numFmt w:val="bullet"/>
      <w:start w:val="1"/>
    </w:lvl>
  </w:abstractNum>
  <w:abstractNum w:abstractNumId="26">
    <w:nsid w:val="32FFF902"/>
    <w:multiLevelType w:val="hybridMultilevel"/>
    <w:lvl w:ilvl="0">
      <w:lvlJc w:val="left"/>
      <w:lvlText w:val="·"/>
      <w:numFmt w:val="bullet"/>
      <w:start w:val="1"/>
    </w:lvl>
  </w:abstractNum>
  <w:abstractNum w:abstractNumId="27">
    <w:nsid w:val="684A481A"/>
    <w:multiLevelType w:val="hybridMultilevel"/>
    <w:lvl w:ilvl="0">
      <w:lvlJc w:val="left"/>
      <w:lvlText w:val="·"/>
      <w:numFmt w:val="bullet"/>
      <w:start w:val="1"/>
    </w:lvl>
  </w:abstractNum>
  <w:abstractNum w:abstractNumId="28">
    <w:nsid w:val="579478FE"/>
    <w:multiLevelType w:val="hybridMultilevel"/>
    <w:lvl w:ilvl="0">
      <w:lvlJc w:val="left"/>
      <w:lvlText w:val="·"/>
      <w:numFmt w:val="bullet"/>
      <w:start w:val="1"/>
    </w:lvl>
  </w:abstractNum>
  <w:abstractNum w:abstractNumId="29">
    <w:nsid w:val="749ABB43"/>
    <w:multiLevelType w:val="hybridMultilevel"/>
    <w:lvl w:ilvl="0">
      <w:lvlJc w:val="left"/>
      <w:lvlText w:val="1"/>
      <w:numFmt w:val="bullet"/>
      <w:start w:val="1"/>
    </w:lvl>
  </w:abstractNum>
  <w:abstractNum w:abstractNumId="30">
    <w:nsid w:val="3DC240FB"/>
    <w:multiLevelType w:val="hybridMultilevel"/>
    <w:lvl w:ilvl="0">
      <w:lvlJc w:val="left"/>
      <w:lvlText w:val="2"/>
      <w:numFmt w:val="bullet"/>
      <w:start w:val="1"/>
    </w:lvl>
  </w:abstractNum>
  <w:abstractNum w:abstractNumId="31">
    <w:nsid w:val="1BA026FA"/>
    <w:multiLevelType w:val="hybridMultilevel"/>
    <w:lvl w:ilvl="0">
      <w:lvlJc w:val="left"/>
      <w:lvlText w:val="·"/>
      <w:numFmt w:val="bullet"/>
      <w:start w:val="1"/>
    </w:lvl>
  </w:abstractNum>
  <w:abstractNum w:abstractNumId="32">
    <w:nsid w:val="79A1DEAA"/>
    <w:multiLevelType w:val="hybridMultilevel"/>
    <w:lvl w:ilvl="0">
      <w:lvlJc w:val="left"/>
      <w:lvlText w:val="1"/>
      <w:numFmt w:val="bullet"/>
      <w:start w:val="1"/>
    </w:lvl>
  </w:abstractNum>
  <w:abstractNum w:abstractNumId="33">
    <w:nsid w:val="75C6C33A"/>
    <w:multiLevelType w:val="hybridMultilevel"/>
    <w:lvl w:ilvl="0">
      <w:lvlJc w:val="left"/>
      <w:lvlText w:val="2"/>
      <w:numFmt w:val="bullet"/>
      <w:start w:val="1"/>
    </w:lvl>
  </w:abstractNum>
  <w:abstractNum w:abstractNumId="34">
    <w:nsid w:val="12E685FB"/>
    <w:multiLevelType w:val="hybridMultilevel"/>
    <w:lvl w:ilvl="0">
      <w:lvlJc w:val="left"/>
      <w:lvlText w:val="·"/>
      <w:numFmt w:val="bullet"/>
      <w:start w:val="1"/>
    </w:lvl>
  </w:abstractNum>
  <w:abstractNum w:abstractNumId="35">
    <w:nsid w:val="70C6A529"/>
    <w:multiLevelType w:val="hybridMultilevel"/>
    <w:lvl w:ilvl="0">
      <w:lvlJc w:val="left"/>
      <w:lvlText w:val="·"/>
      <w:numFmt w:val="bullet"/>
      <w:start w:val="1"/>
    </w:lvl>
  </w:abstractNum>
  <w:abstractNum w:abstractNumId="36">
    <w:nsid w:val="520EEDD1"/>
    <w:multiLevelType w:val="hybridMultilevel"/>
    <w:lvl w:ilvl="0">
      <w:lvlJc w:val="left"/>
      <w:lvlText w:val="·"/>
      <w:numFmt w:val="bullet"/>
      <w:start w:val="1"/>
    </w:lvl>
  </w:abstractNum>
  <w:abstractNum w:abstractNumId="37">
    <w:nsid w:val="374A3FE6"/>
    <w:multiLevelType w:val="hybridMultilevel"/>
    <w:lvl w:ilvl="0">
      <w:lvlJc w:val="left"/>
      <w:lvlText w:val="·"/>
      <w:numFmt w:val="bullet"/>
      <w:start w:val="1"/>
    </w:lvl>
  </w:abstractNum>
  <w:abstractNum w:abstractNumId="38">
    <w:nsid w:val="4F4EF005"/>
    <w:multiLevelType w:val="hybridMultilevel"/>
    <w:lvl w:ilvl="0">
      <w:lvlJc w:val="left"/>
      <w:lvlText w:val="·"/>
      <w:numFmt w:val="bullet"/>
      <w:start w:val="1"/>
    </w:lvl>
  </w:abstractNum>
  <w:abstractNum w:abstractNumId="39">
    <w:nsid w:val="23F9C13C"/>
    <w:multiLevelType w:val="hybridMultilevel"/>
    <w:lvl w:ilvl="0">
      <w:lvlJc w:val="left"/>
      <w:lvlText w:val="·"/>
      <w:numFmt w:val="bullet"/>
      <w:start w:val="1"/>
    </w:lvl>
  </w:abstractNum>
  <w:abstractNum w:abstractNumId="40">
    <w:nsid w:val="649BB77C"/>
    <w:multiLevelType w:val="hybridMultilevel"/>
    <w:lvl w:ilvl="0">
      <w:lvlJc w:val="left"/>
      <w:lvlText w:val="·"/>
      <w:numFmt w:val="bullet"/>
      <w:start w:val="1"/>
    </w:lvl>
  </w:abstractNum>
  <w:abstractNum w:abstractNumId="41">
    <w:nsid w:val="275AC794"/>
    <w:multiLevelType w:val="hybridMultilevel"/>
    <w:lvl w:ilvl="0">
      <w:lvlJc w:val="left"/>
      <w:lvlText w:val="·"/>
      <w:numFmt w:val="bullet"/>
      <w:start w:val="1"/>
    </w:lvl>
  </w:abstractNum>
  <w:abstractNum w:abstractNumId="42">
    <w:nsid w:val="39386575"/>
    <w:multiLevelType w:val="hybridMultilevel"/>
    <w:lvl w:ilvl="0">
      <w:lvlJc w:val="left"/>
      <w:lvlText w:val="·"/>
      <w:numFmt w:val="bullet"/>
      <w:start w:val="1"/>
    </w:lvl>
  </w:abstractNum>
  <w:abstractNum w:abstractNumId="43">
    <w:nsid w:val="1CF10FD8"/>
    <w:multiLevelType w:val="hybridMultilevel"/>
    <w:lvl w:ilvl="0">
      <w:lvlJc w:val="left"/>
      <w:lvlText w:val="1"/>
      <w:numFmt w:val="bullet"/>
      <w:start w:val="1"/>
    </w:lvl>
  </w:abstractNum>
  <w:abstractNum w:abstractNumId="44">
    <w:nsid w:val="180115BE"/>
    <w:multiLevelType w:val="hybridMultilevel"/>
    <w:lvl w:ilvl="0">
      <w:lvlJc w:val="left"/>
      <w:lvlText w:val="2"/>
      <w:numFmt w:val="bullet"/>
      <w:start w:val="1"/>
    </w:lvl>
  </w:abstractNum>
  <w:abstractNum w:abstractNumId="45">
    <w:nsid w:val="235BA861"/>
    <w:multiLevelType w:val="hybridMultilevel"/>
    <w:lvl w:ilvl="0">
      <w:lvlJc w:val="left"/>
      <w:lvlText w:val="3"/>
      <w:numFmt w:val="bullet"/>
      <w:start w:val="1"/>
    </w:lvl>
  </w:abstractNum>
  <w:abstractNum w:abstractNumId="46">
    <w:nsid w:val="47398C89"/>
    <w:multiLevelType w:val="hybridMultilevel"/>
    <w:lvl w:ilvl="0">
      <w:lvlJc w:val="left"/>
      <w:lvlText w:val="▪"/>
      <w:numFmt w:val="bullet"/>
      <w:start w:val="1"/>
    </w:lvl>
  </w:abstractNum>
  <w:abstractNum w:abstractNumId="47">
    <w:nsid w:val="354FE9F9"/>
    <w:multiLevelType w:val="hybridMultilevel"/>
    <w:lvl w:ilvl="0">
      <w:lvlJc w:val="left"/>
      <w:lvlText w:val="1"/>
      <w:numFmt w:val="bullet"/>
      <w:start w:val="1"/>
    </w:lvl>
  </w:abstractNum>
  <w:abstractNum w:abstractNumId="48">
    <w:nsid w:val="15B5AF5C"/>
    <w:multiLevelType w:val="hybridMultilevel"/>
    <w:lvl w:ilvl="0">
      <w:lvlJc w:val="left"/>
      <w:lvlText w:val="▪"/>
      <w:numFmt w:val="bullet"/>
      <w:start w:val="1"/>
    </w:lvl>
  </w:abstractNum>
  <w:abstractNum w:abstractNumId="49">
    <w:nsid w:val="741226BB"/>
    <w:multiLevelType w:val="hybridMultilevel"/>
    <w:lvl w:ilvl="0">
      <w:lvlJc w:val="left"/>
      <w:lvlText w:val="▪"/>
      <w:numFmt w:val="bullet"/>
      <w:start w:val="1"/>
    </w:lvl>
  </w:abstractNum>
  <w:abstractNum w:abstractNumId="50">
    <w:nsid w:val="D34B6A8"/>
    <w:multiLevelType w:val="hybridMultilevel"/>
    <w:lvl w:ilvl="0">
      <w:lvlJc w:val="left"/>
      <w:lvlText w:val="▪"/>
      <w:numFmt w:val="bullet"/>
      <w:start w:val="1"/>
    </w:lvl>
  </w:abstractNum>
  <w:abstractNum w:abstractNumId="51">
    <w:nsid w:val="10233C99"/>
    <w:multiLevelType w:val="hybridMultilevel"/>
    <w:lvl w:ilvl="0">
      <w:lvlJc w:val="left"/>
      <w:lvlText w:val="▪"/>
      <w:numFmt w:val="bullet"/>
      <w:start w:val="1"/>
    </w:lvl>
  </w:abstractNum>
  <w:abstractNum w:abstractNumId="52">
    <w:nsid w:val="3F6AB60F"/>
    <w:multiLevelType w:val="hybridMultilevel"/>
    <w:lvl w:ilvl="0">
      <w:lvlJc w:val="left"/>
      <w:lvlText w:val="▪"/>
      <w:numFmt w:val="bullet"/>
      <w:start w:val="1"/>
    </w:lvl>
  </w:abstractNum>
  <w:abstractNum w:abstractNumId="53">
    <w:nsid w:val="61574095"/>
    <w:multiLevelType w:val="hybridMultilevel"/>
    <w:lvl w:ilvl="0">
      <w:lvlJc w:val="left"/>
      <w:lvlText w:val="o"/>
      <w:numFmt w:val="bullet"/>
      <w:start w:val="1"/>
    </w:lvl>
  </w:abstractNum>
  <w:abstractNum w:abstractNumId="54">
    <w:nsid w:val="7E0C57B1"/>
    <w:multiLevelType w:val="hybridMultilevel"/>
    <w:lvl w:ilvl="0">
      <w:lvlJc w:val="left"/>
      <w:lvlText w:val="o"/>
      <w:numFmt w:val="bullet"/>
      <w:start w:val="1"/>
    </w:lvl>
  </w:abstractNum>
  <w:abstractNum w:abstractNumId="55">
    <w:nsid w:val="77AE35EB"/>
    <w:multiLevelType w:val="hybridMultilevel"/>
    <w:lvl w:ilvl="0">
      <w:lvlJc w:val="left"/>
      <w:lvlText w:val="▪"/>
      <w:numFmt w:val="bullet"/>
      <w:start w:val="1"/>
    </w:lvl>
    <w:lvl w:ilvl="1">
      <w:lvlJc w:val="left"/>
      <w:lvlText w:val="%2"/>
      <w:numFmt w:val="upperLetter"/>
      <w:start w:val="1"/>
    </w:lvl>
    <w:lvl w:ilvl="2">
      <w:lvlJc w:val="left"/>
      <w:lvlText w:val="o"/>
      <w:numFmt w:val="bullet"/>
      <w:start w:val="1"/>
    </w:lvl>
  </w:abstractNum>
  <w:abstractNum w:abstractNumId="56">
    <w:nsid w:val="579BE4F1"/>
    <w:multiLevelType w:val="hybridMultilevel"/>
    <w:lvl w:ilvl="0">
      <w:lvlJc w:val="left"/>
      <w:lvlText w:val="1"/>
      <w:numFmt w:val="bullet"/>
      <w:start w:val="1"/>
    </w:lvl>
  </w:abstractNum>
  <w:abstractNum w:abstractNumId="57">
    <w:nsid w:val="310C50B3"/>
    <w:multiLevelType w:val="hybridMultilevel"/>
    <w:lvl w:ilvl="0">
      <w:lvlJc w:val="left"/>
      <w:lvlText w:val="2"/>
      <w:numFmt w:val="bullet"/>
      <w:start w:val="1"/>
    </w:lvl>
  </w:abstractNum>
  <w:abstractNum w:abstractNumId="58">
    <w:nsid w:val="5FF87E05"/>
    <w:multiLevelType w:val="hybridMultilevel"/>
    <w:lvl w:ilvl="0">
      <w:lvlJc w:val="left"/>
      <w:lvlText w:val="3"/>
      <w:numFmt w:val="bullet"/>
      <w:start w:val="1"/>
    </w:lvl>
  </w:abstractNum>
  <w:abstractNum w:abstractNumId="59">
    <w:nsid w:val="2F305DEF"/>
    <w:multiLevelType w:val="hybridMultilevel"/>
    <w:lvl w:ilvl="0">
      <w:lvlJc w:val="left"/>
      <w:lvlText w:val="4"/>
      <w:numFmt w:val="bullet"/>
      <w:start w:val="1"/>
    </w:lvl>
  </w:abstractNum>
  <w:abstractNum w:abstractNumId="60">
    <w:nsid w:val="25A70BF7"/>
    <w:multiLevelType w:val="hybridMultilevel"/>
    <w:lvl w:ilvl="0">
      <w:lvlJc w:val="left"/>
      <w:lvlText w:val="(%1)"/>
      <w:numFmt w:val="lowerLetter"/>
      <w:start w:val="1"/>
    </w:lvl>
    <w:lvl w:ilvl="1">
      <w:lvlJc w:val="left"/>
      <w:lvlText w:val="(%2)"/>
      <w:numFmt w:val="lowerRoman"/>
      <w:start w:val="1"/>
    </w:lvl>
    <w:lvl w:ilvl="2">
      <w:lvlJc w:val="left"/>
      <w:lvlText w:val="(%3)"/>
      <w:numFmt w:val="decimal"/>
      <w:start w:val="1"/>
    </w:lvl>
  </w:abstractNum>
  <w:abstractNum w:abstractNumId="61">
    <w:nsid w:val="1DBABF00"/>
    <w:multiLevelType w:val="hybridMultilevel"/>
    <w:lvl w:ilvl="0">
      <w:lvlJc w:val="left"/>
      <w:lvlText w:val="(%1)"/>
      <w:numFmt w:val="lowerLetter"/>
      <w:start w:val="1"/>
    </w:lvl>
    <w:lvl w:ilvl="1">
      <w:lvlJc w:val="left"/>
      <w:lvlText w:val="(%2)"/>
      <w:numFmt w:val="lowerRoman"/>
      <w:start w:val="1"/>
    </w:lvl>
    <w:lvl w:ilvl="2">
      <w:lvlJc w:val="left"/>
      <w:lvlText w:val="(%3)"/>
      <w:numFmt w:val="decimal"/>
      <w:start w:val="1"/>
    </w:lvl>
  </w:abstractNum>
  <w:abstractNum w:abstractNumId="62">
    <w:nsid w:val="4AD084E9"/>
    <w:multiLevelType w:val="hybridMultilevel"/>
    <w:lvl w:ilvl="0">
      <w:lvlJc w:val="left"/>
      <w:lvlText w:val="(%1)"/>
      <w:numFmt w:val="lowerRoman"/>
      <w:start w:val="3"/>
    </w:lvl>
  </w:abstractNum>
  <w:abstractNum w:abstractNumId="63">
    <w:nsid w:val="1F48EAA1"/>
    <w:multiLevelType w:val="hybridMultilevel"/>
    <w:lvl w:ilvl="0">
      <w:lvlJc w:val="left"/>
      <w:lvlText w:val="(%1)"/>
      <w:numFmt w:val="lowerRoman"/>
      <w:start w:val="3"/>
    </w:lvl>
  </w:abstractNum>
  <w:abstractNum w:abstractNumId="64">
    <w:nsid w:val="1381823A"/>
    <w:multiLevelType w:val="hybridMultilevel"/>
    <w:lvl w:ilvl="0">
      <w:lvlJc w:val="left"/>
      <w:lvlText w:val="(%1)"/>
      <w:numFmt w:val="lowerRoman"/>
      <w:start w:val="5"/>
    </w:lvl>
  </w:abstractNum>
  <w:abstractNum w:abstractNumId="65">
    <w:nsid w:val="5DB70AE5"/>
    <w:multiLevelType w:val="hybridMultilevel"/>
    <w:lvl w:ilvl="0">
      <w:lvlJc w:val="left"/>
      <w:lvlText w:val="%1)"/>
      <w:numFmt w:val="lowerLetter"/>
      <w:start w:val="6"/>
    </w:lvl>
  </w:abstractNum>
  <w:abstractNum w:abstractNumId="66">
    <w:nsid w:val="100F8FCA"/>
    <w:multiLevelType w:val="hybridMultilevel"/>
    <w:lvl w:ilvl="0">
      <w:lvlJc w:val="left"/>
      <w:lvlText w:val="%1)"/>
      <w:numFmt w:val="lowerLetter"/>
      <w:start w:val="1"/>
    </w:lvl>
  </w:abstractNum>
  <w:abstractNum w:abstractNumId="67">
    <w:nsid w:val="6590700B"/>
    <w:multiLevelType w:val="hybridMultilevel"/>
    <w:lvl w:ilvl="0">
      <w:lvlJc w:val="left"/>
      <w:lvlText w:val="%1)"/>
      <w:numFmt w:val="lowerLetter"/>
      <w:start w:val="1"/>
    </w:lvl>
    <w:lvl w:ilvl="1">
      <w:lvlJc w:val="left"/>
      <w:lvlText w:val="à"/>
      <w:numFmt w:val="bullet"/>
      <w:start w:val="1"/>
    </w:lvl>
  </w:abstractNum>
  <w:abstractNum w:abstractNumId="68">
    <w:nsid w:val="15014ACB"/>
    <w:multiLevelType w:val="hybridMultilevel"/>
    <w:lvl w:ilvl="0">
      <w:lvlJc w:val="left"/>
      <w:lvlText w:val="%1)"/>
      <w:numFmt w:val="lowerLetter"/>
      <w:start w:val="1"/>
    </w:lvl>
  </w:abstractNum>
  <w:abstractNum w:abstractNumId="69">
    <w:nsid w:val="5F5E7FD0"/>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jpe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jpe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2021-11-08T06:29:44Z</dcterms:created>
  <dcterms:modified xsi:type="dcterms:W3CDTF">2021-11-08T06:29:44Z</dcterms:modified>
</cp:coreProperties>
</file>