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2380"/>
        <w:spacing w:after="0" w:line="207" w:lineRule="exact"/>
        <w:tabs>
          <w:tab w:leader="none" w:pos="3920" w:val="left"/>
          <w:tab w:leader="none" w:pos="5460" w:val="left"/>
          <w:tab w:leader="none" w:pos="70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420370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220" w:top="468" w:right="1239" w:bottom="1440" w:gutter="0" w:footer="0" w:header="0"/>
        </w:sectPr>
      </w:pPr>
    </w:p>
    <w:bookmarkStart w:id="1" w:name="page2"/>
    <w:bookmarkEnd w:id="1"/>
    <w:p>
      <w:pPr>
        <w:ind w:firstLine="324"/>
        <w:spacing w:after="0" w:line="266" w:lineRule="auto"/>
        <w:rPr>
          <w:sz w:val="20"/>
          <w:szCs w:val="20"/>
          <w:color w:val="auto"/>
        </w:rPr>
      </w:pPr>
      <w:r>
        <w:rPr>
          <w:rFonts w:ascii="Times New Roman" w:cs="Times New Roman" w:eastAsia="Times New Roman" w:hAnsi="Times New Roman"/>
          <w:sz w:val="18"/>
          <w:szCs w:val="18"/>
          <w:color w:val="auto"/>
        </w:rPr>
        <w:t>On April 7, 2026, AC Immune SA (“AC Immune”) issued a press release announcing an agreement with Eli Lilly and Company to amend their license and collaboration agreement dated as of December 11, 2018, as amended (the “License Agreement”), to research and develop Tau aggregation inhibitor small molecules for the potential treatment of Alzheimer’s disease and other neurodegenerative diseases (the “Amendment”).</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the Amendment, AC Immune will receive a CHF 10 million upfront payment and a subsequent milestone payment with Phase 1 dosing, in addition to milestones announced in a prior amendment to the License Agreement dated as of March 20, 2020. AC Immune is eligible for further development, regulatory and commercial milestones of over CHF 1.7 billion, plus tiered percentage royalty payments in the low double digits, as previously disclosed. A copy of the press release is attached as Exhibit 99.1 to this Report on Form 6-K.</w:t>
      </w:r>
    </w:p>
    <w:p>
      <w:pPr>
        <w:spacing w:after="0" w:line="18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descriptions of the Amendment in this Report on Form 6-K and in the accompanying Exhibit 99.1 are not complete and are qualified in their entirety by reference to the full text of such Amendment, a copy of which will be filed as an exhibit to a future filing by AC Immune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b w:val="1"/>
          <w:bCs w:val="1"/>
          <w:u w:val="single" w:color="auto"/>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13335</wp:posOffset>
            </wp:positionV>
            <wp:extent cx="6480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 w:lineRule="exact"/>
        <w:rPr>
          <w:sz w:val="20"/>
          <w:szCs w:val="20"/>
          <w:color w:val="auto"/>
        </w:rPr>
      </w:pPr>
    </w:p>
    <w:p>
      <w:pPr>
        <w:ind w:left="16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391795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177419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340" w:right="100"/>
        <w:spacing w:after="0" w:line="214" w:lineRule="auto"/>
        <w:rPr>
          <w:sz w:val="20"/>
          <w:szCs w:val="20"/>
          <w:color w:val="auto"/>
        </w:rPr>
      </w:pPr>
      <w:r>
        <w:rPr>
          <w:rFonts w:ascii="Times New Roman" w:cs="Times New Roman" w:eastAsia="Times New Roman" w:hAnsi="Times New Roman"/>
          <w:sz w:val="25"/>
          <w:szCs w:val="25"/>
          <w:b w:val="1"/>
          <w:bCs w:val="1"/>
          <w:color w:val="auto"/>
        </w:rPr>
        <w:t xml:space="preserve">AC Immune Announces Amendment to Morphomer </w:t>
      </w:r>
      <w:r>
        <w:rPr>
          <w:rFonts w:ascii="Times New Roman" w:cs="Times New Roman" w:eastAsia="Times New Roman" w:hAnsi="Times New Roman"/>
          <w:sz w:val="41"/>
          <w:szCs w:val="41"/>
          <w:color w:val="auto"/>
          <w:vertAlign w:val="superscript"/>
        </w:rPr>
        <w:t>®</w:t>
      </w:r>
      <w:r>
        <w:rPr>
          <w:rFonts w:ascii="Times New Roman" w:cs="Times New Roman" w:eastAsia="Times New Roman" w:hAnsi="Times New Roman"/>
          <w:sz w:val="25"/>
          <w:szCs w:val="25"/>
          <w:b w:val="1"/>
          <w:bCs w:val="1"/>
          <w:color w:val="auto"/>
        </w:rPr>
        <w:t xml:space="preserve"> Tau License and Collaboration Agreement with Lilly</w:t>
      </w:r>
    </w:p>
    <w:p>
      <w:pPr>
        <w:spacing w:after="0" w:line="272" w:lineRule="exact"/>
        <w:rPr>
          <w:sz w:val="20"/>
          <w:szCs w:val="20"/>
          <w:color w:val="auto"/>
        </w:rPr>
      </w:pPr>
    </w:p>
    <w:p>
      <w:pPr>
        <w:ind w:left="620" w:right="320" w:hanging="302"/>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agreement reflects growing excitement in the field for targeting intracellular Tau and significant progress made with our Morphomer small molecules</w:t>
      </w:r>
    </w:p>
    <w:p>
      <w:pPr>
        <w:spacing w:after="0" w:line="161"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(IND)-enabling studies to commence in H1 2026</w:t>
      </w:r>
    </w:p>
    <w:p>
      <w:pPr>
        <w:spacing w:after="0" w:line="221"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Lausanne, Switzerland, April 7, 2026 -- </w:t>
      </w:r>
      <w:r>
        <w:rPr>
          <w:rFonts w:ascii="Times New Roman" w:cs="Times New Roman" w:eastAsia="Times New Roman" w:hAnsi="Times New Roman"/>
          <w:sz w:val="17"/>
          <w:szCs w:val="17"/>
          <w:color w:val="auto"/>
        </w:rPr>
        <w:t>AC Immune SA (NASDAQ: ACIU), a clinical-stage biopharmaceutical company pioneering precision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therapeutics for neurodegenerative diseases, today announced an agreement with Eli Lilly and Company (Lilly) to amend their 2018 license and collaboration agreement to research and develop Tau aggregation inhibitor small molecules for the potential treatment of Alzheimer’s disease (AD) and</w:t>
      </w:r>
    </w:p>
    <w:p>
      <w:pPr>
        <w:spacing w:after="0" w:line="1"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18"/>
          <w:szCs w:val="18"/>
          <w:color w:val="auto"/>
        </w:rPr>
        <w:t>other neurodegenerative diseases. The amendment continues the research and collaboration to cover development of new lead Tau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candidates and potential back-up compounds.</w:t>
      </w:r>
    </w:p>
    <w:p>
      <w:pPr>
        <w:spacing w:after="0" w:line="1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commented: </w:t>
      </w:r>
      <w:r>
        <w:rPr>
          <w:rFonts w:ascii="Times New Roman" w:cs="Times New Roman" w:eastAsia="Times New Roman" w:hAnsi="Times New Roman"/>
          <w:sz w:val="18"/>
          <w:szCs w:val="18"/>
          <w:color w:val="auto"/>
        </w:rPr>
        <w:t>“The progress in this collaboration highlights the important breakthroughs we have made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Morphomer small molecules for intracellular targeting of Tau. We look forward to working with the team at Lilly to drive forward the development of these potentially disruptive small molecule therapeutics for early-stage treatment and long-term prevention of neurodegenerative diseases. Increasingly, the scientific evidence suggests that targeting intracellular Tau can slow or even completely halt the pathology. This collaboration exemplifies our work towards precision prevention of neurodegenerative diseases. We expect to initiate Investigational New Drug (IND)-enabling studies imminently.”</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Morphomer Tau candidates were selected for their ability to enter the brain when dosed orally, and for their specific binding to the targeted pathological conformation of the Tau protein. AC Immune has generated strong preclinical data suggesting that Tau Morphomers should be clinically relevant for inhibiting aggregation and seeding across pathological and disease stages.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this amendment, AC Immune will receive a CHF10 million upfront payment and a subsequent milestone payment with Phase 1 dosing, in addition to milestones announced in a prior amendment. AC Immune is eligible for further development, regulatory and commercial milestones of over CHF1.7 billion, plus tiered percentage royalty payments in the low double digits, as previously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2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w:t>
      </w:r>
    </w:p>
    <w:p>
      <w:pPr>
        <w:spacing w:after="0" w:line="1"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8"/>
          <w:szCs w:val="18"/>
          <w:color w:val="auto"/>
        </w:rPr>
        <w:t>platforms, SupraAntigen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966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PRESS RELEASE</w:t>
      </w:r>
    </w:p>
    <w:p>
      <w:pPr>
        <w:sectPr>
          <w:pgSz w:w="11900" w:h="16838" w:orient="portrait"/>
          <w:cols w:equalWidth="0" w:num="1">
            <w:col w:w="11240"/>
          </w:cols>
          <w:pgMar w:left="320" w:top="6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20"/>
        <w:spacing w:after="0" w:line="216" w:lineRule="auto"/>
        <w:rPr>
          <w:sz w:val="20"/>
          <w:szCs w:val="20"/>
          <w:color w:val="auto"/>
        </w:rPr>
      </w:pPr>
      <w:r>
        <w:rPr>
          <w:rFonts w:ascii="Times New Roman" w:cs="Times New Roman" w:eastAsia="Times New Roman" w:hAnsi="Times New Roman"/>
          <w:sz w:val="18"/>
          <w:szCs w:val="18"/>
          <w:color w:val="auto"/>
        </w:rPr>
        <w:t>SupraAntigen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AC Immune SA in the following territories: AU, EU, CH, GB, JP, RU, SG and USA.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AC Immune SA in CA, CN, CH, EU, GB, JP, KR, NO, RU and SG.</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 Immune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gary.waanders@acimmune.com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Maggos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Cohesion Bureau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+41 79 367 6254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chris.maggos@cohesionbureau.com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2026-04-07T06:36:05Z</dcterms:created>
  <dcterms:modified xsi:type="dcterms:W3CDTF">2026-04-07T06:36:05Z</dcterms:modified>
</cp:coreProperties>
</file>