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5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Buetler Monika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56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LAUSANNE V8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56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20"/>
                <w:szCs w:val="20"/>
                <w:color w:val="0000FF"/>
                <w:w w:val="91"/>
              </w:rPr>
              <w:t>53,905</w:t>
            </w:r>
            <w:r>
              <w:rPr>
                <w:rFonts w:ascii="Times New Roman" w:cs="Times New Roman" w:eastAsia="Times New Roman" w:hAnsi="Times New Roman"/>
                <w:sz w:val="25"/>
                <w:szCs w:val="25"/>
                <w:color w:val="008000"/>
                <w:w w:val="91"/>
                <w:vertAlign w:val="superscript"/>
              </w:rPr>
              <w:t>(1)</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12/09/2031</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14,310</w:t>
            </w:r>
          </w:p>
        </w:tc>
        <w:tc>
          <w:tcPr>
            <w:tcW w:w="4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0000FF"/>
              </w:rPr>
              <w:t>5.31</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06/23/2032</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56,204</w:t>
            </w:r>
          </w:p>
        </w:tc>
        <w:tc>
          <w:tcPr>
            <w:tcW w:w="4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0000FF"/>
              </w:rPr>
              <w:t>3.15</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06/23/2033</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39,823</w:t>
            </w:r>
          </w:p>
        </w:tc>
        <w:tc>
          <w:tcPr>
            <w:tcW w:w="4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0000FF"/>
              </w:rPr>
              <w:t>2.15</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06/30/2034</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15,501</w:t>
            </w:r>
          </w:p>
        </w:tc>
        <w:tc>
          <w:tcPr>
            <w:tcW w:w="4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0000FF"/>
              </w:rPr>
              <w:t>4.23</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06/17/2035</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46,392</w:t>
            </w:r>
          </w:p>
        </w:tc>
        <w:tc>
          <w:tcPr>
            <w:tcW w:w="40" w:type="dxa"/>
            <w:vAlign w:val="bottom"/>
          </w:tcPr>
          <w:p>
            <w:pPr>
              <w:spacing w:after="0"/>
              <w:rPr>
                <w:sz w:val="24"/>
                <w:szCs w:val="24"/>
                <w:color w:val="auto"/>
              </w:rPr>
            </w:pPr>
          </w:p>
        </w:tc>
        <w:tc>
          <w:tcPr>
            <w:tcW w:w="9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0000FF"/>
              </w:rPr>
              <w:t>1.84</w:t>
            </w: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1. Includes 52,905 common shares underlying outstanding restricted share units.</w:t>
            </w: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2. The share option is fully vested.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8000"/>
              </w:rPr>
              <w:t>3. The share option will fully vest on June 17, 2026.</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5"/>
              </w:rPr>
              <w:t>/s/ Matthias Maurer,</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Monika Buetler</w:t>
            </w:r>
          </w:p>
        </w:tc>
        <w:tc>
          <w:tcPr>
            <w:tcW w:w="4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65" w:gutter="0" w:footer="0" w:header="0"/>
          <w:type w:val="continuous"/>
        </w:sectPr>
      </w:pPr>
    </w:p>
    <w:bookmarkStart w:id="1" w:name="page2"/>
    <w:bookmarkEnd w:id="1"/>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Monika Buetler</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Monika Buetler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-132715</wp:posOffset>
            </wp:positionV>
            <wp:extent cx="6423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5138"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2026-03-18T11:36:26Z</dcterms:created>
  <dcterms:modified xsi:type="dcterms:W3CDTF">2026-03-18T11:36:26Z</dcterms:modified>
</cp:coreProperties>
</file>