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(Rule 13d-102)</w:t>
      </w:r>
    </w:p>
    <w:p>
      <w:pPr>
        <w:spacing w:after="0" w:line="207" w:lineRule="exact"/>
        <w:rPr>
          <w:sz w:val="24"/>
          <w:szCs w:val="24"/>
          <w:color w:val="auto"/>
        </w:rPr>
      </w:pPr>
    </w:p>
    <w:p>
      <w:pPr>
        <w:jc w:val="center"/>
        <w:ind w:left="400" w:right="270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13d-1(b), (c), AND (d) AND AMENDMENTS THERETO FILED PURSUANT TO RULE 13d-2(b)</w:t>
      </w:r>
    </w:p>
    <w:p>
      <w:pPr>
        <w:spacing w:after="0" w:line="18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(Amendment No. 2)</w:t>
      </w:r>
      <w:r>
        <w:rPr>
          <w:rFonts w:ascii="Times New Roman" w:cs="Times New Roman" w:eastAsia="Times New Roman" w:hAnsi="Times New Roman"/>
          <w:sz w:val="30"/>
          <w:szCs w:val="30"/>
          <w:color w:val="auto"/>
          <w:vertAlign w:val="superscript"/>
        </w:rPr>
        <w:t>1</w:t>
      </w:r>
    </w:p>
    <w:p>
      <w:pPr>
        <w:spacing w:after="0" w:line="200" w:lineRule="exact"/>
        <w:rPr>
          <w:sz w:val="24"/>
          <w:szCs w:val="24"/>
          <w:color w:val="auto"/>
        </w:rPr>
      </w:pPr>
    </w:p>
    <w:p>
      <w:pPr>
        <w:spacing w:after="0" w:line="383"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color w:val="auto"/>
        </w:rPr>
        <w:t>AC Immune SA</w:t>
      </w:r>
    </w:p>
    <w:p>
      <w:pPr>
        <w:spacing w:after="0" w:line="2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Common Shares, par value CHF 0.02</w:t>
      </w:r>
    </w:p>
    <w:p>
      <w:pPr>
        <w:spacing w:after="0" w:line="2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color w:val="auto"/>
        </w:rPr>
        <w:t>H00263105</w:t>
      </w:r>
    </w:p>
    <w:p>
      <w:pPr>
        <w:spacing w:after="0" w:line="27"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September 12, 2019</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980" w:hanging="346"/>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80" w:hanging="346"/>
        <w:spacing w:after="0"/>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80" w:hanging="346"/>
        <w:spacing w:after="0"/>
        <w:tabs>
          <w:tab w:leader="none" w:pos="9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737870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right="40" w:firstLine="8"/>
        <w:spacing w:after="0" w:line="244" w:lineRule="auto"/>
        <w:tabs>
          <w:tab w:leader="none" w:pos="815"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2"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Notes</w:t>
      </w:r>
      <w:r>
        <w:rPr>
          <w:rFonts w:ascii="Times New Roman" w:cs="Times New Roman" w:eastAsia="Times New Roman" w:hAnsi="Times New Roman"/>
          <w:sz w:val="18"/>
          <w:szCs w:val="18"/>
          <w:color w:val="auto"/>
        </w:rPr>
        <w:t>).</w:t>
      </w:r>
    </w:p>
    <w:p>
      <w:pPr>
        <w:spacing w:after="0" w:line="13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16"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Biotechnology Value Fund, L.P.</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7840" w:type="dxa"/>
            <w:vAlign w:val="bottom"/>
            <w:gridSpan w:val="2"/>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5,580,788</w:t>
            </w:r>
          </w:p>
        </w:tc>
        <w:tc>
          <w:tcPr>
            <w:tcW w:w="180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5,580,788</w:t>
            </w: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5,580,788</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8.3%</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2</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Biotechnology Value Fund II, L.P.</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7840" w:type="dxa"/>
            <w:vAlign w:val="bottom"/>
            <w:gridSpan w:val="2"/>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4,537,717</w:t>
            </w:r>
          </w:p>
        </w:tc>
        <w:tc>
          <w:tcPr>
            <w:tcW w:w="180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4,537,717</w:t>
            </w: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4,537,717</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6.7%</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3</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8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Biotechnology Value Trading Fund OS LP</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7840" w:type="dxa"/>
            <w:vAlign w:val="bottom"/>
            <w:gridSpan w:val="3"/>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8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08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Cayman Islands</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60" w:type="dxa"/>
            <w:vAlign w:val="bottom"/>
          </w:tcPr>
          <w:p>
            <w:pPr>
              <w:spacing w:after="0"/>
              <w:rPr>
                <w:sz w:val="16"/>
                <w:szCs w:val="16"/>
                <w:color w:val="auto"/>
              </w:rPr>
            </w:pPr>
          </w:p>
        </w:tc>
        <w:tc>
          <w:tcPr>
            <w:tcW w:w="60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6</w:t>
            </w:r>
          </w:p>
        </w:tc>
        <w:tc>
          <w:tcPr>
            <w:tcW w:w="60" w:type="dxa"/>
            <w:vAlign w:val="bottom"/>
          </w:tcPr>
          <w:p>
            <w:pPr>
              <w:spacing w:after="0"/>
              <w:rPr>
                <w:sz w:val="16"/>
                <w:szCs w:val="16"/>
                <w:color w:val="auto"/>
              </w:rPr>
            </w:pPr>
          </w:p>
        </w:tc>
        <w:tc>
          <w:tcPr>
            <w:tcW w:w="60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812,271</w:t>
            </w:r>
          </w:p>
        </w:tc>
        <w:tc>
          <w:tcPr>
            <w:tcW w:w="180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9"/>
                <w:szCs w:val="19"/>
                <w:color w:val="auto"/>
              </w:rPr>
            </w:pPr>
          </w:p>
        </w:tc>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9"/>
                <w:szCs w:val="19"/>
                <w:color w:val="auto"/>
              </w:rPr>
            </w:pPr>
          </w:p>
        </w:tc>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812,271</w:t>
            </w: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812,271</w:t>
            </w: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4</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8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BVF Partners OS Ltd.</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7840" w:type="dxa"/>
            <w:vAlign w:val="bottom"/>
            <w:gridSpan w:val="3"/>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8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08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Cayman Islands</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60" w:type="dxa"/>
            <w:vAlign w:val="bottom"/>
          </w:tcPr>
          <w:p>
            <w:pPr>
              <w:spacing w:after="0"/>
              <w:rPr>
                <w:sz w:val="16"/>
                <w:szCs w:val="16"/>
                <w:color w:val="auto"/>
              </w:rPr>
            </w:pPr>
          </w:p>
        </w:tc>
        <w:tc>
          <w:tcPr>
            <w:tcW w:w="60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6</w:t>
            </w:r>
          </w:p>
        </w:tc>
        <w:tc>
          <w:tcPr>
            <w:tcW w:w="60" w:type="dxa"/>
            <w:vAlign w:val="bottom"/>
          </w:tcPr>
          <w:p>
            <w:pPr>
              <w:spacing w:after="0"/>
              <w:rPr>
                <w:sz w:val="16"/>
                <w:szCs w:val="16"/>
                <w:color w:val="auto"/>
              </w:rPr>
            </w:pPr>
          </w:p>
        </w:tc>
        <w:tc>
          <w:tcPr>
            <w:tcW w:w="60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812,271</w:t>
            </w:r>
          </w:p>
        </w:tc>
        <w:tc>
          <w:tcPr>
            <w:tcW w:w="180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9"/>
                <w:szCs w:val="19"/>
                <w:color w:val="auto"/>
              </w:rPr>
            </w:pPr>
          </w:p>
        </w:tc>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9"/>
                <w:szCs w:val="19"/>
                <w:color w:val="auto"/>
              </w:rPr>
            </w:pPr>
          </w:p>
        </w:tc>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812,271</w:t>
            </w: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812,271</w:t>
            </w: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CO</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5</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BVF Partners L.P.</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7840" w:type="dxa"/>
            <w:vAlign w:val="bottom"/>
            <w:gridSpan w:val="2"/>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11,297,911</w:t>
            </w:r>
          </w:p>
        </w:tc>
        <w:tc>
          <w:tcPr>
            <w:tcW w:w="180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11,297,911</w:t>
            </w: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11,297,911</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16.7%</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PN, IA</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6</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BVF Inc.</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7840" w:type="dxa"/>
            <w:vAlign w:val="bottom"/>
            <w:gridSpan w:val="2"/>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11,297,911</w:t>
            </w:r>
          </w:p>
        </w:tc>
        <w:tc>
          <w:tcPr>
            <w:tcW w:w="180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11,297,911</w:t>
            </w: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11,297,911</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16.7%</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CO</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7</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Mark N. Lampert</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7840" w:type="dxa"/>
            <w:vAlign w:val="bottom"/>
            <w:gridSpan w:val="2"/>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United States</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11,297,911</w:t>
            </w:r>
          </w:p>
        </w:tc>
        <w:tc>
          <w:tcPr>
            <w:tcW w:w="180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11,297,911</w:t>
            </w: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11,297,911</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16.7%</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IN</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8</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1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8"/>
          <w:szCs w:val="18"/>
          <w:color w:val="auto"/>
        </w:rPr>
        <w:t>Name of Issuer: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 Immune SA, a Switzerland corporation (the “Issuer”).</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14"/>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EPFL Innovation Park, Building B</w:t>
            </w:r>
          </w:p>
        </w:tc>
      </w:tr>
      <w:tr>
        <w:trPr>
          <w:trHeight w:val="234"/>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1015 Lausanne, Switzerland</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Biotechnology Value Fund, L.P. (“BVF”)</w:t>
            </w:r>
          </w:p>
        </w:tc>
      </w:tr>
      <w:tr>
        <w:trPr>
          <w:trHeight w:val="253"/>
        </w:trPr>
        <w:tc>
          <w:tcPr>
            <w:tcW w:w="1020" w:type="dxa"/>
            <w:vAlign w:val="bottom"/>
          </w:tcPr>
          <w:p>
            <w:pPr>
              <w:spacing w:after="0"/>
              <w:rPr>
                <w:sz w:val="21"/>
                <w:szCs w:val="21"/>
                <w:color w:val="auto"/>
              </w:rPr>
            </w:pPr>
          </w:p>
        </w:tc>
        <w:tc>
          <w:tcPr>
            <w:tcW w:w="10400" w:type="dxa"/>
            <w:vAlign w:val="bottom"/>
          </w:tcPr>
          <w:p>
            <w:pPr>
              <w:ind w:left="280"/>
              <w:spacing w:after="0" w:line="253" w:lineRule="exact"/>
              <w:rPr>
                <w:sz w:val="20"/>
                <w:szCs w:val="20"/>
                <w:color w:val="auto"/>
              </w:rPr>
            </w:pPr>
            <w:r>
              <w:rPr>
                <w:rFonts w:ascii="Times New Roman" w:cs="Times New Roman" w:eastAsia="Times New Roman" w:hAnsi="Times New Roman"/>
                <w:sz w:val="18"/>
                <w:szCs w:val="18"/>
                <w:color w:val="auto"/>
              </w:rPr>
              <w:t>44 Montgomery St., 40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Biotechnology Value Fund II, L.P. (“BVF2”)</w:t>
            </w:r>
          </w:p>
        </w:tc>
      </w:tr>
      <w:tr>
        <w:trPr>
          <w:trHeight w:val="253"/>
        </w:trPr>
        <w:tc>
          <w:tcPr>
            <w:tcW w:w="1020" w:type="dxa"/>
            <w:vAlign w:val="bottom"/>
          </w:tcPr>
          <w:p>
            <w:pPr>
              <w:spacing w:after="0"/>
              <w:rPr>
                <w:sz w:val="21"/>
                <w:szCs w:val="21"/>
                <w:color w:val="auto"/>
              </w:rPr>
            </w:pPr>
          </w:p>
        </w:tc>
        <w:tc>
          <w:tcPr>
            <w:tcW w:w="10400" w:type="dxa"/>
            <w:vAlign w:val="bottom"/>
          </w:tcPr>
          <w:p>
            <w:pPr>
              <w:ind w:left="280"/>
              <w:spacing w:after="0" w:line="253" w:lineRule="exact"/>
              <w:rPr>
                <w:sz w:val="20"/>
                <w:szCs w:val="20"/>
                <w:color w:val="auto"/>
              </w:rPr>
            </w:pPr>
            <w:r>
              <w:rPr>
                <w:rFonts w:ascii="Times New Roman" w:cs="Times New Roman" w:eastAsia="Times New Roman" w:hAnsi="Times New Roman"/>
                <w:sz w:val="18"/>
                <w:szCs w:val="18"/>
                <w:color w:val="auto"/>
              </w:rPr>
              <w:t>44 Montgomery St., 40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Biotechnology Value Trading Fund OS LP (“Trading Fund OS”)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4"/>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Cayman Islands</w:t>
            </w:r>
          </w:p>
        </w:tc>
      </w:tr>
      <w:tr>
        <w:trPr>
          <w:trHeight w:val="414"/>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BVF Partners OS Ltd. (“Partners OS”)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4"/>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Cayman Islands</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BVF Partners L.P. (“Partners”)</w:t>
            </w:r>
          </w:p>
        </w:tc>
      </w:tr>
      <w:tr>
        <w:trPr>
          <w:trHeight w:val="253"/>
        </w:trPr>
        <w:tc>
          <w:tcPr>
            <w:tcW w:w="1020" w:type="dxa"/>
            <w:vAlign w:val="bottom"/>
          </w:tcPr>
          <w:p>
            <w:pPr>
              <w:spacing w:after="0"/>
              <w:rPr>
                <w:sz w:val="21"/>
                <w:szCs w:val="21"/>
                <w:color w:val="auto"/>
              </w:rPr>
            </w:pPr>
          </w:p>
        </w:tc>
        <w:tc>
          <w:tcPr>
            <w:tcW w:w="10400" w:type="dxa"/>
            <w:vAlign w:val="bottom"/>
          </w:tcPr>
          <w:p>
            <w:pPr>
              <w:ind w:left="280"/>
              <w:spacing w:after="0" w:line="253" w:lineRule="exact"/>
              <w:rPr>
                <w:sz w:val="20"/>
                <w:szCs w:val="20"/>
                <w:color w:val="auto"/>
              </w:rPr>
            </w:pPr>
            <w:r>
              <w:rPr>
                <w:rFonts w:ascii="Times New Roman" w:cs="Times New Roman" w:eastAsia="Times New Roman" w:hAnsi="Times New Roman"/>
                <w:sz w:val="18"/>
                <w:szCs w:val="18"/>
                <w:color w:val="auto"/>
              </w:rPr>
              <w:t>44 Montgomery St., 40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BVF Inc.</w:t>
            </w:r>
          </w:p>
        </w:tc>
      </w:tr>
      <w:tr>
        <w:trPr>
          <w:trHeight w:val="253"/>
        </w:trPr>
        <w:tc>
          <w:tcPr>
            <w:tcW w:w="1020" w:type="dxa"/>
            <w:vAlign w:val="bottom"/>
          </w:tcPr>
          <w:p>
            <w:pPr>
              <w:spacing w:after="0"/>
              <w:rPr>
                <w:sz w:val="21"/>
                <w:szCs w:val="21"/>
                <w:color w:val="auto"/>
              </w:rPr>
            </w:pPr>
          </w:p>
        </w:tc>
        <w:tc>
          <w:tcPr>
            <w:tcW w:w="10400" w:type="dxa"/>
            <w:vAlign w:val="bottom"/>
          </w:tcPr>
          <w:p>
            <w:pPr>
              <w:ind w:left="280"/>
              <w:spacing w:after="0" w:line="253" w:lineRule="exact"/>
              <w:rPr>
                <w:sz w:val="20"/>
                <w:szCs w:val="20"/>
                <w:color w:val="auto"/>
              </w:rPr>
            </w:pPr>
            <w:r>
              <w:rPr>
                <w:rFonts w:ascii="Times New Roman" w:cs="Times New Roman" w:eastAsia="Times New Roman" w:hAnsi="Times New Roman"/>
                <w:sz w:val="18"/>
                <w:szCs w:val="18"/>
                <w:color w:val="auto"/>
              </w:rPr>
              <w:t>44 Montgomery St., 40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 N. Lampert (“Mr. Lampert”)</w:t>
            </w:r>
          </w:p>
        </w:tc>
      </w:tr>
      <w:tr>
        <w:trPr>
          <w:trHeight w:val="253"/>
        </w:trPr>
        <w:tc>
          <w:tcPr>
            <w:tcW w:w="1020" w:type="dxa"/>
            <w:vAlign w:val="bottom"/>
          </w:tcPr>
          <w:p>
            <w:pPr>
              <w:spacing w:after="0"/>
              <w:rPr>
                <w:sz w:val="21"/>
                <w:szCs w:val="21"/>
                <w:color w:val="auto"/>
              </w:rPr>
            </w:pPr>
          </w:p>
        </w:tc>
        <w:tc>
          <w:tcPr>
            <w:tcW w:w="10400" w:type="dxa"/>
            <w:vAlign w:val="bottom"/>
          </w:tcPr>
          <w:p>
            <w:pPr>
              <w:ind w:left="280"/>
              <w:spacing w:after="0" w:line="253" w:lineRule="exact"/>
              <w:rPr>
                <w:sz w:val="20"/>
                <w:szCs w:val="20"/>
                <w:color w:val="auto"/>
              </w:rPr>
            </w:pPr>
            <w:r>
              <w:rPr>
                <w:rFonts w:ascii="Times New Roman" w:cs="Times New Roman" w:eastAsia="Times New Roman" w:hAnsi="Times New Roman"/>
                <w:sz w:val="18"/>
                <w:szCs w:val="18"/>
                <w:color w:val="auto"/>
              </w:rPr>
              <w:t>44 Montgomery St., 40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United States</w:t>
            </w:r>
          </w:p>
        </w:tc>
      </w:tr>
      <w:tr>
        <w:trPr>
          <w:trHeight w:val="432"/>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Each of the foregoing is referred to as a “Reporting Person” and collectively as the “Reporting Persons.”</w:t>
            </w:r>
          </w:p>
        </w:tc>
      </w:tr>
      <w:tr>
        <w:trPr>
          <w:trHeight w:val="324"/>
        </w:trPr>
        <w:tc>
          <w:tcPr>
            <w:tcW w:w="102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ind w:left="464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420"/>
          </w:cols>
          <w:pgMar w:left="240" w:top="220"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103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32"/>
        </w:trPr>
        <w:tc>
          <w:tcPr>
            <w:tcW w:w="1020" w:type="dxa"/>
            <w:vAlign w:val="bottom"/>
          </w:tcPr>
          <w:p>
            <w:pPr>
              <w:spacing w:after="0"/>
              <w:rPr>
                <w:sz w:val="24"/>
                <w:szCs w:val="24"/>
                <w:color w:val="auto"/>
              </w:rPr>
            </w:pPr>
          </w:p>
        </w:tc>
        <w:tc>
          <w:tcPr>
            <w:tcW w:w="103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Common Shares, par value CHF 0.02 per share (the “Shares”).</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CUSIP Number:</w:t>
            </w:r>
          </w:p>
        </w:tc>
        <w:tc>
          <w:tcPr>
            <w:tcW w:w="85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H00263105</w:t>
            </w:r>
          </w:p>
        </w:tc>
        <w:tc>
          <w:tcPr>
            <w:tcW w:w="600" w:type="dxa"/>
            <w:vAlign w:val="bottom"/>
          </w:tcPr>
          <w:p>
            <w:pPr>
              <w:spacing w:after="0"/>
              <w:rPr>
                <w:sz w:val="24"/>
                <w:szCs w:val="24"/>
                <w:color w:val="auto"/>
              </w:rPr>
            </w:pPr>
          </w:p>
        </w:tc>
        <w:tc>
          <w:tcPr>
            <w:tcW w:w="856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3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If This Statement is Filed Pursuant to Rule 13d-1(b), or 13d-2(b) or (c), Check Whether the Person Filing is a:</w:t>
            </w:r>
          </w:p>
        </w:tc>
      </w:tr>
      <w:tr>
        <w:trPr>
          <w:trHeight w:val="432"/>
        </w:trPr>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Broker or dealer registered under Section 15 of the Exchange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 as defined in Section 3(a)(6) of the Exchange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 company as defined in Section 3(a)(19) of the Exchange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 investment adviser in accordance with Rule 13d-1(b)(1)(ii)(E).</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Rule 13d-1(b)(1)(ii)(F).</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Rule 13d-1(b)(1)(ii)(G).</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w:t>
            </w:r>
          </w:p>
        </w:tc>
      </w:tr>
      <w:tr>
        <w:trPr>
          <w:trHeight w:val="414"/>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w:t>
            </w:r>
          </w:p>
        </w:tc>
      </w:tr>
      <w:tr>
        <w:trPr>
          <w:trHeight w:val="234"/>
        </w:trPr>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Company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Group, in accordance with Rule 13d-1(b)(1)(ii)(J).</w:t>
            </w:r>
          </w:p>
        </w:tc>
      </w:tr>
      <w:tr>
        <w:trPr>
          <w:trHeight w:val="414"/>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Group, in accordance with Rule 240.13d-1(b)(1)(ii)(K). If filing as a non-U.S. institution in accordance with Rule</w:t>
            </w:r>
          </w:p>
        </w:tc>
      </w:tr>
      <w:tr>
        <w:trPr>
          <w:trHeight w:val="234"/>
        </w:trPr>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240.13d-1(b)(1)(ii)(J), please specify the type of institution: ____</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Ownership</w:t>
            </w:r>
          </w:p>
        </w:tc>
        <w:tc>
          <w:tcPr>
            <w:tcW w:w="600" w:type="dxa"/>
            <w:vAlign w:val="bottom"/>
          </w:tcPr>
          <w:p>
            <w:pPr>
              <w:spacing w:after="0"/>
              <w:rPr>
                <w:sz w:val="24"/>
                <w:szCs w:val="24"/>
                <w:color w:val="auto"/>
              </w:rPr>
            </w:pPr>
          </w:p>
        </w:tc>
        <w:tc>
          <w:tcPr>
            <w:tcW w:w="8560" w:type="dxa"/>
            <w:vAlign w:val="bottom"/>
          </w:tcPr>
          <w:p>
            <w:pPr>
              <w:spacing w:after="0"/>
              <w:rPr>
                <w:sz w:val="24"/>
                <w:szCs w:val="24"/>
                <w:color w:val="auto"/>
              </w:rPr>
            </w:pPr>
          </w:p>
        </w:tc>
      </w:tr>
    </w:tbl>
    <w:p>
      <w:pPr>
        <w:spacing w:after="0" w:line="198"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September 16, 2019, (i) BVF beneficially owned 5,580,788 Shares, (ii) BVF2 beneficially owned 4,537,717 Shares, and (iii) Trading Fund OS beneficially owned 812,271 Shares.</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Partners OS, as the general partner of Trading Fund OS, may be deemed to beneficially own the 812,271 Shares beneficially owned by Trading Fund OS.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107"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Partners, as the general partner of BVF, BVF2, the investment manager of Trading Fund OS, and the sole member of Partners OS, may be deemed to beneficially own the 11,297,911 Shares beneficially owned in the aggregate by BVF, BVF2, Trading Fund OS, and a certain Partners managed account (the “Partners Managed Account”), including 367,135 Shares held in the Partners Managed Account.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BVF Inc., as the general partner of Partners, may be deemed to beneficially own the 11,297,911 Shares beneficially owned by Partners.</w:t>
      </w:r>
    </w:p>
    <w:p>
      <w:pPr>
        <w:spacing w:after="0" w:line="225"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Mr. Lampert, as a director and officer of BVF Inc., may be deemed to beneficially own the 11,297,911 Shares beneficially owned by BVF Inc.</w:t>
      </w:r>
    </w:p>
    <w:p>
      <w:pPr>
        <w:spacing w:after="0" w:line="162"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foregoing should not be construed in and of itself as an admission by any Reporting Person as to beneficial ownership of any Shares owned by another Reporting Person. Partners OS disclaims beneficial ownership of the Shares beneficially owned by Trading Fund OS. Each of Partners, BVF Inc. and Mr. Lampert disclaims beneficial ownership of the Shares beneficially owned by BVF, BVF2, Trading Fund OS, and the Partners Managed Account, and the filing of this statement shall not be construed as an admission that any such person or entity is the beneficial owner of any such securities.</w:t>
      </w:r>
    </w:p>
    <w:p>
      <w:pPr>
        <w:spacing w:after="0" w:line="184"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percentages are based on 67,562,333 Shares outstanding, as disclosed in the Issuer’s Annual Report on Form 20-F filed with the Securities and Exchange Commission on March 21, 2019.</w:t>
      </w:r>
    </w:p>
    <w:p>
      <w:pPr>
        <w:spacing w:after="0" w:line="161"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September 16, 2019, (i) BVF beneficially owned approximately 8.3% of the outstanding Shares, (ii) BVF2 beneficially owned approximately 6.7% of the outstanding Shares, (iii) Trading Fund OS beneficially owned approximately 1.2% of the outstanding Shares, (iv) Partners OS may be deemed to beneficially own approximately 1.2% of the outstanding Shares, and (v) each of Partners, BVF Inc. and Mr. Lampert may be deemed to beneficially own approximately 16.7% of the outstanding Shares (less than 1% of the outstanding Shares are held in the Partners Managed Account).</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sz w:val="20"/>
          <w:szCs w:val="20"/>
          <w:color w:val="auto"/>
        </w:rPr>
      </w:pPr>
    </w:p>
    <w:p>
      <w:pPr>
        <w:ind w:left="1300" w:right="7300" w:hanging="644"/>
        <w:spacing w:after="0" w:line="50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Cover Pages Items 5-9.</w:t>
      </w:r>
    </w:p>
    <w:p>
      <w:pPr>
        <w:ind w:left="1300" w:right="7120" w:hanging="644"/>
        <w:spacing w:after="0" w:line="50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Cover Pages Items 5-9.</w:t>
      </w:r>
    </w:p>
    <w:p>
      <w:pPr>
        <w:ind w:left="1300" w:right="6400" w:hanging="644"/>
        <w:spacing w:after="0" w:line="50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Cover Pages Items 5-9.</w:t>
      </w:r>
    </w:p>
    <w:p>
      <w:pPr>
        <w:ind w:left="1300" w:right="6220" w:hanging="644"/>
        <w:spacing w:after="0" w:line="438"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Cover Pages Items 5-9.</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Partners, BVF Inc. and Mr. Lampert share voting and dispositive power over the Shares beneficially owned by BVF, BVF2, Trading Fund OS, and the Partners Managed Account.</w:t>
      </w:r>
    </w:p>
    <w:p>
      <w:pPr>
        <w:spacing w:after="0" w:line="162" w:lineRule="exact"/>
        <w:rPr>
          <w:sz w:val="20"/>
          <w:szCs w:val="20"/>
          <w:color w:val="auto"/>
        </w:rPr>
      </w:pPr>
    </w:p>
    <w:p>
      <w:pPr>
        <w:jc w:val="both"/>
        <w:ind w:left="1300" w:hanging="1296"/>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That Acquired the Security Being Reported on by the Parent Holding Company or Control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Exhibit 99.1 to the Schedule 13G filed with the Securities and Exchange Commission on February 12, 2019.</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Certifications.</w:t>
      </w:r>
    </w:p>
    <w:p>
      <w:pPr>
        <w:spacing w:after="0" w:line="225"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firstLine="1297"/>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each of the undersigned certifies that the information set forth in this statement is true, complete and correct.</w:t>
      </w:r>
    </w:p>
    <w:p>
      <w:pPr>
        <w:sectPr>
          <w:pgSz w:w="11900" w:h="16838" w:orient="portrait"/>
          <w:cols w:equalWidth="0" w:num="1">
            <w:col w:w="11400"/>
          </w:cols>
          <w:pgMar w:left="240" w:top="220" w:right="25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16,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BIOTECHNOLOGY VALUE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BVF Partners L.P., its general partner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BVF Inc., its general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N. Lampert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2670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BIOTECHNOLOGY VALUE FUND 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BVF Partners L.P., its general partner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BVF Inc.,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N. Lampert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2670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BVF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BVF Inc., its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N. Lampert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2670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BVF PARTNERS OS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BVF Partners L.P., its sole member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BVF Inc.,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N. Lampert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2670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BIOTECHNOLOGY VALUE TRADING FUND OS LP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BVF Partners L.P., its investment manager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BVF Inc.,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N. Lampert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2670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BVF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N. Lampert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-130810</wp:posOffset>
            </wp:positionV>
            <wp:extent cx="3112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N. Lampert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3327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478" w:lineRule="exact"/>
        <w:rPr>
          <w:sz w:val="20"/>
          <w:szCs w:val="20"/>
          <w:color w:val="auto"/>
        </w:rPr>
      </w:pPr>
    </w:p>
    <w:p>
      <w:pPr>
        <w:sectPr>
          <w:pgSz w:w="11900" w:h="16838" w:orient="portrait"/>
          <w:cols w:equalWidth="0" w:num="2">
            <w:col w:w="5460" w:space="720"/>
            <w:col w:w="5220"/>
          </w:cols>
          <w:pgMar w:left="240" w:top="220" w:right="259" w:bottom="1440" w:gutter="0" w:footer="0" w:header="0"/>
          <w:type w:val="continuous"/>
        </w:sectPr>
      </w:pP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220"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2020-01-07T23:15:22Z</dcterms:created>
  <dcterms:modified xsi:type="dcterms:W3CDTF">2020-01-07T23:15:22Z</dcterms:modified>
</cp:coreProperties>
</file>