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75" w:lineRule="exact"/>
        <w:rPr>
          <w:sz w:val="24"/>
          <w:szCs w:val="24"/>
          <w:color w:val="auto"/>
        </w:rPr>
      </w:pPr>
    </w:p>
    <w:p>
      <w:pPr>
        <w:jc w:val="center"/>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of July, 2018</w:t>
      </w:r>
    </w:p>
    <w:p>
      <w:pPr>
        <w:spacing w:after="0" w:line="17" w:lineRule="exact"/>
        <w:rPr>
          <w:sz w:val="24"/>
          <w:szCs w:val="24"/>
          <w:color w:val="auto"/>
        </w:rPr>
      </w:pPr>
    </w:p>
    <w:p>
      <w:pPr>
        <w:ind w:left="4200"/>
        <w:spacing w:after="0"/>
        <w:rPr>
          <w:sz w:val="20"/>
          <w:szCs w:val="20"/>
          <w:color w:val="auto"/>
        </w:rPr>
      </w:pPr>
      <w:r>
        <w:rPr>
          <w:rFonts w:ascii="Arial" w:cs="Arial" w:eastAsia="Arial" w:hAnsi="Arial"/>
          <w:sz w:val="25"/>
          <w:szCs w:val="25"/>
          <w:color w:val="auto"/>
        </w:rPr>
        <w:t>___________________</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001-37891</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EPFL Innovation Park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Building B</w:t>
      </w:r>
    </w:p>
    <w:p>
      <w:pPr>
        <w:ind w:left="4180"/>
        <w:spacing w:after="0"/>
        <w:rPr>
          <w:sz w:val="20"/>
          <w:szCs w:val="20"/>
          <w:color w:val="auto"/>
        </w:rPr>
      </w:pPr>
      <w:r>
        <w:rPr>
          <w:rFonts w:ascii="Arial" w:cs="Arial" w:eastAsia="Arial" w:hAnsi="Arial"/>
          <w:sz w:val="20"/>
          <w:szCs w:val="20"/>
          <w:b w:val="1"/>
          <w:bCs w:val="1"/>
          <w:color w:val="auto"/>
        </w:rPr>
        <w:t>1015 Lausanne, Switzerland</w:t>
      </w:r>
    </w:p>
    <w:p>
      <w:pPr>
        <w:ind w:left="3800"/>
        <w:spacing w:after="0"/>
        <w:rPr>
          <w:sz w:val="20"/>
          <w:szCs w:val="20"/>
          <w:color w:val="auto"/>
        </w:rPr>
      </w:pPr>
      <w:r>
        <w:rPr>
          <w:rFonts w:ascii="Arial" w:cs="Arial" w:eastAsia="Arial" w:hAnsi="Arial"/>
          <w:sz w:val="20"/>
          <w:szCs w:val="20"/>
          <w:b w:val="1"/>
          <w:bCs w:val="1"/>
          <w:color w:val="auto"/>
        </w:rPr>
        <w:t>(Address of principal executive office)</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3400"/>
        <w:spacing w:after="0"/>
        <w:tabs>
          <w:tab w:leader="none" w:pos="4680" w:val="left"/>
          <w:tab w:leader="none" w:pos="600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2828925</wp:posOffset>
            </wp:positionH>
            <wp:positionV relativeFrom="paragraph">
              <wp:posOffset>6350</wp:posOffset>
            </wp:positionV>
            <wp:extent cx="4114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4475480</wp:posOffset>
            </wp:positionH>
            <wp:positionV relativeFrom="paragraph">
              <wp:posOffset>23495</wp:posOffset>
            </wp:positionV>
            <wp:extent cx="403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ind w:left="3640"/>
        <w:spacing w:after="0"/>
        <w:tabs>
          <w:tab w:leader="none" w:pos="6280" w:val="left"/>
          <w:tab w:leader="none" w:pos="72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4475480</wp:posOffset>
            </wp:positionH>
            <wp:positionV relativeFrom="paragraph">
              <wp:posOffset>6350</wp:posOffset>
            </wp:positionV>
            <wp:extent cx="403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2828925</wp:posOffset>
            </wp:positionH>
            <wp:positionV relativeFrom="paragraph">
              <wp:posOffset>23495</wp:posOffset>
            </wp:positionV>
            <wp:extent cx="411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25" w:lineRule="exact"/>
        <w:rPr>
          <w:sz w:val="24"/>
          <w:szCs w:val="24"/>
          <w:color w:val="auto"/>
        </w:rPr>
      </w:pPr>
    </w:p>
    <w:p>
      <w:pPr>
        <w:ind w:left="3640"/>
        <w:spacing w:after="0"/>
        <w:tabs>
          <w:tab w:leader="none" w:pos="6280" w:val="left"/>
          <w:tab w:leader="none" w:pos="72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4475480</wp:posOffset>
            </wp:positionH>
            <wp:positionV relativeFrom="paragraph">
              <wp:posOffset>6350</wp:posOffset>
            </wp:positionV>
            <wp:extent cx="403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2828925</wp:posOffset>
            </wp:positionH>
            <wp:positionV relativeFrom="paragraph">
              <wp:posOffset>23495</wp:posOffset>
            </wp:positionV>
            <wp:extent cx="411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194945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246380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769620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560" w:top="900" w:right="559" w:bottom="1440" w:gutter="0" w:footer="0" w:header="0"/>
        </w:sectPr>
      </w:pPr>
    </w:p>
    <w:bookmarkStart w:id="1" w:name="page2"/>
    <w:bookmarkEnd w:id="1"/>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tab/>
        <w:t>/s/ Andrea Pfeifer</w:t>
      </w:r>
    </w:p>
    <w:p>
      <w:pPr>
        <w:spacing w:after="0" w:line="2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Name:</w:t>
        <w:tab/>
        <w:t>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tab/>
        <w:t>/s/ Joerg Hornstein</w:t>
      </w:r>
    </w:p>
    <w:p>
      <w:pPr>
        <w:spacing w:after="0" w:line="2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Name:</w:t>
        <w:tab/>
        <w:t>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823" w:right="10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008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Exhibit Number</w:t>
            </w:r>
          </w:p>
        </w:tc>
        <w:tc>
          <w:tcPr>
            <w:tcW w:w="10080" w:type="dxa"/>
            <w:vAlign w:val="bottom"/>
            <w:tcBorders>
              <w:bottom w:val="single" w:sz="8" w:color="auto"/>
            </w:tcBorders>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340" w:type="dxa"/>
            <w:vAlign w:val="bottom"/>
          </w:tcPr>
          <w:p>
            <w:pPr>
              <w:jc w:val="right"/>
              <w:ind w:right="450"/>
              <w:spacing w:after="0"/>
              <w:rPr>
                <w:sz w:val="20"/>
                <w:szCs w:val="20"/>
                <w:color w:val="auto"/>
              </w:rPr>
            </w:pPr>
            <w:r>
              <w:rPr>
                <w:rFonts w:ascii="Arial" w:cs="Arial" w:eastAsia="Arial" w:hAnsi="Arial"/>
                <w:sz w:val="18"/>
                <w:szCs w:val="18"/>
                <w:color w:val="auto"/>
              </w:rPr>
              <w:t>99.1</w:t>
            </w:r>
          </w:p>
        </w:tc>
        <w:tc>
          <w:tcPr>
            <w:tcW w:w="10080" w:type="dxa"/>
            <w:vAlign w:val="bottom"/>
          </w:tcPr>
          <w:p>
            <w:pPr>
              <w:ind w:left="80"/>
              <w:spacing w:after="0"/>
              <w:rPr>
                <w:sz w:val="20"/>
                <w:szCs w:val="20"/>
                <w:color w:val="auto"/>
              </w:rPr>
            </w:pPr>
            <w:r>
              <w:rPr>
                <w:rFonts w:ascii="Arial" w:cs="Arial" w:eastAsia="Arial" w:hAnsi="Arial"/>
                <w:sz w:val="18"/>
                <w:szCs w:val="18"/>
                <w:color w:val="auto"/>
              </w:rPr>
              <w:t>Press Release dated July 17, 2018</w:t>
            </w:r>
          </w:p>
        </w:tc>
      </w:tr>
      <w:tr>
        <w:trPr>
          <w:trHeight w:val="823"/>
        </w:trPr>
        <w:tc>
          <w:tcPr>
            <w:tcW w:w="134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169799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979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Crenezumab’s Second Phase 3 Trial (CREAD 2) Fully Recruited</w:t>
      </w:r>
    </w:p>
    <w:p>
      <w:pPr>
        <w:spacing w:after="0" w:line="16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Updates on AC Immune’s Pipeline and Technology Platforms to be presented at the Alzheimer’s Association International</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in Chicago</w:t>
      </w:r>
    </w:p>
    <w:p>
      <w:pPr>
        <w:spacing w:after="0" w:line="17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color w:val="auto"/>
        </w:rPr>
        <w:t xml:space="preserve">Lausanne, Switzerland, July 17, 2018 </w:t>
      </w:r>
      <w:r>
        <w:rPr>
          <w:rFonts w:ascii="Arial" w:cs="Arial" w:eastAsia="Arial" w:hAnsi="Arial"/>
          <w:sz w:val="18"/>
          <w:szCs w:val="18"/>
          <w:color w:val="auto"/>
        </w:rPr>
        <w:t>– AC Immune SA (NASDAQ: ACIU), a Swiss-based, clinical-stage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neurodegenerative diseases, today announced that the second Phase 3 (CREAD 2) clinical trial of crenezumab, AC Immune’s anti-Abeta antibody candidate for treatment of Alzheimer’s disease, conducted by its partner Genentech, a member of the Roche Group, has completed global recruitment.</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Prof. Andrea Pfeifer, CEO of AC Immune</w:t>
      </w:r>
      <w:r>
        <w:rPr>
          <w:rFonts w:ascii="Arial" w:cs="Arial" w:eastAsia="Arial" w:hAnsi="Arial"/>
          <w:sz w:val="18"/>
          <w:szCs w:val="18"/>
          <w:color w:val="auto"/>
        </w:rPr>
        <w:t>, commented: “We are very happy that the CREAD 2 recruitment has been completed ahead of</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This clearly shows the strong commitment of our partner Roche/Genentech to the development of crenezumab as a potential disease-modifying therapy for Alzheimer’s disease – one of society’s biggest healthcare challenges.”</w:t>
      </w:r>
    </w:p>
    <w:p>
      <w:pPr>
        <w:spacing w:after="0" w:line="178" w:lineRule="exact"/>
        <w:rPr>
          <w:sz w:val="20"/>
          <w:szCs w:val="20"/>
          <w:color w:val="auto"/>
        </w:rPr>
      </w:pPr>
    </w:p>
    <w:p>
      <w:pPr>
        <w:ind w:right="420"/>
        <w:spacing w:after="0" w:line="221" w:lineRule="auto"/>
        <w:rPr>
          <w:sz w:val="20"/>
          <w:szCs w:val="20"/>
          <w:color w:val="auto"/>
        </w:rPr>
      </w:pPr>
      <w:r>
        <w:rPr>
          <w:rFonts w:ascii="Arial" w:cs="Arial" w:eastAsia="Arial" w:hAnsi="Arial"/>
          <w:sz w:val="18"/>
          <w:szCs w:val="18"/>
          <w:color w:val="auto"/>
        </w:rPr>
        <w:t>The following updates on AC Immune’s advancement of its in-house and partnered product candidates and technology platforms including crenezumab, will be presented at the Alzheimer’s Association International Conference (AAIC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2018). The conference is the largest international meeting dedicated to advancing dementia science and takes place in Chicago, US, from July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to 26</w:t>
      </w:r>
      <w:r>
        <w:rPr>
          <w:rFonts w:ascii="Arial" w:cs="Arial" w:eastAsia="Arial" w:hAnsi="Arial"/>
          <w:sz w:val="30"/>
          <w:szCs w:val="30"/>
          <w:color w:val="auto"/>
          <w:vertAlign w:val="superscript"/>
        </w:rPr>
        <w:t>th</w:t>
      </w:r>
      <w:r>
        <w:rPr>
          <w:rFonts w:ascii="Arial" w:cs="Arial" w:eastAsia="Arial" w:hAnsi="Arial"/>
          <w:sz w:val="18"/>
          <w:szCs w:val="18"/>
          <w:color w:val="auto"/>
        </w:rPr>
        <w:t>, 2018:</w:t>
      </w:r>
    </w:p>
    <w:p>
      <w:pPr>
        <w:spacing w:after="0" w:line="4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680" w:type="dxa"/>
            <w:vAlign w:val="bottom"/>
            <w:tcBorders>
              <w:top w:val="single" w:sz="8" w:color="auto"/>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Program and Collaborator</w:t>
            </w:r>
          </w:p>
        </w:tc>
        <w:tc>
          <w:tcPr>
            <w:tcW w:w="7740" w:type="dxa"/>
            <w:vAlign w:val="bottom"/>
            <w:tcBorders>
              <w:top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Presentations and Timing</w:t>
            </w:r>
          </w:p>
        </w:tc>
        <w:tc>
          <w:tcPr>
            <w:tcW w:w="0" w:type="dxa"/>
            <w:vAlign w:val="bottom"/>
          </w:tcPr>
          <w:p>
            <w:pPr>
              <w:spacing w:after="0"/>
              <w:rPr>
                <w:sz w:val="1"/>
                <w:szCs w:val="1"/>
                <w:color w:val="auto"/>
              </w:rPr>
            </w:pPr>
          </w:p>
        </w:tc>
      </w:tr>
      <w:tr>
        <w:trPr>
          <w:trHeight w:val="242"/>
        </w:trPr>
        <w:tc>
          <w:tcPr>
            <w:tcW w:w="3680" w:type="dxa"/>
            <w:vAlign w:val="bottom"/>
            <w:tcBorders>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Tau PET Imaging agent /</w:t>
            </w:r>
          </w:p>
        </w:tc>
        <w:tc>
          <w:tcPr>
            <w:tcW w:w="7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C00000"/>
              </w:rPr>
              <w:t xml:space="preserve">§ </w:t>
            </w:r>
            <w:r>
              <w:rPr>
                <w:rFonts w:ascii="Arial" w:cs="Arial" w:eastAsia="Arial" w:hAnsi="Arial"/>
                <w:sz w:val="18"/>
                <w:szCs w:val="18"/>
                <w:color w:val="000000"/>
              </w:rPr>
              <w:t>Clinical Update: 18f-PI-2620, a Next Generation Tau PET Agent Evaluated in Subjects with</w:t>
            </w:r>
          </w:p>
        </w:tc>
        <w:tc>
          <w:tcPr>
            <w:tcW w:w="0" w:type="dxa"/>
            <w:vAlign w:val="bottom"/>
          </w:tcPr>
          <w:p>
            <w:pPr>
              <w:spacing w:after="0"/>
              <w:rPr>
                <w:sz w:val="1"/>
                <w:szCs w:val="1"/>
                <w:color w:val="auto"/>
              </w:rPr>
            </w:pPr>
          </w:p>
        </w:tc>
      </w:tr>
      <w:tr>
        <w:trPr>
          <w:trHeight w:val="181"/>
        </w:trPr>
        <w:tc>
          <w:tcPr>
            <w:tcW w:w="3680" w:type="dxa"/>
            <w:vAlign w:val="bottom"/>
            <w:tcBorders>
              <w:left w:val="single" w:sz="8" w:color="auto"/>
              <w:right w:val="single" w:sz="8" w:color="auto"/>
            </w:tcBorders>
            <w:vMerge w:val="restart"/>
            <w:shd w:val="clear" w:color="auto" w:fill="D9D9D9"/>
          </w:tcPr>
          <w:p>
            <w:pPr>
              <w:ind w:left="40"/>
              <w:spacing w:after="0"/>
              <w:rPr>
                <w:sz w:val="20"/>
                <w:szCs w:val="20"/>
                <w:color w:val="auto"/>
              </w:rPr>
            </w:pPr>
            <w:r>
              <w:rPr>
                <w:rFonts w:ascii="Arial" w:cs="Arial" w:eastAsia="Arial" w:hAnsi="Arial"/>
                <w:sz w:val="18"/>
                <w:szCs w:val="18"/>
                <w:b w:val="1"/>
                <w:bCs w:val="1"/>
                <w:color w:val="auto"/>
              </w:rPr>
              <w:t>Piramal/InviCRO</w:t>
            </w:r>
          </w:p>
        </w:tc>
        <w:tc>
          <w:tcPr>
            <w:tcW w:w="7740" w:type="dxa"/>
            <w:vAlign w:val="bottom"/>
            <w:tcBorders>
              <w:right w:val="single" w:sz="8" w:color="auto"/>
            </w:tcBorders>
          </w:tcPr>
          <w:p>
            <w:pPr>
              <w:ind w:left="340"/>
              <w:spacing w:after="0" w:line="181" w:lineRule="exact"/>
              <w:rPr>
                <w:sz w:val="20"/>
                <w:szCs w:val="20"/>
                <w:color w:val="auto"/>
              </w:rPr>
            </w:pPr>
            <w:r>
              <w:rPr>
                <w:rFonts w:ascii="Arial" w:cs="Arial" w:eastAsia="Arial" w:hAnsi="Arial"/>
                <w:sz w:val="18"/>
                <w:szCs w:val="18"/>
                <w:color w:val="auto"/>
              </w:rPr>
              <w:t>Alzheimer’s Disease and Progressive Supranuclear Palsy</w:t>
            </w:r>
          </w:p>
        </w:tc>
        <w:tc>
          <w:tcPr>
            <w:tcW w:w="0" w:type="dxa"/>
            <w:vAlign w:val="bottom"/>
          </w:tcPr>
          <w:p>
            <w:pPr>
              <w:spacing w:after="0"/>
              <w:rPr>
                <w:sz w:val="1"/>
                <w:szCs w:val="1"/>
                <w:color w:val="auto"/>
              </w:rPr>
            </w:pPr>
          </w:p>
        </w:tc>
      </w:tr>
      <w:tr>
        <w:trPr>
          <w:trHeight w:val="207"/>
        </w:trPr>
        <w:tc>
          <w:tcPr>
            <w:tcW w:w="3680" w:type="dxa"/>
            <w:vAlign w:val="bottom"/>
            <w:tcBorders>
              <w:left w:val="single" w:sz="8" w:color="auto"/>
              <w:right w:val="single" w:sz="8" w:color="auto"/>
            </w:tcBorders>
            <w:vMerge w:val="continue"/>
            <w:shd w:val="clear" w:color="auto" w:fill="D9D9D9"/>
          </w:tcPr>
          <w:p>
            <w:pPr>
              <w:spacing w:after="0"/>
              <w:rPr>
                <w:sz w:val="17"/>
                <w:szCs w:val="17"/>
                <w:color w:val="auto"/>
              </w:rPr>
            </w:pPr>
          </w:p>
        </w:tc>
        <w:tc>
          <w:tcPr>
            <w:tcW w:w="7740" w:type="dxa"/>
            <w:vAlign w:val="bottom"/>
            <w:tcBorders>
              <w:right w:val="single" w:sz="8" w:color="auto"/>
            </w:tcBorders>
          </w:tcPr>
          <w:p>
            <w:pPr>
              <w:ind w:left="340"/>
              <w:spacing w:after="0"/>
              <w:rPr>
                <w:sz w:val="20"/>
                <w:szCs w:val="20"/>
                <w:color w:val="auto"/>
              </w:rPr>
            </w:pPr>
            <w:r>
              <w:rPr>
                <w:rFonts w:ascii="Arial" w:cs="Arial" w:eastAsia="Arial" w:hAnsi="Arial"/>
                <w:sz w:val="18"/>
                <w:szCs w:val="18"/>
                <w:b w:val="1"/>
                <w:bCs w:val="1"/>
                <w:i w:val="1"/>
                <w:iCs w:val="1"/>
                <w:color w:val="auto"/>
              </w:rPr>
              <w:t>Poster – July 21 / 12:30pm – 1:45pm (CDT)</w:t>
            </w:r>
          </w:p>
        </w:tc>
        <w:tc>
          <w:tcPr>
            <w:tcW w:w="0" w:type="dxa"/>
            <w:vAlign w:val="bottom"/>
          </w:tcPr>
          <w:p>
            <w:pPr>
              <w:spacing w:after="0"/>
              <w:rPr>
                <w:sz w:val="1"/>
                <w:szCs w:val="1"/>
                <w:color w:val="auto"/>
              </w:rPr>
            </w:pPr>
          </w:p>
        </w:tc>
      </w:tr>
      <w:tr>
        <w:trPr>
          <w:trHeight w:val="242"/>
        </w:trPr>
        <w:tc>
          <w:tcPr>
            <w:tcW w:w="3680" w:type="dxa"/>
            <w:vAlign w:val="bottom"/>
            <w:tcBorders>
              <w:left w:val="single" w:sz="8" w:color="auto"/>
              <w:bottom w:val="single" w:sz="8" w:color="auto"/>
              <w:right w:val="single" w:sz="8" w:color="auto"/>
            </w:tcBorders>
            <w:shd w:val="clear" w:color="auto" w:fill="D9D9D9"/>
          </w:tcPr>
          <w:p>
            <w:pPr>
              <w:spacing w:after="0"/>
              <w:rPr>
                <w:sz w:val="21"/>
                <w:szCs w:val="21"/>
                <w:color w:val="auto"/>
              </w:rPr>
            </w:pPr>
          </w:p>
        </w:tc>
        <w:tc>
          <w:tcPr>
            <w:tcW w:w="77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i w:val="1"/>
                <w:iCs w:val="1"/>
                <w:color w:val="auto"/>
              </w:rPr>
              <w:t>Session: IC-P-220 / Hall: F1</w:t>
            </w:r>
          </w:p>
        </w:tc>
        <w:tc>
          <w:tcPr>
            <w:tcW w:w="0" w:type="dxa"/>
            <w:vAlign w:val="bottom"/>
          </w:tcPr>
          <w:p>
            <w:pPr>
              <w:spacing w:after="0"/>
              <w:rPr>
                <w:sz w:val="1"/>
                <w:szCs w:val="1"/>
                <w:color w:val="auto"/>
              </w:rPr>
            </w:pPr>
          </w:p>
        </w:tc>
      </w:tr>
      <w:tr>
        <w:trPr>
          <w:trHeight w:val="207"/>
        </w:trPr>
        <w:tc>
          <w:tcPr>
            <w:tcW w:w="3680" w:type="dxa"/>
            <w:vAlign w:val="bottom"/>
            <w:tcBorders>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Crenezumab /</w:t>
            </w:r>
          </w:p>
        </w:tc>
        <w:tc>
          <w:tcPr>
            <w:tcW w:w="7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C00000"/>
              </w:rPr>
              <w:t xml:space="preserve">§  </w:t>
            </w:r>
            <w:r>
              <w:rPr>
                <w:rFonts w:ascii="Arial" w:cs="Arial" w:eastAsia="Arial" w:hAnsi="Arial"/>
                <w:sz w:val="18"/>
                <w:szCs w:val="18"/>
                <w:color w:val="000000"/>
              </w:rPr>
              <w:t>Baseline characteristics from a phase 3 trial of crenezumab in prodromal to mild Alzheimer’s</w:t>
            </w:r>
          </w:p>
        </w:tc>
        <w:tc>
          <w:tcPr>
            <w:tcW w:w="0" w:type="dxa"/>
            <w:vAlign w:val="bottom"/>
          </w:tcPr>
          <w:p>
            <w:pPr>
              <w:spacing w:after="0"/>
              <w:rPr>
                <w:sz w:val="1"/>
                <w:szCs w:val="1"/>
                <w:color w:val="auto"/>
              </w:rPr>
            </w:pPr>
          </w:p>
        </w:tc>
      </w:tr>
      <w:tr>
        <w:trPr>
          <w:trHeight w:val="216"/>
        </w:trPr>
        <w:tc>
          <w:tcPr>
            <w:tcW w:w="3680" w:type="dxa"/>
            <w:vAlign w:val="bottom"/>
            <w:tcBorders>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Genentech/Roche</w:t>
            </w:r>
          </w:p>
        </w:tc>
        <w:tc>
          <w:tcPr>
            <w:tcW w:w="77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disease (CREAD)</w:t>
            </w:r>
          </w:p>
        </w:tc>
        <w:tc>
          <w:tcPr>
            <w:tcW w:w="0" w:type="dxa"/>
            <w:vAlign w:val="bottom"/>
          </w:tcPr>
          <w:p>
            <w:pPr>
              <w:spacing w:after="0"/>
              <w:rPr>
                <w:sz w:val="1"/>
                <w:szCs w:val="1"/>
                <w:color w:val="auto"/>
              </w:rPr>
            </w:pPr>
          </w:p>
        </w:tc>
      </w:tr>
      <w:tr>
        <w:trPr>
          <w:trHeight w:val="207"/>
        </w:trPr>
        <w:tc>
          <w:tcPr>
            <w:tcW w:w="3680" w:type="dxa"/>
            <w:vAlign w:val="bottom"/>
            <w:tcBorders>
              <w:left w:val="single" w:sz="8" w:color="auto"/>
              <w:right w:val="single" w:sz="8" w:color="auto"/>
            </w:tcBorders>
            <w:shd w:val="clear" w:color="auto" w:fill="D9D9D9"/>
          </w:tcPr>
          <w:p>
            <w:pPr>
              <w:spacing w:after="0"/>
              <w:rPr>
                <w:sz w:val="17"/>
                <w:szCs w:val="17"/>
                <w:color w:val="auto"/>
              </w:rPr>
            </w:pPr>
          </w:p>
        </w:tc>
        <w:tc>
          <w:tcPr>
            <w:tcW w:w="7740" w:type="dxa"/>
            <w:vAlign w:val="bottom"/>
            <w:tcBorders>
              <w:right w:val="single" w:sz="8" w:color="auto"/>
            </w:tcBorders>
          </w:tcPr>
          <w:p>
            <w:pPr>
              <w:ind w:left="340"/>
              <w:spacing w:after="0"/>
              <w:rPr>
                <w:sz w:val="20"/>
                <w:szCs w:val="20"/>
                <w:color w:val="auto"/>
              </w:rPr>
            </w:pPr>
            <w:r>
              <w:rPr>
                <w:rFonts w:ascii="Arial" w:cs="Arial" w:eastAsia="Arial" w:hAnsi="Arial"/>
                <w:sz w:val="18"/>
                <w:szCs w:val="18"/>
                <w:b w:val="1"/>
                <w:bCs w:val="1"/>
                <w:i w:val="1"/>
                <w:iCs w:val="1"/>
                <w:color w:val="auto"/>
              </w:rPr>
              <w:t>Oral presentation – July 22 / 8:45pm – 9:00pm (CDT)</w:t>
            </w:r>
          </w:p>
        </w:tc>
        <w:tc>
          <w:tcPr>
            <w:tcW w:w="0" w:type="dxa"/>
            <w:vAlign w:val="bottom"/>
          </w:tcPr>
          <w:p>
            <w:pPr>
              <w:spacing w:after="0"/>
              <w:rPr>
                <w:sz w:val="1"/>
                <w:szCs w:val="1"/>
                <w:color w:val="auto"/>
              </w:rPr>
            </w:pPr>
          </w:p>
        </w:tc>
      </w:tr>
      <w:tr>
        <w:trPr>
          <w:trHeight w:val="242"/>
        </w:trPr>
        <w:tc>
          <w:tcPr>
            <w:tcW w:w="3680" w:type="dxa"/>
            <w:vAlign w:val="bottom"/>
            <w:tcBorders>
              <w:left w:val="single" w:sz="8" w:color="auto"/>
              <w:bottom w:val="single" w:sz="8" w:color="auto"/>
              <w:right w:val="single" w:sz="8" w:color="auto"/>
            </w:tcBorders>
            <w:shd w:val="clear" w:color="auto" w:fill="D9D9D9"/>
          </w:tcPr>
          <w:p>
            <w:pPr>
              <w:spacing w:after="0"/>
              <w:rPr>
                <w:sz w:val="21"/>
                <w:szCs w:val="21"/>
                <w:color w:val="auto"/>
              </w:rPr>
            </w:pPr>
          </w:p>
        </w:tc>
        <w:tc>
          <w:tcPr>
            <w:tcW w:w="77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i w:val="1"/>
                <w:iCs w:val="1"/>
                <w:color w:val="auto"/>
              </w:rPr>
              <w:t>Session: O1-02-04 / Room: 183</w:t>
            </w:r>
          </w:p>
        </w:tc>
        <w:tc>
          <w:tcPr>
            <w:tcW w:w="0" w:type="dxa"/>
            <w:vAlign w:val="bottom"/>
          </w:tcPr>
          <w:p>
            <w:pPr>
              <w:spacing w:after="0"/>
              <w:rPr>
                <w:sz w:val="1"/>
                <w:szCs w:val="1"/>
                <w:color w:val="auto"/>
              </w:rPr>
            </w:pPr>
          </w:p>
        </w:tc>
      </w:tr>
      <w:tr>
        <w:trPr>
          <w:trHeight w:val="242"/>
        </w:trPr>
        <w:tc>
          <w:tcPr>
            <w:tcW w:w="3680" w:type="dxa"/>
            <w:vAlign w:val="bottom"/>
            <w:tcBorders>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Alpha-synuclein PET tracers / AC Immune</w:t>
            </w:r>
          </w:p>
        </w:tc>
        <w:tc>
          <w:tcPr>
            <w:tcW w:w="7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C00000"/>
              </w:rPr>
              <w:t xml:space="preserve">§  </w:t>
            </w:r>
            <w:r>
              <w:rPr>
                <w:rFonts w:ascii="Arial" w:cs="Arial" w:eastAsia="Arial" w:hAnsi="Arial"/>
                <w:sz w:val="18"/>
                <w:szCs w:val="18"/>
                <w:color w:val="000000"/>
              </w:rPr>
              <w:t>Novel alpha-synuclein Positron Emission Tomography (PET) tracers for the Diagnosis of</w:t>
            </w:r>
          </w:p>
        </w:tc>
        <w:tc>
          <w:tcPr>
            <w:tcW w:w="0" w:type="dxa"/>
            <w:vAlign w:val="bottom"/>
          </w:tcPr>
          <w:p>
            <w:pPr>
              <w:spacing w:after="0"/>
              <w:rPr>
                <w:sz w:val="1"/>
                <w:szCs w:val="1"/>
                <w:color w:val="auto"/>
              </w:rPr>
            </w:pPr>
          </w:p>
        </w:tc>
      </w:tr>
      <w:tr>
        <w:trPr>
          <w:trHeight w:val="181"/>
        </w:trPr>
        <w:tc>
          <w:tcPr>
            <w:tcW w:w="3680" w:type="dxa"/>
            <w:vAlign w:val="bottom"/>
            <w:tcBorders>
              <w:left w:val="single" w:sz="8" w:color="auto"/>
              <w:right w:val="single" w:sz="8" w:color="auto"/>
            </w:tcBorders>
            <w:shd w:val="clear" w:color="auto" w:fill="D9D9D9"/>
          </w:tcPr>
          <w:p>
            <w:pPr>
              <w:spacing w:after="0"/>
              <w:rPr>
                <w:sz w:val="15"/>
                <w:szCs w:val="15"/>
                <w:color w:val="auto"/>
              </w:rPr>
            </w:pPr>
          </w:p>
        </w:tc>
        <w:tc>
          <w:tcPr>
            <w:tcW w:w="7740" w:type="dxa"/>
            <w:vAlign w:val="bottom"/>
            <w:tcBorders>
              <w:right w:val="single" w:sz="8" w:color="auto"/>
            </w:tcBorders>
          </w:tcPr>
          <w:p>
            <w:pPr>
              <w:ind w:left="340"/>
              <w:spacing w:after="0" w:line="181" w:lineRule="exact"/>
              <w:rPr>
                <w:sz w:val="20"/>
                <w:szCs w:val="20"/>
                <w:color w:val="auto"/>
              </w:rPr>
            </w:pPr>
            <w:r>
              <w:rPr>
                <w:rFonts w:ascii="Arial" w:cs="Arial" w:eastAsia="Arial" w:hAnsi="Arial"/>
                <w:sz w:val="18"/>
                <w:szCs w:val="18"/>
                <w:color w:val="auto"/>
              </w:rPr>
              <w:t>Parkinson’s Disease</w:t>
            </w:r>
          </w:p>
        </w:tc>
        <w:tc>
          <w:tcPr>
            <w:tcW w:w="0" w:type="dxa"/>
            <w:vAlign w:val="bottom"/>
          </w:tcPr>
          <w:p>
            <w:pPr>
              <w:spacing w:after="0"/>
              <w:rPr>
                <w:sz w:val="1"/>
                <w:szCs w:val="1"/>
                <w:color w:val="auto"/>
              </w:rPr>
            </w:pPr>
          </w:p>
        </w:tc>
      </w:tr>
      <w:tr>
        <w:trPr>
          <w:trHeight w:val="207"/>
        </w:trPr>
        <w:tc>
          <w:tcPr>
            <w:tcW w:w="3680" w:type="dxa"/>
            <w:vAlign w:val="bottom"/>
            <w:tcBorders>
              <w:left w:val="single" w:sz="8" w:color="auto"/>
              <w:right w:val="single" w:sz="8" w:color="auto"/>
            </w:tcBorders>
            <w:shd w:val="clear" w:color="auto" w:fill="D9D9D9"/>
          </w:tcPr>
          <w:p>
            <w:pPr>
              <w:spacing w:after="0"/>
              <w:rPr>
                <w:sz w:val="17"/>
                <w:szCs w:val="17"/>
                <w:color w:val="auto"/>
              </w:rPr>
            </w:pPr>
          </w:p>
        </w:tc>
        <w:tc>
          <w:tcPr>
            <w:tcW w:w="7740" w:type="dxa"/>
            <w:vAlign w:val="bottom"/>
            <w:tcBorders>
              <w:right w:val="single" w:sz="8" w:color="auto"/>
            </w:tcBorders>
          </w:tcPr>
          <w:p>
            <w:pPr>
              <w:ind w:left="340"/>
              <w:spacing w:after="0"/>
              <w:rPr>
                <w:sz w:val="20"/>
                <w:szCs w:val="20"/>
                <w:color w:val="auto"/>
              </w:rPr>
            </w:pPr>
            <w:r>
              <w:rPr>
                <w:rFonts w:ascii="Arial" w:cs="Arial" w:eastAsia="Arial" w:hAnsi="Arial"/>
                <w:sz w:val="18"/>
                <w:szCs w:val="18"/>
                <w:b w:val="1"/>
                <w:bCs w:val="1"/>
                <w:i w:val="1"/>
                <w:iCs w:val="1"/>
                <w:color w:val="auto"/>
              </w:rPr>
              <w:t>Oral presentation – July 25 / 3:15pm – 3:30pm (CDT)</w:t>
            </w:r>
          </w:p>
        </w:tc>
        <w:tc>
          <w:tcPr>
            <w:tcW w:w="0" w:type="dxa"/>
            <w:vAlign w:val="bottom"/>
          </w:tcPr>
          <w:p>
            <w:pPr>
              <w:spacing w:after="0"/>
              <w:rPr>
                <w:sz w:val="1"/>
                <w:szCs w:val="1"/>
                <w:color w:val="auto"/>
              </w:rPr>
            </w:pPr>
          </w:p>
        </w:tc>
      </w:tr>
      <w:tr>
        <w:trPr>
          <w:trHeight w:val="242"/>
        </w:trPr>
        <w:tc>
          <w:tcPr>
            <w:tcW w:w="3680" w:type="dxa"/>
            <w:vAlign w:val="bottom"/>
            <w:tcBorders>
              <w:left w:val="single" w:sz="8" w:color="auto"/>
              <w:bottom w:val="single" w:sz="8" w:color="auto"/>
              <w:right w:val="single" w:sz="8" w:color="auto"/>
            </w:tcBorders>
            <w:shd w:val="clear" w:color="auto" w:fill="D9D9D9"/>
          </w:tcPr>
          <w:p>
            <w:pPr>
              <w:spacing w:after="0"/>
              <w:rPr>
                <w:sz w:val="21"/>
                <w:szCs w:val="21"/>
                <w:color w:val="auto"/>
              </w:rPr>
            </w:pPr>
          </w:p>
        </w:tc>
        <w:tc>
          <w:tcPr>
            <w:tcW w:w="77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i w:val="1"/>
                <w:iCs w:val="1"/>
                <w:color w:val="auto"/>
              </w:rPr>
              <w:t>Session: DT-01-06 / Hall: W375 E</w:t>
            </w:r>
          </w:p>
        </w:tc>
        <w:tc>
          <w:tcPr>
            <w:tcW w:w="0" w:type="dxa"/>
            <w:vAlign w:val="bottom"/>
          </w:tcPr>
          <w:p>
            <w:pPr>
              <w:spacing w:after="0"/>
              <w:rPr>
                <w:sz w:val="1"/>
                <w:szCs w:val="1"/>
                <w:color w:val="auto"/>
              </w:rPr>
            </w:pPr>
          </w:p>
        </w:tc>
      </w:tr>
      <w:tr>
        <w:trPr>
          <w:trHeight w:val="207"/>
        </w:trPr>
        <w:tc>
          <w:tcPr>
            <w:tcW w:w="3680" w:type="dxa"/>
            <w:vAlign w:val="bottom"/>
            <w:tcBorders>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Crenezumab /</w:t>
            </w:r>
          </w:p>
        </w:tc>
        <w:tc>
          <w:tcPr>
            <w:tcW w:w="7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C00000"/>
              </w:rPr>
              <w:t xml:space="preserve">§  </w:t>
            </w:r>
            <w:r>
              <w:rPr>
                <w:rFonts w:ascii="Arial" w:cs="Arial" w:eastAsia="Arial" w:hAnsi="Arial"/>
                <w:sz w:val="18"/>
                <w:szCs w:val="18"/>
                <w:color w:val="000000"/>
              </w:rPr>
              <w:t>Target Engagement in an AD Trial: Crenezumab Lowers Aβ Oligomer Levels in CSF</w:t>
            </w:r>
          </w:p>
        </w:tc>
        <w:tc>
          <w:tcPr>
            <w:tcW w:w="0" w:type="dxa"/>
            <w:vAlign w:val="bottom"/>
          </w:tcPr>
          <w:p>
            <w:pPr>
              <w:spacing w:after="0"/>
              <w:rPr>
                <w:sz w:val="1"/>
                <w:szCs w:val="1"/>
                <w:color w:val="auto"/>
              </w:rPr>
            </w:pPr>
          </w:p>
        </w:tc>
      </w:tr>
      <w:tr>
        <w:trPr>
          <w:trHeight w:val="220"/>
        </w:trPr>
        <w:tc>
          <w:tcPr>
            <w:tcW w:w="3680" w:type="dxa"/>
            <w:vAlign w:val="bottom"/>
            <w:tcBorders>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8"/>
                <w:szCs w:val="18"/>
                <w:b w:val="1"/>
                <w:bCs w:val="1"/>
                <w:color w:val="auto"/>
              </w:rPr>
              <w:t>Genentech</w:t>
            </w:r>
          </w:p>
        </w:tc>
        <w:tc>
          <w:tcPr>
            <w:tcW w:w="7740" w:type="dxa"/>
            <w:vAlign w:val="bottom"/>
            <w:tcBorders>
              <w:right w:val="single" w:sz="8" w:color="auto"/>
            </w:tcBorders>
          </w:tcPr>
          <w:p>
            <w:pPr>
              <w:ind w:left="340"/>
              <w:spacing w:after="0"/>
              <w:rPr>
                <w:sz w:val="20"/>
                <w:szCs w:val="20"/>
                <w:color w:val="auto"/>
              </w:rPr>
            </w:pPr>
            <w:r>
              <w:rPr>
                <w:rFonts w:ascii="Arial" w:cs="Arial" w:eastAsia="Arial" w:hAnsi="Arial"/>
                <w:sz w:val="18"/>
                <w:szCs w:val="18"/>
                <w:b w:val="1"/>
                <w:bCs w:val="1"/>
                <w:i w:val="1"/>
                <w:iCs w:val="1"/>
                <w:color w:val="auto"/>
              </w:rPr>
              <w:t>Oral presentation – July 25 / 4:45pm – 5:00pm (CDT)</w:t>
            </w:r>
          </w:p>
        </w:tc>
        <w:tc>
          <w:tcPr>
            <w:tcW w:w="0" w:type="dxa"/>
            <w:vAlign w:val="bottom"/>
          </w:tcPr>
          <w:p>
            <w:pPr>
              <w:spacing w:after="0"/>
              <w:rPr>
                <w:sz w:val="1"/>
                <w:szCs w:val="1"/>
                <w:color w:val="auto"/>
              </w:rPr>
            </w:pPr>
          </w:p>
        </w:tc>
      </w:tr>
      <w:tr>
        <w:trPr>
          <w:trHeight w:val="242"/>
        </w:trPr>
        <w:tc>
          <w:tcPr>
            <w:tcW w:w="3680" w:type="dxa"/>
            <w:vAlign w:val="bottom"/>
            <w:tcBorders>
              <w:left w:val="single" w:sz="8" w:color="auto"/>
              <w:bottom w:val="single" w:sz="8" w:color="auto"/>
              <w:right w:val="single" w:sz="8" w:color="auto"/>
            </w:tcBorders>
            <w:shd w:val="clear" w:color="auto" w:fill="D9D9D9"/>
          </w:tcPr>
          <w:p>
            <w:pPr>
              <w:spacing w:after="0"/>
              <w:rPr>
                <w:sz w:val="21"/>
                <w:szCs w:val="21"/>
                <w:color w:val="auto"/>
              </w:rPr>
            </w:pPr>
          </w:p>
        </w:tc>
        <w:tc>
          <w:tcPr>
            <w:tcW w:w="77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i w:val="1"/>
                <w:iCs w:val="1"/>
                <w:color w:val="auto"/>
              </w:rPr>
              <w:t>Session: DT-01-03 / Hall: W375 E</w:t>
            </w:r>
          </w:p>
        </w:tc>
        <w:tc>
          <w:tcPr>
            <w:tcW w:w="0" w:type="dxa"/>
            <w:vAlign w:val="bottom"/>
          </w:tcPr>
          <w:p>
            <w:pPr>
              <w:spacing w:after="0"/>
              <w:rPr>
                <w:sz w:val="1"/>
                <w:szCs w:val="1"/>
                <w:color w:val="auto"/>
              </w:rPr>
            </w:pPr>
          </w:p>
        </w:tc>
      </w:tr>
      <w:tr>
        <w:trPr>
          <w:trHeight w:val="554"/>
        </w:trPr>
        <w:tc>
          <w:tcPr>
            <w:tcW w:w="368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697990"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6979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Crenezumab</w:t>
      </w:r>
    </w:p>
    <w:p>
      <w:pPr>
        <w:spacing w:after="0" w:line="220"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Crenezumab is an anti-Abeta antibody discovered by AC Immune using its SupraAntigen™ technology platform and out-licensed to Genentech, a member of the Roche group, in 2006 as a potential therapy for Alzheimer’s disease. Crenezumab is a fully humanized IgG4 monoclonal antibody that binds all forms of misfolded Abeta proteins, but especially to Abeta oligomers, to prevent and break up Abeta aggregation and promote Abeta disaggregation. The IgG4 subclass has reduced effector function, allowing microglia to clear Abeta from the brain while minimizing an inflammatory response.</w:t>
      </w:r>
    </w:p>
    <w:p>
      <w:pPr>
        <w:spacing w:after="0" w:line="189"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Roche/Genentech is currently evaluating the clinical efficacy and safety of crenezumab in two Phase 3 clinical trials, CREAD 1 and 2, in 750 participants each trial with prodromal or mild Alzheimer’s disease, which started in the first quarter of 2016 and the first quarter of 2017, respectively. CREAD 1 was fully recruited in the fourth quarter of 2017 and CREAD 2 completed global recruitment in July 2018. In addition, crenezumab was chosen by an international panel of experts, including the US National Institutes of Health, for use in a first-ever prevention trial in Alzheimer’s disease in a large extended family in Colombia (API ADAD) in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 Immune is a clinical-stage Swiss-based biopharmaceutical company, listed on Nasdaq, which aims to become a global leader in precision medicine for neurodegenerative diseases. The Company designs, discovers and develops therapeutic as well as diagnostic products intended to prevent and modify diseases caused by misfolding proteins. AC Immune’s two proprietary technology platforms create antibodies, small molecules and vaccines designed to address a broad spectrum of neurodegenerative indications, such as Alzheimer’s disease (AD). The Company’s pipeline features nine therapeutic and three diagnostic product candidates – with five product candidates currently in clinical trials. The most advanced of these is crenezumab, a humanized anti-amyloid-β monoclonal IgG4 antibody that targets monomeric and aggregated forms of amyloid-β, with highest affinity for neurotoxic oligomers. Crenezumab is currently in two Phase 3 clinical studies for AD, under a global program conducted by the collaboration partner Genentech (a member of the Roche Group). Other collaborations include Biogen, Janssen Pharmaceuticals, Nestlé Institute of Health Sciences, Piramal Imaging and Essex Bio-Technology.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697990"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6979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1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further information, please contact:</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5520" w:type="dxa"/>
            <w:vAlign w:val="bottom"/>
            <w:tcBorders>
              <w:top w:val="single" w:sz="8" w:color="auto"/>
              <w:left w:val="single" w:sz="8" w:color="auto"/>
              <w:right w:val="single" w:sz="8" w:color="auto"/>
            </w:tcBorders>
            <w:gridSpan w:val="6"/>
          </w:tcPr>
          <w:p>
            <w:pPr>
              <w:ind w:left="80"/>
              <w:spacing w:after="0"/>
              <w:rPr>
                <w:sz w:val="20"/>
                <w:szCs w:val="20"/>
                <w:color w:val="auto"/>
              </w:rPr>
            </w:pPr>
            <w:r>
              <w:rPr>
                <w:rFonts w:ascii="Arial" w:cs="Arial" w:eastAsia="Arial" w:hAnsi="Arial"/>
                <w:sz w:val="16"/>
                <w:szCs w:val="16"/>
                <w:b w:val="1"/>
                <w:bCs w:val="1"/>
                <w:color w:val="auto"/>
              </w:rPr>
              <w:t>In Europe</w:t>
            </w:r>
          </w:p>
        </w:tc>
        <w:tc>
          <w:tcPr>
            <w:tcW w:w="590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In the US</w:t>
            </w:r>
          </w:p>
        </w:tc>
      </w:tr>
      <w:tr>
        <w:trPr>
          <w:trHeight w:val="189"/>
        </w:trPr>
        <w:tc>
          <w:tcPr>
            <w:tcW w:w="5520" w:type="dxa"/>
            <w:vAlign w:val="bottom"/>
            <w:tcBorders>
              <w:left w:val="single" w:sz="8" w:color="auto"/>
              <w:right w:val="single" w:sz="8" w:color="auto"/>
            </w:tcBorders>
            <w:gridSpan w:val="6"/>
          </w:tcPr>
          <w:p>
            <w:pPr>
              <w:ind w:left="80"/>
              <w:spacing w:after="0"/>
              <w:rPr>
                <w:sz w:val="20"/>
                <w:szCs w:val="20"/>
                <w:color w:val="auto"/>
              </w:rPr>
            </w:pPr>
            <w:r>
              <w:rPr>
                <w:rFonts w:ascii="Arial" w:cs="Arial" w:eastAsia="Arial" w:hAnsi="Arial"/>
                <w:sz w:val="16"/>
                <w:szCs w:val="16"/>
                <w:color w:val="auto"/>
              </w:rPr>
              <w:t>Beatrix Benz</w:t>
            </w:r>
          </w:p>
        </w:tc>
        <w:tc>
          <w:tcPr>
            <w:tcW w:w="5900" w:type="dxa"/>
            <w:vAlign w:val="bottom"/>
            <w:tcBorders>
              <w:right w:val="single" w:sz="8" w:color="auto"/>
            </w:tcBorders>
            <w:gridSpan w:val="4"/>
          </w:tcPr>
          <w:p>
            <w:pPr>
              <w:ind w:left="40"/>
              <w:spacing w:after="0"/>
              <w:rPr>
                <w:sz w:val="20"/>
                <w:szCs w:val="20"/>
                <w:color w:val="auto"/>
              </w:rPr>
            </w:pPr>
            <w:r>
              <w:rPr>
                <w:rFonts w:ascii="Arial" w:cs="Arial" w:eastAsia="Arial" w:hAnsi="Arial"/>
                <w:sz w:val="16"/>
                <w:szCs w:val="16"/>
                <w:color w:val="auto"/>
              </w:rPr>
              <w:t>Lisa Sher</w:t>
            </w:r>
          </w:p>
        </w:tc>
      </w:tr>
      <w:tr>
        <w:trPr>
          <w:trHeight w:val="189"/>
        </w:trPr>
        <w:tc>
          <w:tcPr>
            <w:tcW w:w="5520" w:type="dxa"/>
            <w:vAlign w:val="bottom"/>
            <w:tcBorders>
              <w:left w:val="single" w:sz="8" w:color="auto"/>
              <w:right w:val="single" w:sz="8" w:color="auto"/>
            </w:tcBorders>
            <w:gridSpan w:val="6"/>
          </w:tcPr>
          <w:p>
            <w:pPr>
              <w:ind w:left="80"/>
              <w:spacing w:after="0"/>
              <w:rPr>
                <w:sz w:val="20"/>
                <w:szCs w:val="20"/>
                <w:color w:val="auto"/>
              </w:rPr>
            </w:pPr>
            <w:r>
              <w:rPr>
                <w:rFonts w:ascii="Arial" w:cs="Arial" w:eastAsia="Arial" w:hAnsi="Arial"/>
                <w:sz w:val="16"/>
                <w:szCs w:val="16"/>
                <w:color w:val="auto"/>
              </w:rPr>
              <w:t>AC Immune Corporate Communications</w:t>
            </w:r>
          </w:p>
        </w:tc>
        <w:tc>
          <w:tcPr>
            <w:tcW w:w="5900" w:type="dxa"/>
            <w:vAlign w:val="bottom"/>
            <w:tcBorders>
              <w:right w:val="single" w:sz="8" w:color="auto"/>
            </w:tcBorders>
            <w:gridSpan w:val="4"/>
          </w:tcPr>
          <w:p>
            <w:pPr>
              <w:ind w:left="40"/>
              <w:spacing w:after="0"/>
              <w:rPr>
                <w:sz w:val="20"/>
                <w:szCs w:val="20"/>
                <w:color w:val="auto"/>
              </w:rPr>
            </w:pPr>
            <w:r>
              <w:rPr>
                <w:rFonts w:ascii="Arial" w:cs="Arial" w:eastAsia="Arial" w:hAnsi="Arial"/>
                <w:sz w:val="16"/>
                <w:szCs w:val="16"/>
                <w:color w:val="auto"/>
              </w:rPr>
              <w:t>AC Immune Investor Relations</w:t>
            </w:r>
          </w:p>
        </w:tc>
      </w:tr>
      <w:tr>
        <w:trPr>
          <w:trHeight w:val="189"/>
        </w:trPr>
        <w:tc>
          <w:tcPr>
            <w:tcW w:w="5520" w:type="dxa"/>
            <w:vAlign w:val="bottom"/>
            <w:tcBorders>
              <w:left w:val="single" w:sz="8" w:color="auto"/>
              <w:right w:val="single" w:sz="8" w:color="auto"/>
            </w:tcBorders>
            <w:gridSpan w:val="6"/>
          </w:tcPr>
          <w:p>
            <w:pPr>
              <w:ind w:left="80"/>
              <w:spacing w:after="0"/>
              <w:rPr>
                <w:sz w:val="20"/>
                <w:szCs w:val="20"/>
                <w:color w:val="auto"/>
              </w:rPr>
            </w:pPr>
            <w:r>
              <w:rPr>
                <w:rFonts w:ascii="Arial" w:cs="Arial" w:eastAsia="Arial" w:hAnsi="Arial"/>
                <w:sz w:val="16"/>
                <w:szCs w:val="16"/>
                <w:color w:val="auto"/>
              </w:rPr>
              <w:t>Phone: +41 21 345 91 34</w:t>
            </w:r>
          </w:p>
        </w:tc>
        <w:tc>
          <w:tcPr>
            <w:tcW w:w="5900" w:type="dxa"/>
            <w:vAlign w:val="bottom"/>
            <w:tcBorders>
              <w:right w:val="single" w:sz="8" w:color="auto"/>
            </w:tcBorders>
            <w:gridSpan w:val="4"/>
          </w:tcPr>
          <w:p>
            <w:pPr>
              <w:ind w:left="40"/>
              <w:spacing w:after="0"/>
              <w:rPr>
                <w:sz w:val="20"/>
                <w:szCs w:val="20"/>
                <w:color w:val="auto"/>
              </w:rPr>
            </w:pPr>
            <w:r>
              <w:rPr>
                <w:rFonts w:ascii="Arial" w:cs="Arial" w:eastAsia="Arial" w:hAnsi="Arial"/>
                <w:sz w:val="16"/>
                <w:szCs w:val="16"/>
                <w:color w:val="auto"/>
              </w:rPr>
              <w:t>Phone: +1 970 987 26 54</w:t>
            </w:r>
          </w:p>
        </w:tc>
      </w:tr>
      <w:tr>
        <w:trPr>
          <w:trHeight w:val="160"/>
        </w:trPr>
        <w:tc>
          <w:tcPr>
            <w:tcW w:w="5520" w:type="dxa"/>
            <w:vAlign w:val="bottom"/>
            <w:tcBorders>
              <w:left w:val="single" w:sz="8" w:color="auto"/>
              <w:right w:val="single" w:sz="8" w:color="auto"/>
            </w:tcBorders>
            <w:gridSpan w:val="6"/>
          </w:tcPr>
          <w:p>
            <w:pPr>
              <w:ind w:left="80"/>
              <w:spacing w:after="0" w:line="160" w:lineRule="exact"/>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color w:val="0000FF"/>
              </w:rPr>
              <w:t>beatrix.benz@acimmune.com</w:t>
            </w:r>
          </w:p>
        </w:tc>
        <w:tc>
          <w:tcPr>
            <w:tcW w:w="5900" w:type="dxa"/>
            <w:vAlign w:val="bottom"/>
            <w:tcBorders>
              <w:right w:val="single" w:sz="8" w:color="auto"/>
            </w:tcBorders>
            <w:gridSpan w:val="4"/>
          </w:tcPr>
          <w:p>
            <w:pPr>
              <w:ind w:left="40"/>
              <w:spacing w:after="0" w:line="160" w:lineRule="exact"/>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color w:val="0000FF"/>
              </w:rPr>
              <w:t>lisa.sher@acimmune.com</w:t>
            </w:r>
          </w:p>
        </w:tc>
      </w:tr>
      <w:tr>
        <w:trPr>
          <w:trHeight w:val="250"/>
        </w:trPr>
        <w:tc>
          <w:tcPr>
            <w:tcW w:w="620" w:type="dxa"/>
            <w:vAlign w:val="bottom"/>
            <w:tcBorders>
              <w:left w:val="single" w:sz="8" w:color="auto"/>
              <w:bottom w:val="single" w:sz="8" w:color="auto"/>
            </w:tcBorders>
          </w:tcPr>
          <w:p>
            <w:pPr>
              <w:spacing w:after="0"/>
              <w:rPr>
                <w:sz w:val="21"/>
                <w:szCs w:val="21"/>
                <w:color w:val="auto"/>
              </w:rPr>
            </w:pPr>
          </w:p>
        </w:tc>
        <w:tc>
          <w:tcPr>
            <w:tcW w:w="20" w:type="dxa"/>
            <w:vAlign w:val="bottom"/>
            <w:tcBorders>
              <w:top w:val="single" w:sz="8" w:color="0000FF"/>
              <w:bottom w:val="single" w:sz="8" w:color="auto"/>
            </w:tcBorders>
          </w:tcPr>
          <w:p>
            <w:pPr>
              <w:spacing w:after="0"/>
              <w:rPr>
                <w:sz w:val="21"/>
                <w:szCs w:val="21"/>
                <w:color w:val="auto"/>
              </w:rPr>
            </w:pPr>
          </w:p>
        </w:tc>
        <w:tc>
          <w:tcPr>
            <w:tcW w:w="1200" w:type="dxa"/>
            <w:vAlign w:val="bottom"/>
            <w:tcBorders>
              <w:top w:val="single" w:sz="8" w:color="0000FF"/>
              <w:bottom w:val="single" w:sz="8" w:color="auto"/>
            </w:tcBorders>
          </w:tcPr>
          <w:p>
            <w:pPr>
              <w:spacing w:after="0"/>
              <w:rPr>
                <w:sz w:val="21"/>
                <w:szCs w:val="21"/>
                <w:color w:val="auto"/>
              </w:rPr>
            </w:pPr>
          </w:p>
        </w:tc>
        <w:tc>
          <w:tcPr>
            <w:tcW w:w="120" w:type="dxa"/>
            <w:vAlign w:val="bottom"/>
            <w:tcBorders>
              <w:top w:val="single" w:sz="8" w:color="0000FF"/>
              <w:bottom w:val="single" w:sz="8" w:color="auto"/>
            </w:tcBorders>
          </w:tcPr>
          <w:p>
            <w:pPr>
              <w:spacing w:after="0"/>
              <w:rPr>
                <w:sz w:val="21"/>
                <w:szCs w:val="21"/>
                <w:color w:val="auto"/>
              </w:rPr>
            </w:pPr>
          </w:p>
        </w:tc>
        <w:tc>
          <w:tcPr>
            <w:tcW w:w="820" w:type="dxa"/>
            <w:vAlign w:val="bottom"/>
            <w:tcBorders>
              <w:top w:val="single" w:sz="8" w:color="0000FF"/>
              <w:bottom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880" w:type="dxa"/>
            <w:vAlign w:val="bottom"/>
            <w:tcBorders>
              <w:top w:val="single" w:sz="8" w:color="0000FF"/>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1"/>
                <w:szCs w:val="21"/>
                <w:color w:val="auto"/>
              </w:rPr>
            </w:pPr>
          </w:p>
        </w:tc>
      </w:tr>
      <w:tr>
        <w:trPr>
          <w:trHeight w:val="238"/>
        </w:trPr>
        <w:tc>
          <w:tcPr>
            <w:tcW w:w="5520" w:type="dxa"/>
            <w:vAlign w:val="bottom"/>
            <w:tcBorders>
              <w:left w:val="single" w:sz="8" w:color="auto"/>
              <w:right w:val="single" w:sz="8" w:color="auto"/>
            </w:tcBorders>
            <w:gridSpan w:val="6"/>
          </w:tcPr>
          <w:p>
            <w:pPr>
              <w:ind w:left="80"/>
              <w:spacing w:after="0"/>
              <w:rPr>
                <w:sz w:val="20"/>
                <w:szCs w:val="20"/>
                <w:color w:val="auto"/>
              </w:rPr>
            </w:pPr>
            <w:r>
              <w:rPr>
                <w:rFonts w:ascii="Arial" w:cs="Arial" w:eastAsia="Arial" w:hAnsi="Arial"/>
                <w:sz w:val="16"/>
                <w:szCs w:val="16"/>
                <w:color w:val="auto"/>
              </w:rPr>
              <w:t>Nick Miles/Toomas Kull</w:t>
            </w:r>
          </w:p>
        </w:tc>
        <w:tc>
          <w:tcPr>
            <w:tcW w:w="5900" w:type="dxa"/>
            <w:vAlign w:val="bottom"/>
            <w:tcBorders>
              <w:right w:val="single" w:sz="8" w:color="auto"/>
            </w:tcBorders>
            <w:gridSpan w:val="4"/>
          </w:tcPr>
          <w:p>
            <w:pPr>
              <w:ind w:left="40"/>
              <w:spacing w:after="0"/>
              <w:rPr>
                <w:sz w:val="20"/>
                <w:szCs w:val="20"/>
                <w:color w:val="auto"/>
              </w:rPr>
            </w:pPr>
            <w:r>
              <w:rPr>
                <w:rFonts w:ascii="Arial" w:cs="Arial" w:eastAsia="Arial" w:hAnsi="Arial"/>
                <w:sz w:val="16"/>
                <w:szCs w:val="16"/>
                <w:color w:val="auto"/>
              </w:rPr>
              <w:t>Ted Agne</w:t>
            </w:r>
          </w:p>
        </w:tc>
      </w:tr>
      <w:tr>
        <w:trPr>
          <w:trHeight w:val="189"/>
        </w:trPr>
        <w:tc>
          <w:tcPr>
            <w:tcW w:w="5520" w:type="dxa"/>
            <w:vAlign w:val="bottom"/>
            <w:tcBorders>
              <w:left w:val="single" w:sz="8" w:color="auto"/>
              <w:right w:val="single" w:sz="8" w:color="auto"/>
            </w:tcBorders>
            <w:gridSpan w:val="6"/>
          </w:tcPr>
          <w:p>
            <w:pPr>
              <w:ind w:left="80"/>
              <w:spacing w:after="0"/>
              <w:rPr>
                <w:sz w:val="20"/>
                <w:szCs w:val="20"/>
                <w:color w:val="auto"/>
              </w:rPr>
            </w:pPr>
            <w:r>
              <w:rPr>
                <w:rFonts w:ascii="Arial" w:cs="Arial" w:eastAsia="Arial" w:hAnsi="Arial"/>
                <w:sz w:val="16"/>
                <w:szCs w:val="16"/>
                <w:color w:val="auto"/>
              </w:rPr>
              <w:t>Cabinet Privé de Conseils s.a.</w:t>
            </w:r>
          </w:p>
        </w:tc>
        <w:tc>
          <w:tcPr>
            <w:tcW w:w="5900" w:type="dxa"/>
            <w:vAlign w:val="bottom"/>
            <w:tcBorders>
              <w:right w:val="single" w:sz="8" w:color="auto"/>
            </w:tcBorders>
            <w:gridSpan w:val="4"/>
          </w:tcPr>
          <w:p>
            <w:pPr>
              <w:ind w:left="40"/>
              <w:spacing w:after="0"/>
              <w:rPr>
                <w:sz w:val="20"/>
                <w:szCs w:val="20"/>
                <w:color w:val="auto"/>
              </w:rPr>
            </w:pPr>
            <w:r>
              <w:rPr>
                <w:rFonts w:ascii="Arial" w:cs="Arial" w:eastAsia="Arial" w:hAnsi="Arial"/>
                <w:sz w:val="16"/>
                <w:szCs w:val="16"/>
                <w:color w:val="auto"/>
              </w:rPr>
              <w:t>The Communications Strategy Group Inc.</w:t>
            </w:r>
          </w:p>
        </w:tc>
      </w:tr>
      <w:tr>
        <w:trPr>
          <w:trHeight w:val="189"/>
        </w:trPr>
        <w:tc>
          <w:tcPr>
            <w:tcW w:w="5520" w:type="dxa"/>
            <w:vAlign w:val="bottom"/>
            <w:tcBorders>
              <w:left w:val="single" w:sz="8" w:color="auto"/>
              <w:right w:val="single" w:sz="8" w:color="auto"/>
            </w:tcBorders>
            <w:gridSpan w:val="6"/>
          </w:tcPr>
          <w:p>
            <w:pPr>
              <w:ind w:left="80"/>
              <w:spacing w:after="0"/>
              <w:rPr>
                <w:sz w:val="20"/>
                <w:szCs w:val="20"/>
                <w:color w:val="auto"/>
              </w:rPr>
            </w:pPr>
            <w:r>
              <w:rPr>
                <w:rFonts w:ascii="Arial" w:cs="Arial" w:eastAsia="Arial" w:hAnsi="Arial"/>
                <w:sz w:val="16"/>
                <w:szCs w:val="16"/>
                <w:color w:val="auto"/>
              </w:rPr>
              <w:t>Phone: +41 22 552 46 46</w:t>
            </w:r>
          </w:p>
        </w:tc>
        <w:tc>
          <w:tcPr>
            <w:tcW w:w="5900" w:type="dxa"/>
            <w:vAlign w:val="bottom"/>
            <w:tcBorders>
              <w:right w:val="single" w:sz="8" w:color="auto"/>
            </w:tcBorders>
            <w:gridSpan w:val="4"/>
          </w:tcPr>
          <w:p>
            <w:pPr>
              <w:ind w:left="40"/>
              <w:spacing w:after="0"/>
              <w:rPr>
                <w:sz w:val="20"/>
                <w:szCs w:val="20"/>
                <w:color w:val="auto"/>
              </w:rPr>
            </w:pPr>
            <w:r>
              <w:rPr>
                <w:rFonts w:ascii="Arial" w:cs="Arial" w:eastAsia="Arial" w:hAnsi="Arial"/>
                <w:sz w:val="16"/>
                <w:szCs w:val="16"/>
                <w:color w:val="auto"/>
              </w:rPr>
              <w:t>Phone: +1 781 631 3117</w:t>
            </w:r>
          </w:p>
        </w:tc>
      </w:tr>
      <w:tr>
        <w:trPr>
          <w:trHeight w:val="160"/>
        </w:trPr>
        <w:tc>
          <w:tcPr>
            <w:tcW w:w="5520" w:type="dxa"/>
            <w:vAlign w:val="bottom"/>
            <w:tcBorders>
              <w:left w:val="single" w:sz="8" w:color="auto"/>
              <w:right w:val="single" w:sz="8" w:color="auto"/>
            </w:tcBorders>
            <w:gridSpan w:val="6"/>
          </w:tcPr>
          <w:p>
            <w:pPr>
              <w:ind w:left="80"/>
              <w:spacing w:after="0" w:line="160" w:lineRule="exact"/>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color w:val="0000FF"/>
              </w:rPr>
              <w:t>miles@cpc-pr.com</w:t>
            </w:r>
          </w:p>
        </w:tc>
        <w:tc>
          <w:tcPr>
            <w:tcW w:w="5900" w:type="dxa"/>
            <w:vAlign w:val="bottom"/>
            <w:tcBorders>
              <w:right w:val="single" w:sz="8" w:color="auto"/>
            </w:tcBorders>
            <w:gridSpan w:val="4"/>
          </w:tcPr>
          <w:p>
            <w:pPr>
              <w:ind w:left="40"/>
              <w:spacing w:after="0" w:line="160" w:lineRule="exact"/>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color w:val="0000FF"/>
              </w:rPr>
              <w:t>edagne@comstratgroup.com</w:t>
            </w:r>
          </w:p>
        </w:tc>
      </w:tr>
      <w:tr>
        <w:trPr>
          <w:trHeight w:val="169"/>
        </w:trPr>
        <w:tc>
          <w:tcPr>
            <w:tcW w:w="620" w:type="dxa"/>
            <w:vAlign w:val="bottom"/>
            <w:tcBorders>
              <w:left w:val="single" w:sz="8" w:color="auto"/>
            </w:tcBorders>
          </w:tcPr>
          <w:p>
            <w:pPr>
              <w:spacing w:after="0"/>
              <w:rPr>
                <w:sz w:val="14"/>
                <w:szCs w:val="14"/>
                <w:color w:val="auto"/>
              </w:rPr>
            </w:pPr>
          </w:p>
        </w:tc>
        <w:tc>
          <w:tcPr>
            <w:tcW w:w="1340" w:type="dxa"/>
            <w:vAlign w:val="bottom"/>
            <w:tcBorders>
              <w:top w:val="single" w:sz="8" w:color="0000FF"/>
            </w:tcBorders>
            <w:gridSpan w:val="3"/>
          </w:tcPr>
          <w:p>
            <w:pPr>
              <w:ind w:left="20"/>
              <w:spacing w:after="0" w:line="169" w:lineRule="exact"/>
              <w:rPr>
                <w:sz w:val="20"/>
                <w:szCs w:val="20"/>
                <w:color w:val="auto"/>
              </w:rPr>
            </w:pPr>
            <w:r>
              <w:rPr>
                <w:rFonts w:ascii="Arial" w:cs="Arial" w:eastAsia="Arial" w:hAnsi="Arial"/>
                <w:sz w:val="16"/>
                <w:szCs w:val="16"/>
                <w:color w:val="0000FF"/>
              </w:rPr>
              <w:t>kull@cpc-pr.com</w:t>
            </w:r>
          </w:p>
        </w:tc>
        <w:tc>
          <w:tcPr>
            <w:tcW w:w="3560" w:type="dxa"/>
            <w:vAlign w:val="bottom"/>
            <w:tcBorders>
              <w:right w:val="single" w:sz="8" w:color="auto"/>
            </w:tcBorders>
            <w:gridSpan w:val="2"/>
          </w:tcPr>
          <w:p>
            <w:pPr>
              <w:spacing w:after="0"/>
              <w:rPr>
                <w:sz w:val="14"/>
                <w:szCs w:val="14"/>
                <w:color w:val="auto"/>
              </w:rPr>
            </w:pPr>
          </w:p>
        </w:tc>
        <w:tc>
          <w:tcPr>
            <w:tcW w:w="580" w:type="dxa"/>
            <w:vAlign w:val="bottom"/>
          </w:tcPr>
          <w:p>
            <w:pPr>
              <w:spacing w:after="0"/>
              <w:rPr>
                <w:sz w:val="14"/>
                <w:szCs w:val="14"/>
                <w:color w:val="auto"/>
              </w:rPr>
            </w:pPr>
          </w:p>
        </w:tc>
        <w:tc>
          <w:tcPr>
            <w:tcW w:w="18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220" w:type="dxa"/>
            <w:vAlign w:val="bottom"/>
            <w:tcBorders>
              <w:right w:val="single" w:sz="8" w:color="auto"/>
            </w:tcBorders>
          </w:tcPr>
          <w:p>
            <w:pPr>
              <w:spacing w:after="0"/>
              <w:rPr>
                <w:sz w:val="14"/>
                <w:szCs w:val="14"/>
                <w:color w:val="auto"/>
              </w:rPr>
            </w:pPr>
          </w:p>
        </w:tc>
      </w:tr>
      <w:tr>
        <w:trPr>
          <w:trHeight w:val="250"/>
        </w:trPr>
        <w:tc>
          <w:tcPr>
            <w:tcW w:w="620" w:type="dxa"/>
            <w:vAlign w:val="bottom"/>
            <w:tcBorders>
              <w:left w:val="single" w:sz="8" w:color="auto"/>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top w:val="single" w:sz="8" w:color="0000FF"/>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74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220" w:type="dxa"/>
            <w:vAlign w:val="bottom"/>
            <w:tcBorders>
              <w:bottom w:val="single" w:sz="8" w:color="auto"/>
              <w:right w:val="single" w:sz="8" w:color="auto"/>
            </w:tcBorders>
          </w:tcPr>
          <w:p>
            <w:pPr>
              <w:spacing w:after="0"/>
              <w:rPr>
                <w:sz w:val="21"/>
                <w:szCs w:val="21"/>
                <w:color w:val="auto"/>
              </w:rPr>
            </w:pPr>
          </w:p>
        </w:tc>
      </w:tr>
      <w:tr>
        <w:trPr>
          <w:trHeight w:val="763"/>
        </w:trPr>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2019-12-08T13:54:41Z</dcterms:created>
  <dcterms:modified xsi:type="dcterms:W3CDTF">2019-12-08T13:54:41Z</dcterms:modified>
</cp:coreProperties>
</file>