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40"/>
        <w:spacing w:after="0"/>
        <w:rPr>
          <w:sz w:val="20"/>
          <w:szCs w:val="20"/>
          <w:color w:val="auto"/>
        </w:rPr>
      </w:pPr>
      <w:r>
        <w:rPr>
          <w:rFonts w:ascii="Arial" w:cs="Arial" w:eastAsia="Arial" w:hAnsi="Arial"/>
          <w:sz w:val="18"/>
          <w:szCs w:val="18"/>
          <w:b w:val="1"/>
          <w:bCs w:val="1"/>
          <w:color w:val="auto"/>
        </w:rPr>
        <w:t>As filed with the Securities and Exchange Commission on August 24, 2018</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5715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57150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99" w:lineRule="exact"/>
        <w:rPr>
          <w:sz w:val="24"/>
          <w:szCs w:val="24"/>
          <w:color w:val="auto"/>
        </w:rPr>
      </w:pPr>
    </w:p>
    <w:p>
      <w:pPr>
        <w:jc w:val="center"/>
        <w:ind w:right="32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20"/>
        <w:spacing w:after="0" w:line="235"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290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5"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FORM F-3</w:t>
      </w:r>
    </w:p>
    <w:p>
      <w:pPr>
        <w:spacing w:after="0" w:line="27"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9" w:lineRule="exact"/>
        <w:rPr>
          <w:sz w:val="24"/>
          <w:szCs w:val="24"/>
          <w:color w:val="auto"/>
        </w:rPr>
      </w:pPr>
    </w:p>
    <w:p>
      <w:pPr>
        <w:ind w:left="290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184" w:lineRule="exact"/>
        <w:rPr>
          <w:sz w:val="24"/>
          <w:szCs w:val="24"/>
          <w:color w:val="auto"/>
        </w:rPr>
      </w:pPr>
    </w:p>
    <w:p>
      <w:pPr>
        <w:jc w:val="center"/>
        <w:ind w:right="320"/>
        <w:spacing w:after="0"/>
        <w:rPr>
          <w:sz w:val="20"/>
          <w:szCs w:val="20"/>
          <w:color w:val="auto"/>
        </w:rPr>
      </w:pPr>
      <w:r>
        <w:rPr>
          <w:rFonts w:ascii="Arial" w:cs="Arial" w:eastAsia="Arial" w:hAnsi="Arial"/>
          <w:sz w:val="32"/>
          <w:szCs w:val="32"/>
          <w:b w:val="1"/>
          <w:bCs w:val="1"/>
          <w:color w:val="auto"/>
        </w:rPr>
        <w:t>AC IMMUNE SA</w:t>
      </w:r>
    </w:p>
    <w:p>
      <w:pPr>
        <w:spacing w:after="0" w:line="40"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2900"/>
        <w:spacing w:after="0"/>
        <w:rPr>
          <w:sz w:val="20"/>
          <w:szCs w:val="20"/>
          <w:color w:val="auto"/>
        </w:rPr>
      </w:pPr>
      <w:r>
        <w:rPr>
          <w:rFonts w:ascii="Arial" w:cs="Arial" w:eastAsia="Arial" w:hAnsi="Arial"/>
          <w:sz w:val="18"/>
          <w:szCs w:val="18"/>
          <w:b w:val="1"/>
          <w:bCs w:val="1"/>
          <w:color w:val="auto"/>
        </w:rPr>
        <w:t>_______________________________________________________</w:t>
      </w:r>
    </w:p>
    <w:p>
      <w:pPr>
        <w:sectPr>
          <w:pgSz w:w="11900" w:h="16838" w:orient="portrait"/>
          <w:cols w:equalWidth="0" w:num="1">
            <w:col w:w="11080"/>
          </w:cols>
          <w:pgMar w:left="580" w:top="229" w:right="239" w:bottom="1440" w:gutter="0" w:footer="0" w:header="0"/>
        </w:sectPr>
      </w:pPr>
    </w:p>
    <w:p>
      <w:pPr>
        <w:spacing w:after="0" w:line="207" w:lineRule="exact"/>
        <w:rPr>
          <w:sz w:val="24"/>
          <w:szCs w:val="24"/>
          <w:color w:val="auto"/>
        </w:rPr>
      </w:pPr>
    </w:p>
    <w:p>
      <w:pPr>
        <w:jc w:val="center"/>
        <w:ind w:right="1800"/>
        <w:spacing w:after="0"/>
        <w:rPr>
          <w:sz w:val="20"/>
          <w:szCs w:val="20"/>
          <w:color w:val="auto"/>
        </w:rPr>
      </w:pPr>
      <w:r>
        <w:rPr>
          <w:rFonts w:ascii="Arial" w:cs="Arial" w:eastAsia="Arial" w:hAnsi="Arial"/>
          <w:sz w:val="18"/>
          <w:szCs w:val="18"/>
          <w:b w:val="1"/>
          <w:bCs w:val="1"/>
          <w:color w:val="auto"/>
        </w:rPr>
        <w:t>Switzerland</w:t>
      </w:r>
    </w:p>
    <w:p>
      <w:pPr>
        <w:spacing w:after="0" w:line="27"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Arial" w:cs="Arial" w:eastAsia="Arial" w:hAnsi="Arial"/>
          <w:sz w:val="17"/>
          <w:szCs w:val="17"/>
          <w:b w:val="1"/>
          <w:bCs w:val="1"/>
          <w:color w:val="auto"/>
        </w:rPr>
        <w:t>Not Applicable</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(I.R.S. Employer</w:t>
      </w:r>
    </w:p>
    <w:p>
      <w:pPr>
        <w:spacing w:after="0" w:line="32" w:lineRule="exact"/>
        <w:rPr>
          <w:sz w:val="24"/>
          <w:szCs w:val="24"/>
          <w:color w:val="auto"/>
        </w:rPr>
      </w:pPr>
    </w:p>
    <w:p>
      <w:pPr>
        <w:sectPr>
          <w:pgSz w:w="11900" w:h="16838" w:orient="portrait"/>
          <w:cols w:equalWidth="0" w:num="2">
            <w:col w:w="6840" w:space="720"/>
            <w:col w:w="3520"/>
          </w:cols>
          <w:pgMar w:left="580" w:top="229" w:right="239" w:bottom="1440" w:gutter="0" w:footer="0" w:header="0"/>
          <w:type w:val="continuous"/>
        </w:sectPr>
      </w:pPr>
    </w:p>
    <w:p>
      <w:pPr>
        <w:ind w:left="7340"/>
        <w:spacing w:after="0"/>
        <w:rPr>
          <w:sz w:val="20"/>
          <w:szCs w:val="20"/>
          <w:color w:val="auto"/>
        </w:rPr>
      </w:pPr>
      <w:r>
        <w:rPr>
          <w:rFonts w:ascii="Arial" w:cs="Arial" w:eastAsia="Arial" w:hAnsi="Arial"/>
          <w:sz w:val="18"/>
          <w:szCs w:val="18"/>
          <w:b w:val="1"/>
          <w:bCs w:val="1"/>
          <w:color w:val="auto"/>
        </w:rPr>
        <w:t>Identification Number)</w:t>
      </w:r>
    </w:p>
    <w:p>
      <w:pPr>
        <w:spacing w:after="0" w:line="207"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(Address and Telephone Number of Registrant’s Principal Executive Offices)</w:t>
      </w:r>
    </w:p>
    <w:p>
      <w:pPr>
        <w:spacing w:after="0" w:line="9" w:lineRule="exact"/>
        <w:rPr>
          <w:sz w:val="24"/>
          <w:szCs w:val="24"/>
          <w:color w:val="auto"/>
        </w:rPr>
      </w:pPr>
    </w:p>
    <w:p>
      <w:pPr>
        <w:ind w:left="290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7"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10 East 40th Street, 10th Floor</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New York, New York 10016</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(800) 221-0102</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(Name, Address, and Telephone Number of Agent For Service)</w:t>
      </w:r>
    </w:p>
    <w:p>
      <w:pPr>
        <w:spacing w:after="0" w:line="9" w:lineRule="exact"/>
        <w:rPr>
          <w:sz w:val="24"/>
          <w:szCs w:val="24"/>
          <w:color w:val="auto"/>
        </w:rPr>
      </w:pPr>
    </w:p>
    <w:p>
      <w:pPr>
        <w:ind w:left="290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11"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Derek J. Dostal</w:t>
      </w:r>
    </w:p>
    <w:p>
      <w:pPr>
        <w:spacing w:after="0" w:line="27"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Richard D. Truesdell, Jr.</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ind w:left="5240" w:hanging="428"/>
        <w:spacing w:after="0"/>
        <w:tabs>
          <w:tab w:leader="none" w:pos="52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450-4000</w:t>
      </w:r>
    </w:p>
    <w:p>
      <w:pPr>
        <w:spacing w:after="0" w:line="9" w:lineRule="exact"/>
        <w:rPr>
          <w:rFonts w:ascii="Arial" w:cs="Arial" w:eastAsia="Arial" w:hAnsi="Arial"/>
          <w:sz w:val="18"/>
          <w:szCs w:val="18"/>
          <w:b w:val="1"/>
          <w:bCs w:val="1"/>
          <w:color w:val="auto"/>
        </w:rPr>
      </w:pPr>
    </w:p>
    <w:p>
      <w:pPr>
        <w:ind w:left="29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_______________________________________________________</w:t>
      </w: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From time to time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392430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229" w:right="239" w:bottom="1440" w:gutter="0" w:footer="0" w:header="0"/>
          <w:type w:val="continuous"/>
        </w:sectPr>
      </w:pPr>
    </w:p>
    <w:bookmarkStart w:id="1" w:name="page2"/>
    <w:bookmarkEnd w:id="1"/>
    <w:p>
      <w:pPr>
        <w:ind w:left="34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w:t>
      </w:r>
    </w:p>
    <w:p>
      <w:pPr>
        <w:spacing w:after="0" w:line="4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43" w:lineRule="exact"/>
        <w:rPr>
          <w:sz w:val="20"/>
          <w:szCs w:val="20"/>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160" w:firstLine="324"/>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38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140" w:firstLine="324"/>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30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193" w:lineRule="exact"/>
        <w:rPr>
          <w:sz w:val="20"/>
          <w:szCs w:val="20"/>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0"/>
          <w:szCs w:val="20"/>
          <w:color w:val="auto"/>
        </w:rPr>
      </w:pPr>
    </w:p>
    <w:p>
      <w:pPr>
        <w:ind w:right="80" w:firstLine="324"/>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7(a)(2)(B) of the Securities Act. </w:t>
      </w:r>
      <w:r>
        <w:rPr>
          <w:rFonts w:ascii="MS PGothic" w:cs="MS PGothic" w:eastAsia="MS PGothic" w:hAnsi="MS PGothic"/>
          <w:sz w:val="18"/>
          <w:szCs w:val="18"/>
          <w:color w:val="auto"/>
        </w:rPr>
        <w:t>☐</w:t>
      </w:r>
    </w:p>
    <w:p>
      <w:pPr>
        <w:spacing w:after="0" w:line="184" w:lineRule="exact"/>
        <w:rPr>
          <w:sz w:val="20"/>
          <w:szCs w:val="20"/>
          <w:color w:val="auto"/>
        </w:rPr>
      </w:pPr>
    </w:p>
    <w:p>
      <w:pPr>
        <w:ind w:right="240" w:firstLine="377"/>
        <w:spacing w:after="0" w:line="258" w:lineRule="auto"/>
        <w:tabs>
          <w:tab w:leader="none" w:pos="50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58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r>
      <w:tr>
        <w:trPr>
          <w:trHeight w:val="178"/>
        </w:trPr>
        <w:tc>
          <w:tcPr>
            <w:tcW w:w="45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2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86"/>
              </w:rPr>
              <w:t>Proposed</w:t>
            </w:r>
          </w:p>
        </w:tc>
        <w:tc>
          <w:tcPr>
            <w:tcW w:w="17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16"/>
        </w:trPr>
        <w:tc>
          <w:tcPr>
            <w:tcW w:w="4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2"/>
              </w:rPr>
              <w:t>Maximum Aggregate</w:t>
            </w:r>
          </w:p>
        </w:tc>
        <w:tc>
          <w:tcPr>
            <w:tcW w:w="17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Proposed</w:t>
            </w:r>
          </w:p>
        </w:tc>
        <w:tc>
          <w:tcPr>
            <w:tcW w:w="1620" w:type="dxa"/>
            <w:vAlign w:val="bottom"/>
          </w:tcPr>
          <w:p>
            <w:pPr>
              <w:spacing w:after="0"/>
              <w:rPr>
                <w:sz w:val="18"/>
                <w:szCs w:val="18"/>
                <w:color w:val="auto"/>
              </w:rPr>
            </w:pPr>
          </w:p>
        </w:tc>
      </w:tr>
      <w:tr>
        <w:trPr>
          <w:trHeight w:val="216"/>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0"/>
              </w:rPr>
              <w:t>Title of Each Class of</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1"/>
              </w:rPr>
              <w:t>Price per Common</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1"/>
              </w:rPr>
              <w:t>Maximum Aggregate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41"/>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Securities to be Registered</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 be Registered</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 (1)</w:t>
            </w:r>
          </w:p>
        </w:tc>
        <w:tc>
          <w:tcPr>
            <w:tcW w:w="1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Offering Price (1)</w:t>
            </w:r>
          </w:p>
        </w:tc>
        <w:tc>
          <w:tcPr>
            <w:tcW w:w="16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Registration Fee</w:t>
            </w:r>
          </w:p>
        </w:tc>
      </w:tr>
      <w:tr>
        <w:trPr>
          <w:trHeight w:val="216"/>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Shares, par value CHF 0.02 per share (2)</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18,041,000</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$8.59</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$154,972,190</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$19,294.04</w:t>
            </w:r>
          </w:p>
        </w:tc>
      </w:tr>
      <w:tr>
        <w:trPr>
          <w:trHeight w:val="211"/>
        </w:trPr>
        <w:tc>
          <w:tcPr>
            <w:tcW w:w="4580" w:type="dxa"/>
            <w:vAlign w:val="bottom"/>
          </w:tcPr>
          <w:p>
            <w:pPr>
              <w:spacing w:after="0"/>
              <w:rPr>
                <w:sz w:val="20"/>
                <w:szCs w:val="20"/>
                <w:color w:val="auto"/>
              </w:rPr>
            </w:pPr>
            <w:r>
              <w:rPr>
                <w:rFonts w:ascii="Arial" w:cs="Arial" w:eastAsia="Arial" w:hAnsi="Arial"/>
                <w:sz w:val="18"/>
                <w:szCs w:val="18"/>
                <w:color w:val="auto"/>
              </w:rPr>
              <w:t>__________________________</w:t>
            </w:r>
          </w:p>
        </w:tc>
        <w:tc>
          <w:tcPr>
            <w:tcW w:w="1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20" w:type="dxa"/>
            <w:vAlign w:val="bottom"/>
          </w:tcPr>
          <w:p>
            <w:pPr>
              <w:spacing w:after="0"/>
              <w:rPr>
                <w:sz w:val="18"/>
                <w:szCs w:val="18"/>
                <w:color w:val="auto"/>
              </w:rPr>
            </w:pPr>
          </w:p>
        </w:tc>
      </w:tr>
    </w:tbl>
    <w:p>
      <w:pPr>
        <w:jc w:val="both"/>
        <w:ind w:left="380" w:right="520" w:hanging="331"/>
        <w:spacing w:after="0" w:line="321"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Estimated solely for the purposes of calculating the registration fee. Pursuant to Rule 457(c) under the Securities Act, the registration fee has been calculated based on the average of the high and low prices, as reported by the Nasdaq Global Market, for our common shares on August 21, 2018.</w:t>
      </w:r>
    </w:p>
    <w:p>
      <w:pPr>
        <w:spacing w:after="0" w:line="140" w:lineRule="exact"/>
        <w:rPr>
          <w:rFonts w:ascii="Arial" w:cs="Arial" w:eastAsia="Arial" w:hAnsi="Arial"/>
          <w:sz w:val="16"/>
          <w:szCs w:val="16"/>
          <w:color w:val="auto"/>
        </w:rPr>
      </w:pPr>
    </w:p>
    <w:p>
      <w:pPr>
        <w:ind w:left="380" w:hanging="331"/>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the common shares being registered hereby are offered for the account of the selling shareholder identified in the prospectus forming part of this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registration statement.</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p>
      <w:pPr>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734695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3" w:name="page4"/>
    <w:bookmarkEnd w:id="3"/>
    <w:p>
      <w:pPr>
        <w:ind w:right="280"/>
        <w:spacing w:after="0" w:line="261" w:lineRule="auto"/>
        <w:rPr>
          <w:sz w:val="20"/>
          <w:szCs w:val="20"/>
          <w:color w:val="auto"/>
        </w:rPr>
      </w:pPr>
      <w:r>
        <w:rPr>
          <w:rFonts w:ascii="Arial" w:cs="Arial" w:eastAsia="Arial" w:hAnsi="Arial"/>
          <w:sz w:val="17"/>
          <w:szCs w:val="17"/>
          <w:color w:val="FF0000"/>
        </w:rPr>
        <w:t>The information in this prospectus is not complete and may be changed. The selling shareholder may not sell these securities until the registration statement filed with the Securities and Exchange Commission is effective. This prospectus is not an offer to sell these securities, and the selling shareholder is not soliciting an offer to buy these securities in any jurisdiction where the offer or sale is not permitted.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August 24,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18,041,000 Common Shares Offered by the Selling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158115</wp:posOffset>
            </wp:positionV>
            <wp:extent cx="2152650" cy="677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265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40"/>
        <w:spacing w:after="0"/>
        <w:rPr>
          <w:sz w:val="20"/>
          <w:szCs w:val="20"/>
          <w:color w:val="auto"/>
        </w:rPr>
      </w:pPr>
      <w:r>
        <w:rPr>
          <w:rFonts w:ascii="Arial" w:cs="Arial" w:eastAsia="Arial" w:hAnsi="Arial"/>
          <w:sz w:val="32"/>
          <w:szCs w:val="32"/>
          <w:b w:val="1"/>
          <w:bCs w:val="1"/>
          <w:color w:val="auto"/>
        </w:rPr>
        <w:t>AC IMMUNE SA</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in Switzerland)</w:t>
      </w:r>
    </w:p>
    <w:p>
      <w:pPr>
        <w:spacing w:after="0" w:line="209"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The selling shareholder may offer and sell up to 18,041,000 common shares. This prospectus describes the general terms of these securities and the general manner in which these securities will be offered. Depending on the method of distribution, a prospectus supplement may be required in connection with certain sales by the selling shareholder. You should read this prospectus and any applicable prospectus supplement before you invest.</w:t>
      </w:r>
    </w:p>
    <w:p>
      <w:pPr>
        <w:spacing w:after="0" w:line="14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securities covered by this prospectus may be offered to or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26.</w:t>
      </w:r>
    </w:p>
    <w:p>
      <w:pPr>
        <w:spacing w:after="0" w:line="181"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Our common shares are listed on the NASDAQ Global Market under the symbol “ACIU.” On August 22, 2018, the last sale price of our common shares as reported by the NASDAQ Global Market was $8.84 per common share. As of August 22, 2018, the aggregate market value of our outstanding common shares held by non-affiliates was approximately $291,278,248 based on approximately 67,452,253 shares of outstanding common shares, of which approximately 32,950,028 shares were held by non-affiliates. We have not offered any securities pursuant to General Instruction I.B.5 of Form F-3 during the prior 12 calendar month period that ends on, and includes, the date of this prospectus.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4 of this prospectus.</w:t>
      </w:r>
    </w:p>
    <w:p>
      <w:pPr>
        <w:spacing w:after="0" w:line="225" w:lineRule="exact"/>
        <w:rPr>
          <w:sz w:val="20"/>
          <w:szCs w:val="20"/>
          <w:color w:val="auto"/>
        </w:rPr>
      </w:pPr>
    </w:p>
    <w:p>
      <w:pPr>
        <w:ind w:right="280" w:firstLine="324"/>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ind w:left="4200"/>
              <w:spacing w:after="0"/>
              <w:rPr>
                <w:sz w:val="20"/>
                <w:szCs w:val="20"/>
                <w:color w:val="auto"/>
              </w:rPr>
            </w:pPr>
            <w:r>
              <w:rPr>
                <w:rFonts w:ascii="Arial" w:cs="Arial" w:eastAsia="Arial" w:hAnsi="Arial"/>
                <w:sz w:val="18"/>
                <w:szCs w:val="18"/>
                <w:b w:val="1"/>
                <w:bCs w:val="1"/>
                <w:color w:val="auto"/>
                <w:w w:val="92"/>
              </w:rPr>
              <w:t>The date of this prospectus is</w:t>
            </w:r>
          </w:p>
        </w:tc>
        <w:tc>
          <w:tcPr>
            <w:tcW w:w="4840" w:type="dxa"/>
            <w:vAlign w:val="bottom"/>
          </w:tcPr>
          <w:p>
            <w:pPr>
              <w:jc w:val="right"/>
              <w:ind w:right="4090"/>
              <w:spacing w:after="0"/>
              <w:rPr>
                <w:sz w:val="20"/>
                <w:szCs w:val="20"/>
                <w:color w:val="auto"/>
              </w:rPr>
            </w:pPr>
            <w:r>
              <w:rPr>
                <w:rFonts w:ascii="Arial" w:cs="Arial" w:eastAsia="Arial" w:hAnsi="Arial"/>
                <w:sz w:val="18"/>
                <w:szCs w:val="18"/>
                <w:b w:val="1"/>
                <w:bCs w:val="1"/>
                <w:color w:val="auto"/>
              </w:rPr>
              <w:t>, 2018.</w:t>
            </w:r>
          </w:p>
        </w:tc>
      </w:tr>
      <w:tr>
        <w:trPr>
          <w:trHeight w:val="567"/>
        </w:trPr>
        <w:tc>
          <w:tcPr>
            <w:tcW w:w="65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98" w:right="239" w:bottom="1440" w:gutter="0" w:footer="0" w:header="0"/>
        </w:sectPr>
      </w:pPr>
    </w:p>
    <w:bookmarkStart w:id="4" w:name="page5"/>
    <w:bookmarkEnd w:id="4"/>
    <w:p>
      <w:pPr>
        <w:ind w:right="20"/>
        <w:spacing w:after="0" w:line="297" w:lineRule="auto"/>
        <w:rPr>
          <w:sz w:val="20"/>
          <w:szCs w:val="20"/>
          <w:color w:val="auto"/>
        </w:rPr>
      </w:pPr>
      <w:r>
        <w:rPr>
          <w:rFonts w:ascii="Arial" w:cs="Arial" w:eastAsia="Arial" w:hAnsi="Arial"/>
          <w:sz w:val="16"/>
          <w:szCs w:val="16"/>
          <w:color w:val="auto"/>
        </w:rPr>
        <w:t>The selling shareholder has not authorized anyone to provide you with information different or additional to the information contained in or incorporated by reference in this prospectus or any related prospectus supplement the selling shareholder provides to you. The selling shareholder is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“AC Immune,” “the Company,” “our company,” “we,” “us,” “our” or similar terms refer to AC Immune SA.</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40" w:type="dxa"/>
            <w:vAlign w:val="bottom"/>
          </w:tcPr>
          <w:p>
            <w:pPr>
              <w:ind w:left="680"/>
              <w:spacing w:after="0"/>
              <w:rPr>
                <w:sz w:val="20"/>
                <w:szCs w:val="20"/>
                <w:color w:val="auto"/>
              </w:rPr>
            </w:pPr>
            <w:r>
              <w:rPr>
                <w:rFonts w:ascii="Arial" w:cs="Arial" w:eastAsia="Arial" w:hAnsi="Arial"/>
                <w:sz w:val="18"/>
                <w:szCs w:val="18"/>
                <w:b w:val="1"/>
                <w:bCs w:val="1"/>
                <w:color w:val="auto"/>
              </w:rPr>
              <w:t>TABLE OF CONTENTS</w:t>
            </w: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81"/>
        </w:trPr>
        <w:tc>
          <w:tcPr>
            <w:tcW w:w="9220" w:type="dxa"/>
            <w:vAlign w:val="bottom"/>
            <w:gridSpan w:val="18"/>
          </w:tcPr>
          <w:p>
            <w:pPr>
              <w:ind w:left="4040"/>
              <w:spacing w:after="0"/>
              <w:rPr>
                <w:sz w:val="20"/>
                <w:szCs w:val="20"/>
                <w:color w:val="auto"/>
              </w:rPr>
            </w:pPr>
            <w:r>
              <w:rPr>
                <w:rFonts w:ascii="Arial" w:cs="Arial" w:eastAsia="Arial" w:hAnsi="Arial"/>
                <w:sz w:val="22"/>
                <w:szCs w:val="22"/>
                <w:b w:val="1"/>
                <w:bCs w:val="1"/>
                <w:color w:val="auto"/>
              </w:rPr>
              <w:t>_______________________________</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9"/>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200" w:type="dxa"/>
            <w:vAlign w:val="bottom"/>
            <w:gridSpan w:val="5"/>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412"/>
        </w:trPr>
        <w:tc>
          <w:tcPr>
            <w:tcW w:w="922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1860" w:type="dxa"/>
            <w:vAlign w:val="bottom"/>
          </w:tcPr>
          <w:p>
            <w:pPr>
              <w:spacing w:after="0"/>
              <w:rPr>
                <w:sz w:val="24"/>
                <w:szCs w:val="24"/>
                <w:color w:val="auto"/>
              </w:rPr>
            </w:pPr>
          </w:p>
        </w:tc>
        <w:tc>
          <w:tcPr>
            <w:tcW w:w="340" w:type="dxa"/>
            <w:vAlign w:val="bottom"/>
            <w:tcBorders>
              <w:top w:val="single" w:sz="8" w:color="auto"/>
            </w:tcBorders>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2880" w:type="dxa"/>
            <w:vAlign w:val="bottom"/>
            <w:gridSpan w:val="12"/>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Where You Can Find More Information</w:t>
              </w:r>
            </w:hyperlink>
          </w:p>
        </w:tc>
        <w:tc>
          <w:tcPr>
            <w:tcW w:w="6340" w:type="dxa"/>
            <w:vAlign w:val="bottom"/>
            <w:gridSpan w:val="6"/>
          </w:tcPr>
          <w:p>
            <w:pPr>
              <w:spacing w:after="0"/>
              <w:rPr>
                <w:sz w:val="24"/>
                <w:szCs w:val="24"/>
                <w:color w:val="auto"/>
              </w:rPr>
            </w:pPr>
          </w:p>
        </w:tc>
        <w:tc>
          <w:tcPr>
            <w:tcW w:w="2200" w:type="dxa"/>
            <w:vAlign w:val="bottom"/>
            <w:gridSpan w:val="5"/>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922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Special Note Regarding Forward-Looking Statements</w:t>
              </w:r>
            </w:hyperlink>
          </w:p>
        </w:tc>
        <w:tc>
          <w:tcPr>
            <w:tcW w:w="2200" w:type="dxa"/>
            <w:vAlign w:val="bottom"/>
            <w:gridSpan w:val="5"/>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1180" w:type="dxa"/>
            <w:vAlign w:val="bottom"/>
            <w:gridSpan w:val="7"/>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AC Immune SA</w:t>
              </w:r>
            </w:hyperlink>
          </w:p>
        </w:tc>
        <w:tc>
          <w:tcPr>
            <w:tcW w:w="2700" w:type="dxa"/>
            <w:vAlign w:val="bottom"/>
            <w:gridSpan w:val="9"/>
          </w:tcPr>
          <w:p>
            <w:pPr>
              <w:spacing w:after="0"/>
              <w:rPr>
                <w:sz w:val="24"/>
                <w:szCs w:val="24"/>
                <w:color w:val="auto"/>
              </w:rPr>
            </w:pPr>
          </w:p>
        </w:tc>
        <w:tc>
          <w:tcPr>
            <w:tcW w:w="5340" w:type="dxa"/>
            <w:vAlign w:val="bottom"/>
            <w:gridSpan w:val="2"/>
          </w:tcPr>
          <w:p>
            <w:pPr>
              <w:spacing w:after="0"/>
              <w:rPr>
                <w:sz w:val="24"/>
                <w:szCs w:val="24"/>
                <w:color w:val="auto"/>
              </w:rPr>
            </w:pPr>
          </w:p>
        </w:tc>
        <w:tc>
          <w:tcPr>
            <w:tcW w:w="2200" w:type="dxa"/>
            <w:vAlign w:val="bottom"/>
            <w:gridSpan w:val="5"/>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4</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920" w:type="dxa"/>
            <w:vAlign w:val="bottom"/>
            <w:gridSpan w:val="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Risk Factors</w:t>
              </w:r>
            </w:hyperlink>
          </w:p>
        </w:tc>
        <w:tc>
          <w:tcPr>
            <w:tcW w:w="260" w:type="dxa"/>
            <w:vAlign w:val="bottom"/>
            <w:gridSpan w:val="3"/>
          </w:tcPr>
          <w:p>
            <w:pPr>
              <w:spacing w:after="0"/>
              <w:rPr>
                <w:sz w:val="24"/>
                <w:szCs w:val="24"/>
                <w:color w:val="auto"/>
              </w:rPr>
            </w:pPr>
          </w:p>
        </w:tc>
        <w:tc>
          <w:tcPr>
            <w:tcW w:w="8040" w:type="dxa"/>
            <w:vAlign w:val="bottom"/>
            <w:gridSpan w:val="11"/>
          </w:tcPr>
          <w:p>
            <w:pPr>
              <w:spacing w:after="0"/>
              <w:rPr>
                <w:sz w:val="24"/>
                <w:szCs w:val="24"/>
                <w:color w:val="auto"/>
              </w:rPr>
            </w:pPr>
          </w:p>
        </w:tc>
        <w:tc>
          <w:tcPr>
            <w:tcW w:w="2200" w:type="dxa"/>
            <w:vAlign w:val="bottom"/>
            <w:gridSpan w:val="5"/>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4</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922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Ratio of Earnings to Fixed Charges</w:t>
              </w:r>
            </w:hyperlink>
          </w:p>
        </w:tc>
        <w:tc>
          <w:tcPr>
            <w:tcW w:w="2200" w:type="dxa"/>
            <w:vAlign w:val="bottom"/>
            <w:gridSpan w:val="5"/>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5</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1180" w:type="dxa"/>
            <w:vAlign w:val="bottom"/>
            <w:gridSpan w:val="7"/>
          </w:tcPr>
          <w:p>
            <w:pPr>
              <w:spacing w:after="0"/>
              <w:rPr>
                <w:rFonts w:ascii="Arial" w:cs="Arial" w:eastAsia="Arial" w:hAnsi="Arial"/>
                <w:sz w:val="18"/>
                <w:szCs w:val="18"/>
                <w:color w:val="0000EE"/>
                <w:w w:val="85"/>
              </w:rPr>
            </w:pPr>
            <w:hyperlink w:anchor="page10">
              <w:r>
                <w:rPr>
                  <w:rFonts w:ascii="Arial" w:cs="Arial" w:eastAsia="Arial" w:hAnsi="Arial"/>
                  <w:sz w:val="18"/>
                  <w:szCs w:val="18"/>
                  <w:color w:val="0000EE"/>
                  <w:w w:val="85"/>
                </w:rPr>
                <w:t>Use of Proceeds</w:t>
              </w:r>
            </w:hyperlink>
          </w:p>
        </w:tc>
        <w:tc>
          <w:tcPr>
            <w:tcW w:w="1360" w:type="dxa"/>
            <w:vAlign w:val="bottom"/>
            <w:gridSpan w:val="4"/>
          </w:tcPr>
          <w:p>
            <w:pPr>
              <w:spacing w:after="0"/>
              <w:rPr>
                <w:sz w:val="24"/>
                <w:szCs w:val="24"/>
                <w:color w:val="auto"/>
              </w:rPr>
            </w:pPr>
          </w:p>
        </w:tc>
        <w:tc>
          <w:tcPr>
            <w:tcW w:w="6680" w:type="dxa"/>
            <w:vAlign w:val="bottom"/>
            <w:gridSpan w:val="7"/>
          </w:tcPr>
          <w:p>
            <w:pPr>
              <w:spacing w:after="0"/>
              <w:rPr>
                <w:sz w:val="24"/>
                <w:szCs w:val="24"/>
                <w:color w:val="auto"/>
              </w:rPr>
            </w:pPr>
          </w:p>
        </w:tc>
        <w:tc>
          <w:tcPr>
            <w:tcW w:w="2200" w:type="dxa"/>
            <w:vAlign w:val="bottom"/>
            <w:gridSpan w:val="5"/>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6</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4080" w:type="dxa"/>
            <w:vAlign w:val="bottom"/>
            <w:gridSpan w:val="17"/>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Description of Share Capital and Articles of Association</w:t>
              </w:r>
            </w:hyperlink>
          </w:p>
        </w:tc>
        <w:tc>
          <w:tcPr>
            <w:tcW w:w="5140" w:type="dxa"/>
            <w:vAlign w:val="bottom"/>
          </w:tcPr>
          <w:p>
            <w:pPr>
              <w:spacing w:after="0"/>
              <w:rPr>
                <w:sz w:val="24"/>
                <w:szCs w:val="24"/>
                <w:color w:val="auto"/>
              </w:rPr>
            </w:pPr>
          </w:p>
        </w:tc>
        <w:tc>
          <w:tcPr>
            <w:tcW w:w="2200" w:type="dxa"/>
            <w:vAlign w:val="bottom"/>
            <w:gridSpan w:val="5"/>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77"/>
        </w:trPr>
        <w:tc>
          <w:tcPr>
            <w:tcW w:w="332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Comparison of Swiss Law and Delaware Law</w:t>
              </w:r>
            </w:hyperlink>
          </w:p>
        </w:tc>
        <w:tc>
          <w:tcPr>
            <w:tcW w:w="760" w:type="dxa"/>
            <w:vAlign w:val="bottom"/>
            <w:gridSpan w:val="3"/>
          </w:tcPr>
          <w:p>
            <w:pPr>
              <w:spacing w:after="0"/>
              <w:rPr>
                <w:sz w:val="24"/>
                <w:szCs w:val="24"/>
                <w:color w:val="auto"/>
              </w:rPr>
            </w:pPr>
          </w:p>
        </w:tc>
        <w:tc>
          <w:tcPr>
            <w:tcW w:w="5140" w:type="dxa"/>
            <w:vAlign w:val="bottom"/>
          </w:tcPr>
          <w:p>
            <w:pPr>
              <w:spacing w:after="0"/>
              <w:rPr>
                <w:sz w:val="24"/>
                <w:szCs w:val="24"/>
                <w:color w:val="auto"/>
              </w:rPr>
            </w:pPr>
          </w:p>
        </w:tc>
        <w:tc>
          <w:tcPr>
            <w:tcW w:w="202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18</w:t>
              </w:r>
            </w:hyperlink>
          </w:p>
        </w:tc>
      </w:tr>
      <w:tr>
        <w:trPr>
          <w:trHeight w:val="277"/>
        </w:trPr>
        <w:tc>
          <w:tcPr>
            <w:tcW w:w="14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30">
              <w:r>
                <w:rPr>
                  <w:rFonts w:ascii="Arial" w:cs="Arial" w:eastAsia="Arial" w:hAnsi="Arial"/>
                  <w:sz w:val="18"/>
                  <w:szCs w:val="18"/>
                  <w:color w:val="0000EE"/>
                  <w:w w:val="93"/>
                </w:rPr>
                <w:t>Plan of Distribution</w:t>
              </w:r>
            </w:hyperlink>
          </w:p>
        </w:tc>
        <w:tc>
          <w:tcPr>
            <w:tcW w:w="7780" w:type="dxa"/>
            <w:vAlign w:val="bottom"/>
            <w:gridSpan w:val="10"/>
          </w:tcPr>
          <w:p>
            <w:pPr>
              <w:spacing w:after="0"/>
              <w:rPr>
                <w:sz w:val="24"/>
                <w:szCs w:val="24"/>
                <w:color w:val="auto"/>
              </w:rPr>
            </w:pPr>
          </w:p>
        </w:tc>
        <w:tc>
          <w:tcPr>
            <w:tcW w:w="202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26</w:t>
              </w:r>
            </w:hyperlink>
          </w:p>
        </w:tc>
      </w:tr>
      <w:tr>
        <w:trPr>
          <w:trHeight w:val="277"/>
        </w:trPr>
        <w:tc>
          <w:tcPr>
            <w:tcW w:w="370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Incorporation of Certain Information By Reference</w:t>
              </w:r>
            </w:hyperlink>
          </w:p>
        </w:tc>
        <w:tc>
          <w:tcPr>
            <w:tcW w:w="5520" w:type="dxa"/>
            <w:vAlign w:val="bottom"/>
            <w:gridSpan w:val="3"/>
          </w:tcPr>
          <w:p>
            <w:pPr>
              <w:spacing w:after="0"/>
              <w:rPr>
                <w:sz w:val="24"/>
                <w:szCs w:val="24"/>
                <w:color w:val="auto"/>
              </w:rPr>
            </w:pPr>
          </w:p>
        </w:tc>
        <w:tc>
          <w:tcPr>
            <w:tcW w:w="202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28</w:t>
              </w:r>
            </w:hyperlink>
          </w:p>
        </w:tc>
      </w:tr>
      <w:tr>
        <w:trPr>
          <w:trHeight w:val="277"/>
        </w:trPr>
        <w:tc>
          <w:tcPr>
            <w:tcW w:w="922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Enforcement of Judgments</w:t>
              </w:r>
            </w:hyperlink>
          </w:p>
        </w:tc>
        <w:tc>
          <w:tcPr>
            <w:tcW w:w="2200" w:type="dxa"/>
            <w:vAlign w:val="bottom"/>
            <w:gridSpan w:val="5"/>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r>
      <w:tr>
        <w:trPr>
          <w:trHeight w:val="277"/>
        </w:trPr>
        <w:tc>
          <w:tcPr>
            <w:tcW w:w="1940" w:type="dxa"/>
            <w:vAlign w:val="bottom"/>
            <w:tcBorders>
              <w:top w:val="single" w:sz="8" w:color="0000EE"/>
            </w:tcBorders>
            <w:gridSpan w:val="1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Expenses</w:t>
              </w:r>
            </w:hyperlink>
          </w:p>
        </w:tc>
        <w:tc>
          <w:tcPr>
            <w:tcW w:w="7280" w:type="dxa"/>
            <w:vAlign w:val="bottom"/>
            <w:gridSpan w:val="8"/>
          </w:tcPr>
          <w:p>
            <w:pPr>
              <w:spacing w:after="0"/>
              <w:rPr>
                <w:sz w:val="24"/>
                <w:szCs w:val="24"/>
                <w:color w:val="auto"/>
              </w:rPr>
            </w:pPr>
          </w:p>
        </w:tc>
        <w:tc>
          <w:tcPr>
            <w:tcW w:w="2020" w:type="dxa"/>
            <w:vAlign w:val="bottom"/>
            <w:gridSpan w:val="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29</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6220" w:type="dxa"/>
            <w:vAlign w:val="bottom"/>
            <w:gridSpan w:val="5"/>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10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3">
              <w:r>
                <w:rPr>
                  <w:rFonts w:ascii="Arial" w:cs="Arial" w:eastAsia="Arial" w:hAnsi="Arial"/>
                  <w:sz w:val="18"/>
                  <w:szCs w:val="18"/>
                  <w:color w:val="0000EE"/>
                  <w:w w:val="91"/>
                </w:rPr>
                <w:t>Legal Matters</w:t>
              </w:r>
            </w:hyperlink>
          </w:p>
        </w:tc>
        <w:tc>
          <w:tcPr>
            <w:tcW w:w="8200" w:type="dxa"/>
            <w:vAlign w:val="bottom"/>
            <w:gridSpan w:val="12"/>
          </w:tcPr>
          <w:p>
            <w:pPr>
              <w:spacing w:after="0"/>
              <w:rPr>
                <w:sz w:val="24"/>
                <w:szCs w:val="24"/>
                <w:color w:val="auto"/>
              </w:rPr>
            </w:pPr>
          </w:p>
        </w:tc>
        <w:tc>
          <w:tcPr>
            <w:tcW w:w="202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29</w:t>
              </w:r>
            </w:hyperlink>
          </w:p>
        </w:tc>
      </w:tr>
      <w:tr>
        <w:trPr>
          <w:trHeight w:val="277"/>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33">
              <w:r>
                <w:rPr>
                  <w:rFonts w:ascii="Arial" w:cs="Arial" w:eastAsia="Arial" w:hAnsi="Arial"/>
                  <w:sz w:val="18"/>
                  <w:szCs w:val="18"/>
                  <w:color w:val="0000EE"/>
                  <w:w w:val="88"/>
                </w:rPr>
                <w:t>Experts</w:t>
              </w:r>
            </w:hyperlink>
          </w:p>
        </w:tc>
        <w:tc>
          <w:tcPr>
            <w:tcW w:w="8660" w:type="dxa"/>
            <w:vAlign w:val="bottom"/>
            <w:gridSpan w:val="17"/>
          </w:tcPr>
          <w:p>
            <w:pPr>
              <w:spacing w:after="0"/>
              <w:rPr>
                <w:sz w:val="24"/>
                <w:szCs w:val="24"/>
                <w:color w:val="auto"/>
              </w:rPr>
            </w:pPr>
          </w:p>
        </w:tc>
        <w:tc>
          <w:tcPr>
            <w:tcW w:w="202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29</w:t>
              </w:r>
            </w:hyperlink>
          </w:p>
        </w:tc>
      </w:tr>
      <w:tr>
        <w:trPr>
          <w:trHeight w:val="277"/>
        </w:trPr>
        <w:tc>
          <w:tcPr>
            <w:tcW w:w="9220" w:type="dxa"/>
            <w:vAlign w:val="bottom"/>
            <w:gridSpan w:val="1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Indemnification of Officers and Directors</w:t>
              </w:r>
            </w:hyperlink>
          </w:p>
        </w:tc>
        <w:tc>
          <w:tcPr>
            <w:tcW w:w="1860" w:type="dxa"/>
            <w:vAlign w:val="bottom"/>
          </w:tcPr>
          <w:p>
            <w:pPr>
              <w:spacing w:after="0"/>
              <w:rPr>
                <w:sz w:val="24"/>
                <w:szCs w:val="24"/>
                <w:color w:val="auto"/>
              </w:rPr>
            </w:pPr>
          </w:p>
        </w:tc>
        <w:tc>
          <w:tcPr>
            <w:tcW w:w="34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II-1</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6220" w:type="dxa"/>
            <w:vAlign w:val="bottom"/>
            <w:gridSpan w:val="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77"/>
        </w:trPr>
        <w:tc>
          <w:tcPr>
            <w:tcW w:w="3000" w:type="dxa"/>
            <w:vAlign w:val="bottom"/>
            <w:gridSpan w:val="1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6220" w:type="dxa"/>
            <w:vAlign w:val="bottom"/>
            <w:gridSpan w:val="5"/>
          </w:tcPr>
          <w:p>
            <w:pPr>
              <w:spacing w:after="0"/>
              <w:rPr>
                <w:sz w:val="24"/>
                <w:szCs w:val="24"/>
                <w:color w:val="auto"/>
              </w:rPr>
            </w:pPr>
          </w:p>
        </w:tc>
        <w:tc>
          <w:tcPr>
            <w:tcW w:w="1860" w:type="dxa"/>
            <w:vAlign w:val="bottom"/>
          </w:tcPr>
          <w:p>
            <w:pPr>
              <w:spacing w:after="0"/>
              <w:rPr>
                <w:sz w:val="24"/>
                <w:szCs w:val="24"/>
                <w:color w:val="auto"/>
              </w:rPr>
            </w:pPr>
          </w:p>
        </w:tc>
        <w:tc>
          <w:tcPr>
            <w:tcW w:w="340" w:type="dxa"/>
            <w:vAlign w:val="bottom"/>
            <w:gridSpan w:val="4"/>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II-1</w:t>
              </w:r>
            </w:hyperlink>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240" w:type="dxa"/>
            <w:vAlign w:val="bottom"/>
            <w:gridSpan w:val="13"/>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77"/>
        </w:trPr>
        <w:tc>
          <w:tcPr>
            <w:tcW w:w="922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Undertakings</w:t>
              </w:r>
            </w:hyperlink>
          </w:p>
        </w:tc>
        <w:tc>
          <w:tcPr>
            <w:tcW w:w="1860" w:type="dxa"/>
            <w:vAlign w:val="bottom"/>
          </w:tcPr>
          <w:p>
            <w:pPr>
              <w:spacing w:after="0"/>
              <w:rPr>
                <w:sz w:val="24"/>
                <w:szCs w:val="24"/>
                <w:color w:val="auto"/>
              </w:rPr>
            </w:pPr>
          </w:p>
        </w:tc>
        <w:tc>
          <w:tcPr>
            <w:tcW w:w="340" w:type="dxa"/>
            <w:vAlign w:val="bottom"/>
            <w:gridSpan w:val="4"/>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II-2</w:t>
              </w:r>
            </w:hyperlink>
          </w:p>
        </w:tc>
      </w:tr>
      <w:tr>
        <w:trPr>
          <w:trHeight w:val="453"/>
        </w:trPr>
        <w:tc>
          <w:tcPr>
            <w:tcW w:w="5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utilizing a “shelf” registration process. The selling shareholder and its pledgees, assignees, transferees or other successors in interest may offer from time to time up to 18,041,000 of our common shares. Depending on the method of distribution, a prospectus supplement may be required in connection with certain sales by the selling shareholder. This prospectus supplement may also add, update or change information contained in this prospectus. You should read both this prospectus and any prospectus supplement together with additional information described under the headings “Where You Can Find More Information” and “Incorporation of Certain Information by Reference.”</w:t>
      </w:r>
    </w:p>
    <w:p>
      <w:pPr>
        <w:spacing w:after="0" w:line="19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have filed or incorporated by reference exhibits to the registration statement of which this prospectus forms a part. You should read the exhibits carefully for provisions that may be important to you.</w:t>
      </w:r>
    </w:p>
    <w:p>
      <w:pPr>
        <w:spacing w:after="0" w:line="166"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should not assume that the information contained in this prospectus is accurate as of any other date.</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file or furnish certain information with the SEC, including annual reports on Form 20-F and reports on Form 6-K under the Securities Exchange Act of 1934, as amended, or the Exchange Act. You may read and copy this information at the following location of the SEC: Public Reference Room, 100 F Street, N.E., Washington, D.C. 20549.</w:t>
      </w:r>
    </w:p>
    <w:p>
      <w:pPr>
        <w:spacing w:after="0" w:line="18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 xml:space="preserve">You may obtain information on the operation of the SEC’s Public Reference Room by calling the SEC at 1-800-SEC-0330. The SEC also maintains an Internet site that contains reports and other information about issuers like us who file electronically with the SEC. The address of the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managing directors, supervisory directors and principal shareholders are exempt from the reporting and short-swing profit recovery provisions contained in Section 16 of the Exchange Act.</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9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factors relating to:</w:t>
      </w:r>
    </w:p>
    <w:p>
      <w:pPr>
        <w:spacing w:after="0" w:line="188" w:lineRule="exact"/>
        <w:rPr>
          <w:sz w:val="20"/>
          <w:szCs w:val="20"/>
          <w:color w:val="auto"/>
        </w:rPr>
      </w:pPr>
    </w:p>
    <w:p>
      <w:pPr>
        <w:ind w:left="660" w:right="3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our anti-Tau antibody candidate, ACI-24, ACI-35 and our Tau-PET Imaging tracer candidate;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Morphomer proprietary technology platform and its success in building additional product candidates for our pipeline;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Food and Drug Administration’s and applicable foreign regulatory authorities’ acceptance of data from studies we conduct outside the United States in the future;</w:t>
      </w:r>
    </w:p>
    <w:p>
      <w:pPr>
        <w:spacing w:after="0" w:line="197"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risk factors discussed in our most recent Annual Report on Form 20-F.</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We are a clinical stage biopharmaceutical company focused on neurodegenerative diseases with four product candidates in clinical trials. We leverage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and Tar Binding Protein (TDP-43). We believe that our large and diverse pipeline of nine therapeutic candidates and three diagnostic candidates has the potential to drive a paradigm shift in the treatment of a broad spectrum of neurodegenerative and other diseases related to protein misfolding.</w:t>
      </w:r>
    </w:p>
    <w:p>
      <w:pPr>
        <w:spacing w:after="0" w:line="165" w:lineRule="exact"/>
        <w:rPr>
          <w:sz w:val="20"/>
          <w:szCs w:val="20"/>
          <w:color w:val="auto"/>
        </w:rPr>
      </w:pPr>
    </w:p>
    <w:p>
      <w:pPr>
        <w:ind w:right="460" w:firstLine="324"/>
        <w:spacing w:after="0" w:line="276"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Swiss enterprise identification number is CHE-109.878.825. Our domicile and registered office is in Ecublens, near Lausanne, Canton of Vaud, Switzerland. Our common shares were admitted to trading on NASDAQ Global Market on September 23, 2016. Our shares are traded under the symbol “ACIU.”</w:t>
      </w:r>
    </w:p>
    <w:p>
      <w:pPr>
        <w:spacing w:after="0" w:line="17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registered and principal executive offices are located at EPFL Innovation Park, Building B, 1015 Lausanne, Switzerland, our general telephone number is (41) 21 345 91 21 and our internet address is www.acimmune.com. Our website and the information contained on or accessible through our website are not part of this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Before making a decision to invest in our securities, you should carefully consider the risks described under “Risk Factors” in the applicable prospectus supplement and in our then most recent Annual Report on Form 20-F, and in any updates to those risk factors in our reports Form 6-K incorporated herein, together with all of the other information appearing or incorporated by reference in this prospectus and any applicable prospectus supplement, in light of your particular investment objectives and financial circumstances.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sets forth our ratio of earnings to fixed charges for each of the periods indicated. You should read this table in conjunction with the consolidated financial statements and notes incorporated by reference in this prospectus.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160" w:type="dxa"/>
            <w:vAlign w:val="bottom"/>
          </w:tcPr>
          <w:p>
            <w:pPr>
              <w:jc w:val="center"/>
              <w:ind w:left="170"/>
              <w:spacing w:after="0"/>
              <w:rPr>
                <w:sz w:val="20"/>
                <w:szCs w:val="20"/>
                <w:color w:val="auto"/>
              </w:rPr>
            </w:pPr>
            <w:r>
              <w:rPr>
                <w:rFonts w:ascii="Arial" w:cs="Arial" w:eastAsia="Arial" w:hAnsi="Arial"/>
                <w:sz w:val="18"/>
                <w:szCs w:val="18"/>
                <w:b w:val="1"/>
                <w:bCs w:val="1"/>
                <w:color w:val="auto"/>
                <w:w w:val="90"/>
              </w:rPr>
              <w:t>Six Months Ended</w:t>
            </w:r>
          </w:p>
        </w:tc>
        <w:tc>
          <w:tcPr>
            <w:tcW w:w="1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80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31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8"/>
              </w:rPr>
              <w:t>June 30, 2018</w:t>
            </w:r>
          </w:p>
        </w:tc>
        <w:tc>
          <w:tcPr>
            <w:tcW w:w="1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December 31,</w:t>
            </w:r>
          </w:p>
        </w:tc>
        <w:tc>
          <w:tcPr>
            <w:tcW w:w="800" w:type="dxa"/>
            <w:vAlign w:val="bottom"/>
            <w:tcBorders>
              <w:bottom w:val="single" w:sz="8" w:color="auto"/>
            </w:tcBorders>
          </w:tcPr>
          <w:p>
            <w:pPr>
              <w:spacing w:after="0"/>
              <w:rPr>
                <w:sz w:val="20"/>
                <w:szCs w:val="20"/>
                <w:color w:val="auto"/>
              </w:rPr>
            </w:pPr>
          </w:p>
        </w:tc>
      </w:tr>
      <w:tr>
        <w:trPr>
          <w:trHeight w:val="237"/>
        </w:trPr>
        <w:tc>
          <w:tcPr>
            <w:tcW w:w="4700" w:type="dxa"/>
            <w:vAlign w:val="bottom"/>
            <w:tcBorders>
              <w:bottom w:val="single" w:sz="8" w:color="D5EAEA"/>
            </w:tcBorders>
          </w:tcPr>
          <w:p>
            <w:pPr>
              <w:spacing w:after="0"/>
              <w:rPr>
                <w:sz w:val="20"/>
                <w:szCs w:val="20"/>
                <w:color w:val="auto"/>
              </w:rPr>
            </w:pPr>
          </w:p>
        </w:tc>
        <w:tc>
          <w:tcPr>
            <w:tcW w:w="31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1"/>
              </w:rPr>
              <w:t>(unaudited)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2015</w:t>
            </w:r>
          </w:p>
        </w:tc>
      </w:tr>
      <w:tr>
        <w:trPr>
          <w:trHeight w:val="210"/>
        </w:trPr>
        <w:tc>
          <w:tcPr>
            <w:tcW w:w="4700" w:type="dxa"/>
            <w:vAlign w:val="bottom"/>
            <w:shd w:val="clear" w:color="auto" w:fill="D5EAEA"/>
          </w:tcPr>
          <w:p>
            <w:pPr>
              <w:spacing w:after="0"/>
              <w:rPr>
                <w:sz w:val="20"/>
                <w:szCs w:val="20"/>
                <w:color w:val="auto"/>
              </w:rPr>
            </w:pPr>
            <w:r>
              <w:rPr>
                <w:rFonts w:ascii="Arial" w:cs="Arial" w:eastAsia="Arial" w:hAnsi="Arial"/>
                <w:sz w:val="18"/>
                <w:szCs w:val="18"/>
                <w:color w:val="auto"/>
              </w:rPr>
              <w:t>Ratio of earnings to fixed charges</w:t>
            </w:r>
          </w:p>
        </w:tc>
        <w:tc>
          <w:tcPr>
            <w:tcW w:w="3160" w:type="dxa"/>
            <w:vAlign w:val="bottom"/>
            <w:shd w:val="clear" w:color="auto" w:fill="D5EAEA"/>
          </w:tcPr>
          <w:p>
            <w:pPr>
              <w:jc w:val="center"/>
              <w:ind w:lef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D5EAEA"/>
          </w:tcPr>
          <w:p>
            <w:pPr>
              <w:jc w:val="right"/>
              <w:ind w:right="490"/>
              <w:spacing w:after="0"/>
              <w:rPr>
                <w:sz w:val="20"/>
                <w:szCs w:val="20"/>
                <w:color w:val="auto"/>
              </w:rPr>
            </w:pPr>
            <w:r>
              <w:rPr>
                <w:rFonts w:ascii="Arial" w:cs="Arial" w:eastAsia="Arial" w:hAnsi="Arial"/>
                <w:sz w:val="18"/>
                <w:szCs w:val="18"/>
                <w:color w:val="auto"/>
              </w:rPr>
              <w:t>*</w:t>
            </w:r>
          </w:p>
        </w:tc>
        <w:tc>
          <w:tcPr>
            <w:tcW w:w="800" w:type="dxa"/>
            <w:vAlign w:val="bottom"/>
            <w:shd w:val="clear" w:color="auto" w:fill="D5EAEA"/>
          </w:tcPr>
          <w:p>
            <w:pPr>
              <w:ind w:left="140"/>
              <w:spacing w:after="0"/>
              <w:rPr>
                <w:sz w:val="20"/>
                <w:szCs w:val="20"/>
                <w:color w:val="auto"/>
              </w:rPr>
            </w:pPr>
            <w:r>
              <w:rPr>
                <w:rFonts w:ascii="Arial" w:cs="Arial" w:eastAsia="Arial" w:hAnsi="Arial"/>
                <w:sz w:val="18"/>
                <w:szCs w:val="18"/>
                <w:color w:val="auto"/>
              </w:rPr>
              <w:t>1,062</w:t>
            </w:r>
          </w:p>
        </w:tc>
      </w:tr>
      <w:tr>
        <w:trPr>
          <w:trHeight w:val="218"/>
        </w:trPr>
        <w:tc>
          <w:tcPr>
            <w:tcW w:w="4700" w:type="dxa"/>
            <w:vAlign w:val="bottom"/>
          </w:tcPr>
          <w:p>
            <w:pPr>
              <w:spacing w:after="0"/>
              <w:rPr>
                <w:sz w:val="20"/>
                <w:szCs w:val="20"/>
                <w:color w:val="auto"/>
              </w:rPr>
            </w:pPr>
            <w:r>
              <w:rPr>
                <w:rFonts w:ascii="Arial" w:cs="Arial" w:eastAsia="Arial" w:hAnsi="Arial"/>
                <w:sz w:val="18"/>
                <w:szCs w:val="18"/>
                <w:color w:val="auto"/>
              </w:rPr>
              <w:t>________________________</w:t>
            </w:r>
          </w:p>
        </w:tc>
        <w:tc>
          <w:tcPr>
            <w:tcW w:w="3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ind w:right="520" w:firstLine="332"/>
        <w:spacing w:after="0" w:line="259" w:lineRule="auto"/>
        <w:tabs>
          <w:tab w:leader="none" w:pos="459"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earnings were insufficient to cover fixed charges of CHF 52 thousand for the six months ended June 30, 2018 and fixed charges of CHF 174 thousand and CHF 27 thousand for the years ended December 31, 2017 and 2016, respectively.</w:t>
      </w:r>
    </w:p>
    <w:p>
      <w:pPr>
        <w:spacing w:after="0" w:line="186"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For purposes of calculating the ratios in the table above, earnings consist of pre-tax income/(loss) from continuing operations plus fixed charges. Fixed charges consist of relevant interest expenses and an estimate of the interest expense (5% for all periods) within rental expense.</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will not receive any proceeds from the sale of common shares by the selling shareholder. All proceeds from the sale of such securities will be received by the selling shareholder.</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225" w:right="87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domicile and registered office is in Ecublens, near Lausanne, Canton of Vaud, Switzerland. Our head office is currently located at EPFL Innovation Park, Building B, Lausanne, Switzerland.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As of the date of this prospectus, our issued share capital is CHF 1,347,253.80, consisting of 67,362,690 common shares with a nominal value of CHF 0.02 each. We have no dividend rights certificates (</w:t>
      </w:r>
      <w:r>
        <w:rPr>
          <w:rFonts w:ascii="Arial" w:cs="Arial" w:eastAsia="Arial" w:hAnsi="Arial"/>
          <w:sz w:val="18"/>
          <w:szCs w:val="18"/>
          <w:i w:val="1"/>
          <w:iCs w:val="1"/>
          <w:color w:val="auto"/>
        </w:rPr>
        <w:t>bons de jouissance</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On July 30, 2018, we adopted the articles of association and when we refer to our articles of association in this prospectus, we refer to the articles of association as filed as Exhibit 4.1 hereto.</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Under our articles of association, our purpose is the research, study, development, manufacture, promotion, sale and marketing of products and substances within the pharmaceutical and nutrition industry as well as the purchase, sale and exploitation of patents and licenses in this field. We may engage in any activities which are apt to favor our purpose directly or indirectly. We may also acquire and sell real estate. We may open branch offices in Switzerland and abroad and may also acquire participations in other companies. We may provide securities to its subsidiaries and supply guarantees.</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capital-actions</w:t>
      </w:r>
      <w:r>
        <w:rPr>
          <w:rFonts w:ascii="Arial" w:cs="Arial" w:eastAsia="Arial" w:hAnsi="Arial"/>
          <w:sz w:val="17"/>
          <w:szCs w:val="17"/>
          <w:color w:val="auto"/>
        </w:rPr>
        <w:t>)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 simple majority of the votes cast at the general meeting of shareholders regardless of abstentions or empty or invalid votes is required. In the case of subscription and increase against contributions in kind or to fund acquisitions in kind, when shareholders’ statutory pre-emptive subscription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78" w:lineRule="exact"/>
        <w:rPr>
          <w:sz w:val="20"/>
          <w:szCs w:val="20"/>
          <w:color w:val="auto"/>
        </w:rPr>
      </w:pPr>
    </w:p>
    <w:p>
      <w:pPr>
        <w:ind w:right="420" w:firstLine="324"/>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166" w:lineRule="exact"/>
        <w:rPr>
          <w:sz w:val="20"/>
          <w:szCs w:val="20"/>
          <w:color w:val="auto"/>
        </w:rPr>
      </w:pPr>
    </w:p>
    <w:p>
      <w:pPr>
        <w:ind w:left="660" w:right="12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conditional capital (</w:t>
      </w:r>
      <w:r>
        <w:rPr>
          <w:rFonts w:ascii="Arial" w:cs="Arial" w:eastAsia="Arial" w:hAnsi="Arial"/>
          <w:sz w:val="18"/>
          <w:szCs w:val="18"/>
          <w:i w:val="1"/>
          <w:iCs w:val="1"/>
          <w:color w:val="auto"/>
        </w:rPr>
        <w:t>capital conditionnel</w:t>
      </w:r>
      <w:r>
        <w:rPr>
          <w:rFonts w:ascii="Arial" w:cs="Arial" w:eastAsia="Arial" w:hAnsi="Arial"/>
          <w:sz w:val="18"/>
          <w:szCs w:val="18"/>
          <w:color w:val="auto"/>
        </w:rPr>
        <w:t>) for the purpose of issuing shares in connection with, among other things, (i) option and conversion rights granted in connection with warrants and convertible bonds of the Company or one of our subsidiaries or (ii) grants of rights to employees, members of our board of directors or consultants or our subsidiaries or other persons providing services to the Company or a subsidiary to subscribe for new shares (conversion or option rights); or</w:t>
      </w:r>
    </w:p>
    <w:p>
      <w:pPr>
        <w:spacing w:after="0" w:line="21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2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Pursuant to the CO, shareholders have pre-emptive subscription rights (</w:t>
      </w:r>
      <w:r>
        <w:rPr>
          <w:rFonts w:ascii="Arial" w:cs="Arial" w:eastAsia="Arial" w:hAnsi="Arial"/>
          <w:sz w:val="17"/>
          <w:szCs w:val="17"/>
          <w:i w:val="1"/>
          <w:iCs w:val="1"/>
          <w:color w:val="auto"/>
        </w:rPr>
        <w:t>droits de souscription</w:t>
      </w:r>
      <w:r>
        <w:rPr>
          <w:rFonts w:ascii="Arial" w:cs="Arial" w:eastAsia="Arial" w:hAnsi="Arial"/>
          <w:sz w:val="17"/>
          <w:szCs w:val="17"/>
          <w:color w:val="auto"/>
        </w:rPr>
        <w:t>) to subscribe for new issuances of shares. With respect to conditional capital in connection with the issuance of conversion rights, convertible bonds or similar debt instruments, shareholders have advance subscription rights (</w:t>
      </w:r>
      <w:r>
        <w:rPr>
          <w:rFonts w:ascii="Arial" w:cs="Arial" w:eastAsia="Arial" w:hAnsi="Arial"/>
          <w:sz w:val="17"/>
          <w:szCs w:val="17"/>
          <w:i w:val="1"/>
          <w:iCs w:val="1"/>
          <w:color w:val="auto"/>
        </w:rPr>
        <w:t>droit de souscrire préalablement</w:t>
      </w:r>
      <w:r>
        <w:rPr>
          <w:rFonts w:ascii="Arial" w:cs="Arial" w:eastAsia="Arial" w:hAnsi="Arial"/>
          <w:sz w:val="17"/>
          <w:szCs w:val="17"/>
          <w:color w:val="auto"/>
        </w:rPr>
        <w:t>) for the subscription of conversion rights, convertible bonds or similar debt instruments.</w:t>
      </w:r>
    </w:p>
    <w:p>
      <w:pPr>
        <w:spacing w:after="0" w:line="166"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A resolution passed at a general meeting of shareholders by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pre-emptive subscription rights are granted, but not exercised, the board of directors may allocate the pre-emptive subscription rights as it elects.</w:t>
      </w:r>
    </w:p>
    <w:p>
      <w:pPr>
        <w:spacing w:after="0" w:line="237"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authorization previously granted to the board of directors to issue share capital has expired. A valid authorization to issue share capital in the articles of association of a Swiss stock corporation would typically provide for the withdrawal or limitation of preemptive subscription rights of shareholders, and their allocation to third parties or to the company, in the event that the newly issued shares are used for the following purposes:</w:t>
      </w:r>
    </w:p>
    <w:p>
      <w:pPr>
        <w:spacing w:after="0" w:line="16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w:t>
      </w:r>
    </w:p>
    <w:p>
      <w:pPr>
        <w:spacing w:after="0" w:line="252"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197" w:lineRule="exact"/>
        <w:rPr>
          <w:rFonts w:ascii="Arial" w:cs="Arial" w:eastAsia="Arial" w:hAnsi="Arial"/>
          <w:sz w:val="18"/>
          <w:szCs w:val="18"/>
          <w:color w:val="auto"/>
        </w:rPr>
      </w:pPr>
    </w:p>
    <w:p>
      <w:pPr>
        <w:ind w:left="660" w:right="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150"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19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of the CO.</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Article 3a of our articles of association, the authorization granted to our board of directors to increase our nominal share capital has expired.</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Conditional Share Capital for Bonds and Similar Debt Instruments</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Under Article 3b of our articles of association, our nominal share capital may be increased by a maximum aggregate amount of CHF 91,867.50 through the issuance of not more than 4,593,375 common shares, which would have to be fully paid-in, with a nominal value of CHF 0.02 each, by the exercise of option and conversion rights granted in connection with warrants and convertible bonds of the Company or one of our subsidiaries. Shareholders will not have pre-emptive subscription rights in such circumstances. The holders of convertible bonds are entitled to the new shares upon the occurrence of the applicable conversion feature.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When issuing convertible bonds, the board of directors is authorized to withdraw or to limit the advance subscription right of shareholders to subscribe to the convertible bond issuance:</w:t>
      </w:r>
    </w:p>
    <w:p>
      <w:pPr>
        <w:spacing w:after="0" w:line="170" w:lineRule="exact"/>
        <w:rPr>
          <w:sz w:val="20"/>
          <w:szCs w:val="20"/>
          <w:color w:val="auto"/>
        </w:rPr>
      </w:pPr>
    </w:p>
    <w:p>
      <w:pPr>
        <w:ind w:left="660" w:right="2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purpose of financing or refinancing the acquisition of enterprises, divisions thereof, or of participations or of newly planned investments of the Company; or</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issuance occurs in domestic or international capital markets, including private placements.</w:t>
      </w:r>
    </w:p>
    <w:p>
      <w:pPr>
        <w:spacing w:after="0" w:line="225"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To the extent that the advance subscription rights are withdrawn, (i) the convertible bonds are to be issued at market conditions; (ii) the term to exercise the option or conversion rights may not exceed ten years as of the date of the convertible bond issue and twenty years for conversion rights; and (iii) the exercise price for the new shares must at least correspond to the market conditions at the time of the convertible bond issuance.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Conditional Share Capital for Employee Benefit Plans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Under Article 3c of our articles of association, our nominal share capital may, to the exclusion of the pre-emptive subscription rights of shareholders, be increased by a maximum aggregate amount of CHF 57,073.04 through the issuance of not more than 2,853,652 common shares, which would have to be fully paid-in, with a nominal value of CHF 0.02 each, by the exercise of option or conversion rights that have been granted to employees, members of the board of directors or consultants of the Company or of one of our subsidiaries or other persons providing services to the Company or a subsidiary through one or more equity incentive plans created by the board of directors.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shares are uncertificated securities (</w:t>
      </w:r>
      <w:r>
        <w:rPr>
          <w:rFonts w:ascii="Arial" w:cs="Arial" w:eastAsia="Arial" w:hAnsi="Arial"/>
          <w:sz w:val="17"/>
          <w:szCs w:val="17"/>
          <w:i w:val="1"/>
          <w:iCs w:val="1"/>
          <w:color w:val="auto"/>
        </w:rPr>
        <w:t>droits-valeurs</w:t>
      </w:r>
      <w:r>
        <w:rPr>
          <w:rFonts w:ascii="Arial" w:cs="Arial" w:eastAsia="Arial" w:hAnsi="Arial"/>
          <w:sz w:val="17"/>
          <w:szCs w:val="17"/>
          <w:color w:val="auto"/>
        </w:rPr>
        <w:t>, within the meaning of Article 973c of the CO) and, when administered by a financial intermediary (</w:t>
      </w:r>
      <w:r>
        <w:rPr>
          <w:rFonts w:ascii="Arial" w:cs="Arial" w:eastAsia="Arial" w:hAnsi="Arial"/>
          <w:sz w:val="17"/>
          <w:szCs w:val="17"/>
          <w:i w:val="1"/>
          <w:iCs w:val="1"/>
          <w:color w:val="auto"/>
        </w:rPr>
        <w:t>dépositaire</w:t>
      </w:r>
      <w:r>
        <w:rPr>
          <w:rFonts w:ascii="Arial" w:cs="Arial" w:eastAsia="Arial" w:hAnsi="Arial"/>
          <w:sz w:val="17"/>
          <w:szCs w:val="17"/>
          <w:color w:val="auto"/>
        </w:rPr>
        <w:t>, within the meaning of the Federal Act on Intermediated Securities, “FISA”), qualify as intermediated securities (</w:t>
      </w:r>
      <w:r>
        <w:rPr>
          <w:rFonts w:ascii="Arial" w:cs="Arial" w:eastAsia="Arial" w:hAnsi="Arial"/>
          <w:sz w:val="17"/>
          <w:szCs w:val="17"/>
          <w:i w:val="1"/>
          <w:iCs w:val="1"/>
          <w:color w:val="auto"/>
        </w:rPr>
        <w:t>titres intermédiés</w:t>
      </w:r>
      <w:r>
        <w:rPr>
          <w:rFonts w:ascii="Arial" w:cs="Arial" w:eastAsia="Arial" w:hAnsi="Arial"/>
          <w:sz w:val="17"/>
          <w:szCs w:val="17"/>
          <w:color w:val="auto"/>
        </w:rPr>
        <w:t>, within the meaning of the FISA). In accordance with Article 973c of the CO, we will maintain a non-public register of uncertificated securities (</w:t>
      </w:r>
      <w:r>
        <w:rPr>
          <w:rFonts w:ascii="Arial" w:cs="Arial" w:eastAsia="Arial" w:hAnsi="Arial"/>
          <w:sz w:val="17"/>
          <w:szCs w:val="17"/>
          <w:i w:val="1"/>
          <w:iCs w:val="1"/>
          <w:color w:val="auto"/>
        </w:rPr>
        <w:t>registre des droits-valeurs</w:t>
      </w:r>
      <w:r>
        <w:rPr>
          <w:rFonts w:ascii="Arial" w:cs="Arial" w:eastAsia="Arial" w:hAnsi="Arial"/>
          <w:sz w:val="17"/>
          <w:szCs w:val="17"/>
          <w:color w:val="auto"/>
        </w:rPr>
        <w:t>). We may at any time convert uncertificated securities into share certificates (including global certificates), one kind of certificate into another, or</w:t>
      </w:r>
      <w:r>
        <w:rPr>
          <w:rFonts w:ascii="Arial" w:cs="Arial" w:eastAsia="Arial" w:hAnsi="Arial"/>
          <w:sz w:val="17"/>
          <w:szCs w:val="17"/>
          <w:i w:val="1"/>
          <w:iCs w:val="1"/>
          <w:color w:val="auto"/>
        </w:rPr>
        <w:t xml:space="preserve"> </w:t>
      </w:r>
      <w:r>
        <w:rPr>
          <w:rFonts w:ascii="Arial" w:cs="Arial" w:eastAsia="Arial" w:hAnsi="Arial"/>
          <w:sz w:val="17"/>
          <w:szCs w:val="17"/>
          <w:color w:val="auto"/>
        </w:rPr>
        <w:t>share certificates (including global certificates) into uncertificated securities. Following entry in the share register, a shareholder may at any time request from us a written confirmation in respect of the shares held by such shareholder, as reflected in the share register. Shareholders are not entitled, however, to request the printing and delivery of certificates. We may print and deliver certificates for shares at any time.</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generally means on or before June 30.</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w:t>
      </w:r>
    </w:p>
    <w:p>
      <w:pPr>
        <w:spacing w:after="0" w:line="252"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electing the members of the board of directors, the chairman of the board of directors, the members of the compensation committee, the auditors and the independent proxy;</w:t>
      </w:r>
    </w:p>
    <w:p>
      <w:pPr>
        <w:spacing w:after="0" w:line="197"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approving the annual report, the annual statutory financial statements and (to the extent required) the financial statements, and deciding on the allocation of profits as shown on the balance sheet, in particular with regard to dividends;</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47" w:lineRule="exact"/>
        <w:rPr>
          <w:sz w:val="20"/>
          <w:szCs w:val="20"/>
          <w:color w:val="auto"/>
        </w:rPr>
      </w:pPr>
    </w:p>
    <w:p>
      <w:pPr>
        <w:ind w:left="660" w:right="2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approving the compensation (basis, bonus and equity) of members of the board of directors and executive management, which under Swiss law is not necessarily limited to the executive officers;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discharging the members of the board of directors and executive management from liability with respect to their tenure in the previous financial year;</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deciding matters reserved to the general meeting of shareholders by law or the articles of association or presented to it by the board of directors.</w:t>
      </w:r>
    </w:p>
    <w:p>
      <w:pPr>
        <w:spacing w:after="0" w:line="24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An extraordinary general meeting of shareholders may be called by a resolution of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225"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Shareholder resolutions and elections (including elections of members of the board of directors) require the affirmative vote of the simple majority of the votes cast at the general meeting of shareholders regardless of abstentions or empty or invalid votes, unless otherwise stipulated by law.</w:t>
      </w:r>
    </w:p>
    <w:p>
      <w:pPr>
        <w:spacing w:after="0" w:line="14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 resolution of the general meeting of the shareholders passed by two-thirds of the shares represented at the meeting, and the absolute majority of the nominal value of the shares represented is required for:</w:t>
      </w:r>
    </w:p>
    <w:p>
      <w:pPr>
        <w:spacing w:after="0" w:line="1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creating or cancelling shares with preference rights or amending rights attached to such shares;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cancelling or amending the transfer restrictions of shares;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increasing the share capital out of equity, against contributions in-kind or for the purpose of acquiring specific assets and granting specific benefits;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or suppressing shareholder’s pre-emptive subscription rights;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alleviating or withdrawing of restrictions upon the transfer of registered shares and the removal of the voting cap of 331⁄3%;</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removing the indemnification provision for the board of directors and executive management;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converting registered shares into bearer shares and vice versa;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dissolving or liquidating a company.</w:t>
      </w: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same voting requirements apply to resolutions regarding transactions among corporations based on Switzerland’s Federal Act on Mergers, Demergers, Transformations and the Transfer of Assets, or the Merger Act (including a merger, demerger or conversion of a corporation) see “—Compulsory Acquisitions; Appraisal Rights.”</w:t>
      </w:r>
    </w:p>
    <w:p>
      <w:pPr>
        <w:spacing w:after="0" w:line="181"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Notice</w:t>
      </w:r>
    </w:p>
    <w:p>
      <w:pPr>
        <w:spacing w:after="0" w:line="225" w:lineRule="exact"/>
        <w:rPr>
          <w:sz w:val="20"/>
          <w:szCs w:val="20"/>
          <w:color w:val="auto"/>
        </w:rPr>
      </w:pPr>
    </w:p>
    <w:p>
      <w:pPr>
        <w:ind w:right="280" w:firstLine="324"/>
        <w:spacing w:after="0" w:line="255" w:lineRule="auto"/>
        <w:rPr>
          <w:sz w:val="20"/>
          <w:szCs w:val="20"/>
          <w:color w:val="auto"/>
        </w:rPr>
      </w:pPr>
      <w:r>
        <w:rPr>
          <w:rFonts w:ascii="Arial" w:cs="Arial" w:eastAsia="Arial" w:hAnsi="Arial"/>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Agenda Requests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Pursuant to Swiss law, one or more shareholders, whose combined shareholdings represent the lower of (i) one tenth of the share capital or (ii) an aggregate nominal value of at least CHF 1,000,000, may request that an item be included in the agenda for an ordinary general meeting of shareholders. To be timely, the shareholder’s request must be received by us generally at least 120 calendar days in advance of the meeting. The request must be made in writing and contain, for each of the agenda items, the following information:</w:t>
      </w:r>
    </w:p>
    <w:p>
      <w:pPr>
        <w:spacing w:after="0" w:line="187" w:lineRule="exact"/>
        <w:rPr>
          <w:sz w:val="20"/>
          <w:szCs w:val="20"/>
          <w:color w:val="auto"/>
        </w:rPr>
      </w:pPr>
    </w:p>
    <w:p>
      <w:pPr>
        <w:ind w:left="660" w:right="3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name and address, as they appear in the share register, of the shareholder proposing such business;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other information required under the applicable laws and stock exchange rules.</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a company, such shareholder shall notify the company of this intent in accordance with Securities and Exchange Commission Rule 14a-4 and/or Rule 14a-8.</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400" w:firstLine="324"/>
        <w:spacing w:after="0" w:line="312" w:lineRule="auto"/>
        <w:rPr>
          <w:sz w:val="20"/>
          <w:szCs w:val="20"/>
          <w:color w:val="auto"/>
        </w:rPr>
      </w:pPr>
      <w:r>
        <w:rPr>
          <w:rFonts w:ascii="Arial" w:cs="Arial" w:eastAsia="Arial" w:hAnsi="Arial"/>
          <w:sz w:val="16"/>
          <w:szCs w:val="16"/>
          <w:color w:val="auto"/>
        </w:rPr>
        <w:t>Each of our shares entitles a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w:t>
      </w: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7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Our articles of association contain provisions that prevent investors from acquiring voting rights exceeding 331⁄3% of the outstanding share capital. Specifically, no individual or legal entity may, directly or indirectly, control voting rights with respect to 331⁄3% or more of the registered share capital recorded in the Commercial Register. In the event that a shareholder should exceed the 331⁄3% ownership threshold, the registered shares exceeding the limit of 331⁄3% shall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votes cast at a general meeting of shareholders regardless of abstentions or employ or invalid votes. In addition, our auditors must confirm that the dividend proposal of our board of directors conforms to Swiss statutory law and our articles of association.</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w:t>
      </w:r>
      <w:r>
        <w:rPr>
          <w:rFonts w:ascii="Arial" w:cs="Arial" w:eastAsia="Arial" w:hAnsi="Arial"/>
          <w:sz w:val="18"/>
          <w:szCs w:val="18"/>
          <w:i w:val="1"/>
          <w:iCs w:val="1"/>
          <w:color w:val="auto"/>
        </w:rPr>
        <w:t>report des</w:t>
      </w:r>
      <w:r>
        <w:rPr>
          <w:rFonts w:ascii="Arial" w:cs="Arial" w:eastAsia="Arial" w:hAnsi="Arial"/>
          <w:sz w:val="18"/>
          <w:szCs w:val="18"/>
          <w:color w:val="auto"/>
        </w:rPr>
        <w:t xml:space="preserve"> </w:t>
      </w:r>
      <w:r>
        <w:rPr>
          <w:rFonts w:ascii="Arial" w:cs="Arial" w:eastAsia="Arial" w:hAnsi="Arial"/>
          <w:sz w:val="18"/>
          <w:szCs w:val="18"/>
          <w:i w:val="1"/>
          <w:iCs w:val="1"/>
          <w:color w:val="auto"/>
        </w:rPr>
        <w:t>bénéfices</w:t>
      </w:r>
      <w:r>
        <w:rPr>
          <w:rFonts w:ascii="Arial" w:cs="Arial" w:eastAsia="Arial" w:hAnsi="Arial"/>
          <w:sz w:val="18"/>
          <w:szCs w:val="18"/>
          <w:color w:val="auto"/>
        </w:rPr>
        <w:t>), or if we have distributable reserves (</w:t>
      </w:r>
      <w:r>
        <w:rPr>
          <w:rFonts w:ascii="Arial" w:cs="Arial" w:eastAsia="Arial" w:hAnsi="Arial"/>
          <w:sz w:val="18"/>
          <w:szCs w:val="18"/>
          <w:i w:val="1"/>
          <w:iCs w:val="1"/>
          <w:color w:val="auto"/>
        </w:rPr>
        <w:t>réserves à libre disposition</w:t>
      </w:r>
      <w:r>
        <w:rPr>
          <w:rFonts w:ascii="Arial" w:cs="Arial" w:eastAsia="Arial" w:hAnsi="Arial"/>
          <w:sz w:val="18"/>
          <w:szCs w:val="18"/>
          <w:color w:val="auto"/>
        </w:rPr>
        <w:t>), each as evidenced by our audited stand-alone statutory balance sheet prepared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Swiss law, and after allocations to reserves required by Swiss law and the articles of association have been deducted. We are not permitted to pay interim dividends out of profit of the current business year.</w:t>
      </w:r>
    </w:p>
    <w:p>
      <w:pPr>
        <w:spacing w:after="0" w:line="187"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93"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Distributions out of issued share capital (i.e. the aggregate nominal value of our issued shares) are not allowed and may be made only by way of a share capital reduction. Such a capital reduction requires a resolution passed by a simple majority of the votes cast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66"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225"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Shares in uncertificated form (</w:t>
      </w:r>
      <w:r>
        <w:rPr>
          <w:rFonts w:ascii="Arial" w:cs="Arial" w:eastAsia="Arial" w:hAnsi="Arial"/>
          <w:sz w:val="17"/>
          <w:szCs w:val="17"/>
          <w:i w:val="1"/>
          <w:iCs w:val="1"/>
          <w:color w:val="auto"/>
        </w:rPr>
        <w:t>droits-valeurs</w:t>
      </w:r>
      <w:r>
        <w:rPr>
          <w:rFonts w:ascii="Arial" w:cs="Arial" w:eastAsia="Arial" w:hAnsi="Arial"/>
          <w:sz w:val="17"/>
          <w:szCs w:val="17"/>
          <w:color w:val="auto"/>
        </w:rPr>
        <w:t>) may only be transferred by way of assignment. Shares that constitute intermediated securities (</w:t>
      </w:r>
      <w:r>
        <w:rPr>
          <w:rFonts w:ascii="Arial" w:cs="Arial" w:eastAsia="Arial" w:hAnsi="Arial"/>
          <w:sz w:val="17"/>
          <w:szCs w:val="17"/>
          <w:i w:val="1"/>
          <w:iCs w:val="1"/>
          <w:color w:val="auto"/>
        </w:rPr>
        <w:t>titres</w:t>
      </w:r>
      <w:r>
        <w:rPr>
          <w:rFonts w:ascii="Arial" w:cs="Arial" w:eastAsia="Arial" w:hAnsi="Arial"/>
          <w:sz w:val="17"/>
          <w:szCs w:val="17"/>
          <w:color w:val="auto"/>
        </w:rPr>
        <w:t xml:space="preserve"> </w:t>
      </w:r>
      <w:r>
        <w:rPr>
          <w:rFonts w:ascii="Arial" w:cs="Arial" w:eastAsia="Arial" w:hAnsi="Arial"/>
          <w:sz w:val="17"/>
          <w:szCs w:val="17"/>
          <w:i w:val="1"/>
          <w:iCs w:val="1"/>
          <w:color w:val="auto"/>
        </w:rPr>
        <w:t>intermédiés</w:t>
      </w:r>
      <w:r>
        <w:rPr>
          <w:rFonts w:ascii="Arial" w:cs="Arial" w:eastAsia="Arial" w:hAnsi="Arial"/>
          <w:sz w:val="17"/>
          <w:szCs w:val="17"/>
          <w:color w:val="auto"/>
        </w:rPr>
        <w:t>) may only be transferred when a credit of the relevant intermediated securities to the acquirer’s securities account is made in accordance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relevant provisions of the FISA. Article 5 of our articles of association provides that in the case of securities held with an intermediary such as</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 registrar, transfer agent, trust corporation, bank or similar entity, any transfer, grant of a security interest or usufructary right in such intermediated securities and the appurtenant rights associated therewith requires the cooperation of the intermediary in order for such transfer, grant of a security interest or usufructary right to be valid against us.</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Voting rights may be exercised only after a shareholder has been entered in our share register (</w:t>
      </w:r>
      <w:r>
        <w:rPr>
          <w:rFonts w:ascii="Arial" w:cs="Arial" w:eastAsia="Arial" w:hAnsi="Arial"/>
          <w:sz w:val="18"/>
          <w:szCs w:val="18"/>
          <w:i w:val="1"/>
          <w:iCs w:val="1"/>
          <w:color w:val="auto"/>
        </w:rPr>
        <w:t>registre des actions</w:t>
      </w:r>
      <w:r>
        <w:rPr>
          <w:rFonts w:ascii="Arial" w:cs="Arial" w:eastAsia="Arial" w:hAnsi="Arial"/>
          <w:sz w:val="18"/>
          <w:szCs w:val="18"/>
          <w:color w:val="auto"/>
        </w:rPr>
        <w:t>) with his or her name and address (in the case of legal entities, the registered office) as a shareholder with voting rights. Our articles of association contain provisions that prevent investors from acquiring voting rights exceeding 331⁄3% of the outstanding share capital. Specifically, no individual or legal entity may, directly or indirectly, control voting rights with respect to 331⁄3% or more of the registered share capital recorded in the Commercial Register except if such individual or legal entity has submitted a tender offer to all shareholders. In the event that a shareholder should exceed the 331⁄3% ownership threshold, the registered shares exceeding the limit of 331⁄3% shall be entered in our share registered as shares without voting rights. Additional voting caps apply to shareholders acquiring shares for other persons (nominees).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Swiss Law and Delaware Law—Inspection of Books and Records.”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Special Investigation</w:t>
      </w:r>
    </w:p>
    <w:p>
      <w:pPr>
        <w:spacing w:after="0" w:line="225"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a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225"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Business combinations and other transactions that are governed by the Swiss Merger Act (i.e. mergers, demergers, transformations and certain asset transfers) are binding on all shareholders. A statutory merger or demerger requires approval of two-thirds of the shares represented at a general meeting of shareholders and the absolute majority of the nominal value of the shares represented.</w:t>
      </w:r>
    </w:p>
    <w:p>
      <w:pPr>
        <w:spacing w:after="0" w:line="18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If a transaction under the Swiss Merger Act receives all of the necessary consents, there are no appraisal rights and all shareholders are compelled to participate in such transaction.</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Swiss corporations may be acquired by an acquirer through the direct acquisition of the share capital of the Swiss corporation. The Swiss Merger Act provides for the possibility of a so-called “cash-out” or “squeeze-out” merger if the acquirer controls 90% of the outstanding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 addition, under Swiss law, the sale of “all or substantially all of our assets” by us may require the approval of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18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core part of our business is sold without which it is economically impracticable or unreasonable to continue to operate the remaining business;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70" w:lineRule="exact"/>
        <w:rPr>
          <w:sz w:val="20"/>
          <w:szCs w:val="20"/>
          <w:color w:val="auto"/>
        </w:rPr>
      </w:pPr>
    </w:p>
    <w:p>
      <w:pPr>
        <w:ind w:right="420" w:firstLine="324"/>
        <w:spacing w:after="0" w:line="257" w:lineRule="auto"/>
        <w:rPr>
          <w:sz w:val="20"/>
          <w:szCs w:val="20"/>
          <w:color w:val="auto"/>
        </w:rPr>
      </w:pPr>
      <w:r>
        <w:rPr>
          <w:rFonts w:ascii="Arial" w:cs="Arial" w:eastAsia="Arial" w:hAnsi="Arial"/>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jc w:val="both"/>
        <w:ind w:right="80" w:firstLine="324"/>
        <w:spacing w:after="0" w:line="342" w:lineRule="auto"/>
        <w:rPr>
          <w:sz w:val="20"/>
          <w:szCs w:val="20"/>
          <w:color w:val="auto"/>
        </w:rPr>
      </w:pPr>
      <w:r>
        <w:rPr>
          <w:rFonts w:ascii="Arial" w:cs="Arial" w:eastAsia="Arial" w:hAnsi="Arial"/>
          <w:sz w:val="16"/>
          <w:szCs w:val="16"/>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Powers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issuing of the relevant directives;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laying down the organization of the Company;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formulating accounting procedures, financial controls and financial planning;</w:t>
      </w:r>
    </w:p>
    <w:p>
      <w:pPr>
        <w:spacing w:after="0" w:line="252"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nominating and removing persons entrusted with the management and representation of the Company and regulating the power to sign for the Company;</w:t>
      </w:r>
    </w:p>
    <w:p>
      <w:pPr>
        <w:spacing w:after="0" w:line="197"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ultimate supervision of those persons entrusted with management of the Company, with particular regard to adherence to law, our articles of association, and regulations and directives of the Company;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issuing the annual report and the compensation report, and preparing for the general meeting of shareholders and carrying out its resolutions; and</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informing the court in case of over-indebtedness.</w:t>
      </w:r>
    </w:p>
    <w:p>
      <w:pPr>
        <w:spacing w:after="0" w:line="225" w:lineRule="exact"/>
        <w:rPr>
          <w:sz w:val="20"/>
          <w:szCs w:val="20"/>
          <w:color w:val="auto"/>
        </w:rPr>
      </w:pPr>
    </w:p>
    <w:p>
      <w:pPr>
        <w:jc w:val="both"/>
        <w:ind w:right="480" w:firstLine="324"/>
        <w:spacing w:after="0" w:line="264" w:lineRule="auto"/>
        <w:rPr>
          <w:sz w:val="20"/>
          <w:szCs w:val="20"/>
          <w:color w:val="auto"/>
        </w:rPr>
      </w:pPr>
      <w:r>
        <w:rPr>
          <w:rFonts w:ascii="Arial" w:cs="Arial" w:eastAsia="Arial" w:hAnsi="Arial"/>
          <w:sz w:val="18"/>
          <w:szCs w:val="18"/>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Swiss law and Article 25 of our articles of association, details of the delegation and other procedural rules such as quorum requirements must be set in the organizational rules issued by the board of directors.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6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entered into indemnification agreements with each of the members of our board of directors and executive management.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Swiss law does not have a general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7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board of directors has adopted a Code of Business Conduct and Ethics that covers a broad range of matters, including the handling of conflicts of interest.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225"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Pursuant to Swiss law, beginning at our first annual meeting as a public company in 2016 our shareholders must annually approve the compensation of the board of directors and the persons whom the board of directors has, fully or partially, entrusted with the management of the Company. The board of directors must issue, on an annual basis, a written compensation report that must be reviewed together with a report on our business by our auditor. The compensation report must disclose all compensation, loans and other forms of indebtedness granted by the Company, directly or indirectly, to current or former members of the board of directors and executive management to the extent related to their former role within the Company or not on customary market terms.</w:t>
      </w:r>
    </w:p>
    <w:p>
      <w:pPr>
        <w:spacing w:after="0" w:line="19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disclosure concerning compensation, loans and other forms of indebtedness must include the aggregate amount for the board of directors and the executive management, as well as the particular amount for each member of the board of directors and executive officer, specifying the name and function of each person.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225" w:lineRule="exact"/>
        <w:rPr>
          <w:sz w:val="20"/>
          <w:szCs w:val="20"/>
          <w:color w:val="auto"/>
        </w:rPr>
      </w:pPr>
    </w:p>
    <w:p>
      <w:pPr>
        <w:ind w:left="660" w:right="5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47" w:lineRule="exact"/>
        <w:rPr>
          <w:sz w:val="20"/>
          <w:szCs w:val="20"/>
          <w:color w:val="auto"/>
        </w:rPr>
      </w:pPr>
    </w:p>
    <w:p>
      <w:pPr>
        <w:ind w:left="660" w:right="6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in 2016, the general meeting of shareholders will annually vote on the proposals of the board of directors with respect to:</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for the subsequent term of office;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subsequent financial year.</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the event that, at the general meeting of shareholders, the shareholders do not approve a proposal of the board of directors, the board of directors must form a new proposal for the maximum aggregate compensation and the particular compensation for each individual, taking into account all relevant factors, and submit the new proposal for approval by the same general meeting of shareholders, at a subsequent extraordinary general meeting or the next ordinary general meeting of shareholders.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fixed compensation, members of the board of directors and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88"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225"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We currently do not have any transfer restriction in our articles of association. If</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own shares that exceed the threshold of 10 percent of our share capital, the excess must be sold or cancelled by means of a capital reduction within two years.</w:t>
      </w:r>
    </w:p>
    <w:p>
      <w:pPr>
        <w:spacing w:after="0" w:line="170"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7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Act on Stock Exchanges and Securities Trading do not apply to us since our shares are not listed on a Swiss exchange.</w:t>
      </w:r>
    </w:p>
    <w:p>
      <w:pPr>
        <w:spacing w:after="0" w:line="170"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shares are listed on the NASDAQ Global Market under the symbol “ACIU.”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Computershare Trust Company, N.A. acts as transfer agent and registrar for our common shares. The share register reflects only record owners of our shares. Swiss law does not recognize fractional share interests.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SWISS LAW AND DELAWARE LAW</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Arial" w:cs="Arial" w:eastAsia="Arial" w:hAnsi="Arial"/>
          <w:sz w:val="17"/>
          <w:szCs w:val="17"/>
          <w:i w:val="1"/>
          <w:iCs w:val="1"/>
          <w:color w:val="auto"/>
        </w:rPr>
        <w:t>Code des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Suisse</w:t>
      </w:r>
      <w:r>
        <w:rPr>
          <w:rFonts w:ascii="Arial" w:cs="Arial" w:eastAsia="Arial" w:hAnsi="Arial"/>
          <w:sz w:val="17"/>
          <w:szCs w:val="17"/>
          <w:color w:val="auto"/>
        </w:rPr>
        <w:t>) and the Swiss Ordinance against excessive compensation in listed stock corporations applicable to our Company, as implemented by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174" w:lineRule="exact"/>
        <w:rPr>
          <w:sz w:val="20"/>
          <w:szCs w:val="20"/>
          <w:color w:val="auto"/>
        </w:rPr>
      </w:pPr>
    </w:p>
    <w:p>
      <w:pPr>
        <w:ind w:left="1380"/>
        <w:spacing w:after="0"/>
        <w:tabs>
          <w:tab w:leader="none" w:pos="752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Mergers and similar arrangements</w:t>
      </w:r>
    </w:p>
    <w:p>
      <w:pPr>
        <w:sectPr>
          <w:pgSz w:w="11900" w:h="16838" w:orient="portrait"/>
          <w:cols w:equalWidth="0" w:num="1">
            <w:col w:w="11400"/>
          </w:cols>
          <w:pgMar w:left="240" w:top="225" w:right="259" w:bottom="1440" w:gutter="0" w:footer="0" w:header="0"/>
        </w:sectPr>
      </w:pP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Arial" w:cs="Arial" w:eastAsia="Arial" w:hAnsi="Arial"/>
          <w:sz w:val="16"/>
          <w:szCs w:val="16"/>
          <w:i w:val="1"/>
          <w:iCs w:val="1"/>
          <w:color w:val="auto"/>
        </w:rPr>
        <w:t>Loi sur la fusion</w:t>
      </w:r>
      <w:r>
        <w:rPr>
          <w:rFonts w:ascii="Arial" w:cs="Arial" w:eastAsia="Arial" w:hAnsi="Arial"/>
          <w:sz w:val="16"/>
          <w:szCs w:val="16"/>
          <w:color w:val="auto"/>
        </w:rPr>
        <w:t>) can file a lawsuit against the surviving company. If the 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 90.0% of all members in the transferring legal entity, who are entitled to vote, shall approve the merger agreement.</w:t>
      </w:r>
    </w:p>
    <w:p>
      <w:pPr>
        <w:spacing w:after="0" w:line="387" w:lineRule="exact"/>
        <w:rPr>
          <w:sz w:val="20"/>
          <w:szCs w:val="20"/>
          <w:color w:val="auto"/>
        </w:rPr>
      </w:pPr>
    </w:p>
    <w:p>
      <w:pPr>
        <w:sectPr>
          <w:pgSz w:w="11900" w:h="16838" w:orient="portrait"/>
          <w:cols w:equalWidth="0" w:num="2">
            <w:col w:w="5460" w:space="500"/>
            <w:col w:w="5440"/>
          </w:cols>
          <w:pgMar w:left="240" w:top="225"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Shareholders’ suits</w:t>
      </w:r>
    </w:p>
    <w:p>
      <w:pPr>
        <w:sectPr>
          <w:pgSz w:w="11900" w:h="16838" w:orient="portrait"/>
          <w:cols w:equalWidth="0" w:num="1">
            <w:col w:w="11400"/>
          </w:cols>
          <w:pgMar w:left="240" w:top="225" w:right="259" w:bottom="1440" w:gutter="0" w:footer="0" w:header="0"/>
          <w:type w:val="continuous"/>
        </w:sectPr>
      </w:pPr>
    </w:p>
    <w:p>
      <w:pPr>
        <w:spacing w:after="0" w:line="248" w:lineRule="exact"/>
        <w:rPr>
          <w:sz w:val="20"/>
          <w:szCs w:val="20"/>
          <w:color w:val="auto"/>
        </w:rPr>
      </w:pPr>
    </w:p>
    <w:p>
      <w:pPr>
        <w:jc w:val="both"/>
        <w:ind w:right="300"/>
        <w:spacing w:after="0" w:line="297" w:lineRule="auto"/>
        <w:rPr>
          <w:sz w:val="20"/>
          <w:szCs w:val="20"/>
          <w:color w:val="auto"/>
        </w:rPr>
      </w:pPr>
      <w:r>
        <w:rPr>
          <w:rFonts w:ascii="Arial" w:cs="Arial" w:eastAsia="Arial" w:hAnsi="Arial"/>
          <w:sz w:val="16"/>
          <w:szCs w:val="16"/>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subject to certain conditions, to the individual shareholder and creditors. Likewise, an appraisal lawsuit won by a shareholder may indirectly compensate all shareholders. In addition, to the extent that US laws and regulations provide a basis for liability and US courts have jurisdiction, a class action may be available.</w:t>
      </w:r>
    </w:p>
    <w:p>
      <w:pPr>
        <w:spacing w:after="0" w:line="182"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Under Swiss law, the winning party is generally entitled to recover or to partially recover attorneys’ fees incurred in connection with such action, provided, however, that the court has broad discretion to permit the shareholder whose claim has been dismissed to recover attorneys’ fees incurred to the extent he or she acted in good faith.</w:t>
      </w:r>
    </w:p>
    <w:p>
      <w:pPr>
        <w:sectPr>
          <w:pgSz w:w="11900" w:h="16838" w:orient="portrait"/>
          <w:cols w:equalWidth="0" w:num="2">
            <w:col w:w="5780" w:space="180"/>
            <w:col w:w="5440"/>
          </w:cols>
          <w:pgMar w:left="240" w:top="225" w:right="259" w:bottom="1440" w:gutter="0" w:footer="0" w:header="0"/>
          <w:type w:val="continuous"/>
        </w:sectPr>
      </w:pPr>
    </w:p>
    <w:bookmarkStart w:id="22" w:name="page23"/>
    <w:bookmarkEnd w:id="2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ind w:right="1620"/>
        <w:spacing w:after="0"/>
        <w:tabs>
          <w:tab w:leader="none" w:pos="216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Shareholder vote on board and management compensation</w:t>
      </w:r>
    </w:p>
    <w:p>
      <w:pPr>
        <w:sectPr>
          <w:pgSz w:w="11900" w:h="16838" w:orient="portrait"/>
          <w:cols w:equalWidth="0" w:num="1">
            <w:col w:w="11400"/>
          </w:cols>
          <w:pgMar w:left="240" w:top="225" w:right="259" w:bottom="1440" w:gutter="0" w:footer="0" w:header="0"/>
        </w:sectPr>
      </w:pP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the Swiss Ordinance against excessive compensation in listed stock corporations (</w:t>
      </w:r>
      <w:r>
        <w:rPr>
          <w:rFonts w:ascii="Arial" w:cs="Arial" w:eastAsia="Arial" w:hAnsi="Arial"/>
          <w:sz w:val="16"/>
          <w:szCs w:val="16"/>
          <w:i w:val="1"/>
          <w:iCs w:val="1"/>
          <w:color w:val="auto"/>
        </w:rPr>
        <w:t>Ordonnance contre les rémunérations abusives dans les</w:t>
      </w:r>
      <w:r>
        <w:rPr>
          <w:rFonts w:ascii="Arial" w:cs="Arial" w:eastAsia="Arial" w:hAnsi="Arial"/>
          <w:sz w:val="16"/>
          <w:szCs w:val="16"/>
          <w:color w:val="auto"/>
        </w:rPr>
        <w:t xml:space="preserve"> </w:t>
      </w:r>
      <w:r>
        <w:rPr>
          <w:rFonts w:ascii="Arial" w:cs="Arial" w:eastAsia="Arial" w:hAnsi="Arial"/>
          <w:sz w:val="16"/>
          <w:szCs w:val="16"/>
          <w:i w:val="1"/>
          <w:iCs w:val="1"/>
          <w:color w:val="auto"/>
        </w:rPr>
        <w:t>sociétés anonymes cotées en bourse</w:t>
      </w:r>
      <w:r>
        <w:rPr>
          <w:rFonts w:ascii="Arial" w:cs="Arial" w:eastAsia="Arial" w:hAnsi="Arial"/>
          <w:sz w:val="16"/>
          <w:szCs w:val="16"/>
          <w:color w:val="auto"/>
        </w:rPr>
        <w:t>), the general meeting of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has the non-transferable right, amongst others, to vote on the fixed and on the variable compensation of the members of the board of directors, of the executive management and of the advisory boards.</w:t>
      </w:r>
    </w:p>
    <w:p>
      <w:pPr>
        <w:spacing w:after="0" w:line="165" w:lineRule="exact"/>
        <w:rPr>
          <w:sz w:val="20"/>
          <w:szCs w:val="20"/>
          <w:color w:val="auto"/>
        </w:rPr>
      </w:pPr>
    </w:p>
    <w:p>
      <w:pPr>
        <w:sectPr>
          <w:pgSz w:w="11900" w:h="16838" w:orient="portrait"/>
          <w:cols w:equalWidth="0" w:num="2">
            <w:col w:w="5260" w:space="700"/>
            <w:col w:w="5440"/>
          </w:cols>
          <w:pgMar w:left="240" w:top="225"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Annual vote on board renewal</w:t>
      </w:r>
    </w:p>
    <w:p>
      <w:pPr>
        <w:sectPr>
          <w:pgSz w:w="11900" w:h="16838" w:orient="portrait"/>
          <w:cols w:equalWidth="0" w:num="1">
            <w:col w:w="11400"/>
          </w:cols>
          <w:pgMar w:left="240" w:top="225" w:right="259" w:bottom="1440" w:gutter="0" w:footer="0" w:header="0"/>
          <w:type w:val="continuous"/>
        </w:sectPr>
      </w:pP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general meeting of shareholders elects annually (i.e. term of office until the end of the following general meeting of shareholders) the members of the board of directors and the members of the compensation committee individually for a term of office of one year. Re-election is possible.</w:t>
      </w:r>
    </w:p>
    <w:p>
      <w:pPr>
        <w:spacing w:after="0" w:line="379" w:lineRule="exact"/>
        <w:rPr>
          <w:sz w:val="20"/>
          <w:szCs w:val="20"/>
          <w:color w:val="auto"/>
        </w:rPr>
      </w:pPr>
    </w:p>
    <w:p>
      <w:pPr>
        <w:sectPr>
          <w:pgSz w:w="11900" w:h="16838" w:orient="portrait"/>
          <w:cols w:equalWidth="0" w:num="2">
            <w:col w:w="5480" w:space="480"/>
            <w:col w:w="5440"/>
          </w:cols>
          <w:pgMar w:left="240" w:top="225" w:right="259" w:bottom="144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Indemnification of directors and executive management and limitation of liability</w:t>
      </w:r>
    </w:p>
    <w:p>
      <w:pPr>
        <w:sectPr>
          <w:pgSz w:w="11900" w:h="16838" w:orient="portrait"/>
          <w:cols w:equalWidth="0" w:num="1">
            <w:col w:w="11400"/>
          </w:cols>
          <w:pgMar w:left="240" w:top="225" w:right="259" w:bottom="1440" w:gutter="0" w:footer="0" w:header="0"/>
          <w:type w:val="continuous"/>
        </w:sectPr>
      </w:pPr>
    </w:p>
    <w:p>
      <w:pPr>
        <w:spacing w:after="0" w:line="248"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193" w:lineRule="exact"/>
        <w:rPr>
          <w:sz w:val="20"/>
          <w:szCs w:val="20"/>
          <w:color w:val="auto"/>
        </w:rPr>
      </w:pPr>
    </w:p>
    <w:p>
      <w:pPr>
        <w:ind w:left="160" w:right="960" w:hanging="152"/>
        <w:spacing w:after="0" w:line="277" w:lineRule="auto"/>
        <w:tabs>
          <w:tab w:leader="none" w:pos="1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170" w:lineRule="exact"/>
        <w:rPr>
          <w:rFonts w:ascii="Arial" w:cs="Arial" w:eastAsia="Arial" w:hAnsi="Arial"/>
          <w:sz w:val="18"/>
          <w:szCs w:val="18"/>
          <w:color w:val="auto"/>
        </w:rPr>
      </w:pPr>
    </w:p>
    <w:p>
      <w:pPr>
        <w:ind w:left="160" w:right="1080" w:hanging="152"/>
        <w:spacing w:after="0" w:line="277" w:lineRule="auto"/>
        <w:tabs>
          <w:tab w:leader="none" w:pos="1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70" w:lineRule="exact"/>
        <w:rPr>
          <w:rFonts w:ascii="Arial" w:cs="Arial" w:eastAsia="Arial" w:hAnsi="Arial"/>
          <w:sz w:val="18"/>
          <w:szCs w:val="18"/>
          <w:color w:val="auto"/>
        </w:rPr>
      </w:pPr>
    </w:p>
    <w:p>
      <w:pPr>
        <w:ind w:left="160" w:right="560" w:hanging="152"/>
        <w:spacing w:after="0" w:line="277" w:lineRule="auto"/>
        <w:tabs>
          <w:tab w:leader="none" w:pos="1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stock purchase or redemption; or</w:t>
      </w:r>
    </w:p>
    <w:p>
      <w:pPr>
        <w:spacing w:after="0" w:line="170" w:lineRule="exact"/>
        <w:rPr>
          <w:rFonts w:ascii="Arial" w:cs="Arial" w:eastAsia="Arial" w:hAnsi="Arial"/>
          <w:sz w:val="18"/>
          <w:szCs w:val="18"/>
          <w:color w:val="auto"/>
        </w:rPr>
      </w:pPr>
    </w:p>
    <w:p>
      <w:pPr>
        <w:ind w:left="160" w:right="640" w:hanging="152"/>
        <w:spacing w:after="0" w:line="277" w:lineRule="auto"/>
        <w:tabs>
          <w:tab w:leader="none" w:pos="1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0"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5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Also, a corporation may enter into and pay for directors’ and officers’ liability insurance which may cover negligent acts as well.</w:t>
      </w:r>
    </w:p>
    <w:p>
      <w:pPr>
        <w:sectPr>
          <w:pgSz w:w="11900" w:h="16838" w:orient="portrait"/>
          <w:cols w:equalWidth="0" w:num="2">
            <w:col w:w="5780" w:space="180"/>
            <w:col w:w="5440"/>
          </w:cols>
          <w:pgMar w:left="240" w:top="225" w:right="259" w:bottom="1440" w:gutter="0" w:footer="0" w:header="0"/>
          <w:type w:val="continuous"/>
        </w:sectPr>
      </w:pPr>
    </w:p>
    <w:bookmarkStart w:id="23" w:name="page24"/>
    <w:bookmarkEnd w:id="2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ind w:right="1580"/>
        <w:spacing w:after="0"/>
        <w:tabs>
          <w:tab w:leader="none" w:pos="216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Directors’ fiduciary duties</w:t>
      </w:r>
    </w:p>
    <w:p>
      <w:pPr>
        <w:sectPr>
          <w:pgSz w:w="11900" w:h="16838" w:orient="portrait"/>
          <w:cols w:equalWidth="0" w:num="1">
            <w:col w:w="11360"/>
          </w:cols>
          <w:pgMar w:left="240" w:top="225" w:right="299" w:bottom="1440" w:gutter="0" w:footer="0" w:header="0"/>
        </w:sectPr>
      </w:pP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w:t>
      </w:r>
    </w:p>
    <w:p>
      <w:pPr>
        <w:spacing w:after="0" w:line="170" w:lineRule="exact"/>
        <w:rPr>
          <w:sz w:val="20"/>
          <w:szCs w:val="20"/>
          <w:color w:val="auto"/>
        </w:rPr>
      </w:pPr>
    </w:p>
    <w:p>
      <w:pPr>
        <w:ind w:left="280" w:hanging="14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duty of care; and</w:t>
      </w:r>
    </w:p>
    <w:p>
      <w:pPr>
        <w:spacing w:after="0" w:line="225" w:lineRule="exact"/>
        <w:rPr>
          <w:rFonts w:ascii="Arial" w:cs="Arial" w:eastAsia="Arial" w:hAnsi="Arial"/>
          <w:sz w:val="18"/>
          <w:szCs w:val="18"/>
          <w:color w:val="auto"/>
        </w:rPr>
      </w:pPr>
    </w:p>
    <w:p>
      <w:pPr>
        <w:ind w:left="280" w:hanging="14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w:t>
      </w:r>
    </w:p>
    <w:p>
      <w:pPr>
        <w:spacing w:after="0" w:line="18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7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0" w:right="20"/>
        <w:spacing w:after="0" w:line="276" w:lineRule="auto"/>
        <w:rPr>
          <w:sz w:val="20"/>
          <w:szCs w:val="20"/>
          <w:color w:val="auto"/>
        </w:rPr>
      </w:pPr>
      <w:r>
        <w:rPr>
          <w:rFonts w:ascii="Arial" w:cs="Arial" w:eastAsia="Arial" w:hAnsi="Arial"/>
          <w:sz w:val="17"/>
          <w:szCs w:val="17"/>
          <w:color w:val="auto"/>
        </w:rPr>
        <w:t>The board of directors of a Swiss corporation manages the business of the corporation, unless responsibility for such management has been delegated to the executive management (for example by organizational rules and comparable bylaws). However, there are several non-transferable duties of the board of directors:</w:t>
      </w:r>
    </w:p>
    <w:p>
      <w:pPr>
        <w:spacing w:after="0" w:line="173" w:lineRule="exact"/>
        <w:rPr>
          <w:sz w:val="20"/>
          <w:szCs w:val="20"/>
          <w:color w:val="auto"/>
        </w:rPr>
      </w:pPr>
    </w:p>
    <w:p>
      <w:pPr>
        <w:ind w:left="150" w:right="660" w:hanging="150"/>
        <w:spacing w:after="0" w:line="277" w:lineRule="auto"/>
        <w:tabs>
          <w:tab w:leader="none" w:pos="12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overall management of the corporation and the issuing of all necessary directives;</w:t>
      </w:r>
    </w:p>
    <w:p>
      <w:pPr>
        <w:spacing w:after="0" w:line="170" w:lineRule="exact"/>
        <w:rPr>
          <w:rFonts w:ascii="Arial" w:cs="Arial" w:eastAsia="Arial" w:hAnsi="Arial"/>
          <w:sz w:val="18"/>
          <w:szCs w:val="18"/>
          <w:color w:val="auto"/>
        </w:rPr>
      </w:pPr>
    </w:p>
    <w:p>
      <w:pPr>
        <w:ind w:left="130" w:hanging="130"/>
        <w:spacing w:after="0"/>
        <w:tabs>
          <w:tab w:leader="none" w:pos="1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determination of the corporation’s organization;</w:t>
      </w:r>
    </w:p>
    <w:p>
      <w:pPr>
        <w:spacing w:after="0" w:line="225" w:lineRule="exact"/>
        <w:rPr>
          <w:rFonts w:ascii="Arial" w:cs="Arial" w:eastAsia="Arial" w:hAnsi="Arial"/>
          <w:sz w:val="18"/>
          <w:szCs w:val="18"/>
          <w:color w:val="auto"/>
        </w:rPr>
      </w:pPr>
    </w:p>
    <w:p>
      <w:pPr>
        <w:jc w:val="both"/>
        <w:ind w:left="150" w:right="560" w:hanging="150"/>
        <w:spacing w:after="0" w:line="342" w:lineRule="auto"/>
        <w:tabs>
          <w:tab w:leader="none" w:pos="129"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organization of the accounting, financial control and financial planning systems as required for management of the corporation;</w:t>
      </w:r>
    </w:p>
    <w:p>
      <w:pPr>
        <w:spacing w:after="0" w:line="123" w:lineRule="exact"/>
        <w:rPr>
          <w:rFonts w:ascii="Arial" w:cs="Arial" w:eastAsia="Arial" w:hAnsi="Arial"/>
          <w:sz w:val="16"/>
          <w:szCs w:val="16"/>
          <w:color w:val="auto"/>
        </w:rPr>
      </w:pPr>
    </w:p>
    <w:p>
      <w:pPr>
        <w:ind w:left="150" w:right="180" w:hanging="150"/>
        <w:spacing w:after="0" w:line="277" w:lineRule="auto"/>
        <w:tabs>
          <w:tab w:leader="none" w:pos="12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appointment and dismissal of persons entrusted with managing and representing the corporation;</w:t>
      </w:r>
    </w:p>
    <w:p>
      <w:pPr>
        <w:spacing w:after="0" w:line="170" w:lineRule="exact"/>
        <w:rPr>
          <w:rFonts w:ascii="Arial" w:cs="Arial" w:eastAsia="Arial" w:hAnsi="Arial"/>
          <w:sz w:val="18"/>
          <w:szCs w:val="18"/>
          <w:color w:val="auto"/>
        </w:rPr>
      </w:pPr>
    </w:p>
    <w:p>
      <w:pPr>
        <w:ind w:left="150" w:hanging="150"/>
        <w:spacing w:after="0" w:line="264" w:lineRule="auto"/>
        <w:tabs>
          <w:tab w:leader="none" w:pos="129"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overall supervision of the persons entrusted with managing the corporation, in particular with regard to compliance with the law, articles of association, operational regulations and directives;</w:t>
      </w:r>
    </w:p>
    <w:p>
      <w:pPr>
        <w:spacing w:after="0" w:line="181" w:lineRule="exact"/>
        <w:rPr>
          <w:rFonts w:ascii="Arial" w:cs="Arial" w:eastAsia="Arial" w:hAnsi="Arial"/>
          <w:sz w:val="18"/>
          <w:szCs w:val="18"/>
          <w:color w:val="auto"/>
        </w:rPr>
      </w:pPr>
    </w:p>
    <w:p>
      <w:pPr>
        <w:ind w:left="150" w:right="20" w:hanging="150"/>
        <w:spacing w:after="0" w:line="308" w:lineRule="auto"/>
        <w:tabs>
          <w:tab w:leader="none" w:pos="129"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compilation of the annual report, preparation for the general meeting, the compensation report and implementation of its resolutions; and</w:t>
      </w:r>
    </w:p>
    <w:p>
      <w:pPr>
        <w:spacing w:after="0" w:line="146" w:lineRule="exact"/>
        <w:rPr>
          <w:rFonts w:ascii="Arial" w:cs="Arial" w:eastAsia="Arial" w:hAnsi="Arial"/>
          <w:sz w:val="17"/>
          <w:szCs w:val="17"/>
          <w:color w:val="auto"/>
        </w:rPr>
      </w:pPr>
    </w:p>
    <w:p>
      <w:pPr>
        <w:ind w:left="130" w:hanging="130"/>
        <w:spacing w:after="0"/>
        <w:tabs>
          <w:tab w:leader="none" w:pos="13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notification of the court in the event that the company is overindebted.</w:t>
      </w:r>
    </w:p>
    <w:p>
      <w:pPr>
        <w:spacing w:after="0" w:line="237" w:lineRule="exact"/>
        <w:rPr>
          <w:sz w:val="20"/>
          <w:szCs w:val="20"/>
          <w:color w:val="auto"/>
        </w:rPr>
      </w:pPr>
    </w:p>
    <w:p>
      <w:pPr>
        <w:ind w:left="10"/>
        <w:spacing w:after="0"/>
        <w:rPr>
          <w:sz w:val="20"/>
          <w:szCs w:val="20"/>
          <w:color w:val="auto"/>
        </w:rPr>
      </w:pPr>
      <w:r>
        <w:rPr>
          <w:rFonts w:ascii="Arial" w:cs="Arial" w:eastAsia="Arial" w:hAnsi="Arial"/>
          <w:sz w:val="17"/>
          <w:szCs w:val="17"/>
          <w:color w:val="auto"/>
        </w:rPr>
        <w:t>The members of the board of directors must perform their duties with all</w:t>
      </w:r>
    </w:p>
    <w:p>
      <w:pPr>
        <w:spacing w:after="0" w:line="35" w:lineRule="exact"/>
        <w:rPr>
          <w:sz w:val="20"/>
          <w:szCs w:val="20"/>
          <w:color w:val="auto"/>
        </w:rPr>
      </w:pPr>
    </w:p>
    <w:p>
      <w:pPr>
        <w:ind w:left="10"/>
        <w:spacing w:after="0"/>
        <w:rPr>
          <w:sz w:val="20"/>
          <w:szCs w:val="20"/>
          <w:color w:val="auto"/>
        </w:rPr>
      </w:pPr>
      <w:r>
        <w:rPr>
          <w:rFonts w:ascii="Arial" w:cs="Arial" w:eastAsia="Arial" w:hAnsi="Arial"/>
          <w:sz w:val="16"/>
          <w:szCs w:val="16"/>
          <w:color w:val="auto"/>
        </w:rPr>
        <w:t>due diligence and safeguard the interests of the corporation in good faith.</w:t>
      </w:r>
    </w:p>
    <w:p>
      <w:pPr>
        <w:spacing w:after="0" w:line="32" w:lineRule="exact"/>
        <w:rPr>
          <w:sz w:val="20"/>
          <w:szCs w:val="20"/>
          <w:color w:val="auto"/>
        </w:rPr>
      </w:pPr>
    </w:p>
    <w:p>
      <w:pPr>
        <w:ind w:left="10"/>
        <w:spacing w:after="0"/>
        <w:rPr>
          <w:sz w:val="20"/>
          <w:szCs w:val="20"/>
          <w:color w:val="auto"/>
        </w:rPr>
      </w:pPr>
      <w:r>
        <w:rPr>
          <w:rFonts w:ascii="Arial" w:cs="Arial" w:eastAsia="Arial" w:hAnsi="Arial"/>
          <w:sz w:val="16"/>
          <w:szCs w:val="16"/>
          <w:color w:val="auto"/>
        </w:rPr>
        <w:t>They must afford the shareholders equal treatment in equal circumstances.</w:t>
      </w:r>
    </w:p>
    <w:p>
      <w:pPr>
        <w:spacing w:after="0" w:line="234" w:lineRule="exact"/>
        <w:rPr>
          <w:sz w:val="20"/>
          <w:szCs w:val="20"/>
          <w:color w:val="auto"/>
        </w:rPr>
      </w:pPr>
    </w:p>
    <w:p>
      <w:pPr>
        <w:ind w:left="10" w:right="320" w:firstLine="324"/>
        <w:spacing w:after="0" w:line="342" w:lineRule="auto"/>
        <w:rPr>
          <w:sz w:val="20"/>
          <w:szCs w:val="20"/>
          <w:color w:val="auto"/>
        </w:rPr>
      </w:pPr>
      <w:r>
        <w:rPr>
          <w:rFonts w:ascii="Arial" w:cs="Arial" w:eastAsia="Arial" w:hAnsi="Arial"/>
          <w:sz w:val="16"/>
          <w:szCs w:val="16"/>
          <w:color w:val="auto"/>
        </w:rPr>
        <w:t>The burden of proof for a violation of these duties is with the corporation or with the shareholder bringing a suit against the director.</w:t>
      </w:r>
    </w:p>
    <w:p>
      <w:pPr>
        <w:spacing w:after="0" w:line="200" w:lineRule="exact"/>
        <w:rPr>
          <w:sz w:val="20"/>
          <w:szCs w:val="20"/>
          <w:color w:val="auto"/>
        </w:rPr>
      </w:pPr>
    </w:p>
    <w:p>
      <w:pPr>
        <w:sectPr>
          <w:pgSz w:w="11900" w:h="16838" w:orient="portrait"/>
          <w:cols w:equalWidth="0" w:num="2">
            <w:col w:w="5500" w:space="450"/>
            <w:col w:w="5410"/>
          </w:cols>
          <w:pgMar w:left="240" w:top="225" w:right="299" w:bottom="1440" w:gutter="0" w:footer="0" w:header="0"/>
          <w:type w:val="continuous"/>
        </w:sectPr>
      </w:pP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Shareholder action by written consent</w:t>
      </w:r>
    </w:p>
    <w:p>
      <w:pPr>
        <w:sectPr>
          <w:pgSz w:w="11900" w:h="16838" w:orient="portrait"/>
          <w:cols w:equalWidth="0" w:num="1">
            <w:col w:w="11360"/>
          </w:cols>
          <w:pgMar w:left="240" w:top="225" w:right="299" w:bottom="1440" w:gutter="0" w:footer="0" w:header="0"/>
          <w:type w:val="continuous"/>
        </w:sectPr>
      </w:pP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360" w:right="120"/>
        <w:spacing w:after="0" w:line="297" w:lineRule="auto"/>
        <w:rPr>
          <w:sz w:val="20"/>
          <w:szCs w:val="20"/>
          <w:color w:val="auto"/>
        </w:rPr>
      </w:pPr>
      <w:r>
        <w:rPr>
          <w:rFonts w:ascii="Arial" w:cs="Arial" w:eastAsia="Arial" w:hAnsi="Arial"/>
          <w:sz w:val="16"/>
          <w:szCs w:val="16"/>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5260" w:space="340"/>
            <w:col w:w="5760"/>
          </w:cols>
          <w:pgMar w:left="240" w:top="225" w:right="299" w:bottom="1440" w:gutter="0" w:footer="0" w:header="0"/>
          <w:type w:val="continuous"/>
        </w:sectPr>
      </w:pPr>
    </w:p>
    <w:bookmarkStart w:id="24" w:name="page25"/>
    <w:bookmarkEnd w:id="2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ind w:right="1640"/>
        <w:spacing w:after="0"/>
        <w:tabs>
          <w:tab w:leader="none" w:pos="216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Shareholder proposals</w:t>
      </w:r>
    </w:p>
    <w:p>
      <w:pPr>
        <w:sectPr>
          <w:pgSz w:w="11900" w:h="16838" w:orient="portrait"/>
          <w:cols w:equalWidth="0" w:num="1">
            <w:col w:w="11420"/>
          </w:cols>
          <w:pgMar w:left="240" w:top="225" w:right="239" w:bottom="1440" w:gutter="0" w:footer="0" w:header="0"/>
        </w:sectPr>
      </w:pP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0" w:right="80"/>
        <w:spacing w:after="0" w:line="257" w:lineRule="auto"/>
        <w:rPr>
          <w:sz w:val="20"/>
          <w:szCs w:val="20"/>
          <w:color w:val="auto"/>
        </w:rPr>
      </w:pPr>
      <w:r>
        <w:rPr>
          <w:rFonts w:ascii="Arial" w:cs="Arial" w:eastAsia="Arial" w:hAnsi="Arial"/>
          <w:sz w:val="18"/>
          <w:szCs w:val="18"/>
          <w:color w:val="auto"/>
        </w:rPr>
        <w:t>At any general meeting of shareholders any shareholder may put proposals to the meeting if the proposal is part of an agenda item. No resolution may be made on proposals relating to the agenda items that were not duly notified. Unless the articles of association provide for a lower threshold or for additional shareholders’ rights:</w:t>
      </w:r>
    </w:p>
    <w:p>
      <w:pPr>
        <w:spacing w:after="0" w:line="188" w:lineRule="exact"/>
        <w:rPr>
          <w:sz w:val="20"/>
          <w:szCs w:val="20"/>
          <w:color w:val="auto"/>
        </w:rPr>
      </w:pPr>
    </w:p>
    <w:p>
      <w:pPr>
        <w:ind w:left="150" w:right="160" w:hanging="150"/>
        <w:spacing w:after="0" w:line="264" w:lineRule="auto"/>
        <w:tabs>
          <w:tab w:leader="none" w:pos="129"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shareholders together representing at least 10% of the share capital may demand that a general meeting of shareholders be called for specific agenda items and specific proposals; and</w:t>
      </w:r>
    </w:p>
    <w:p>
      <w:pPr>
        <w:spacing w:after="0" w:line="181" w:lineRule="exact"/>
        <w:rPr>
          <w:rFonts w:ascii="Arial" w:cs="Arial" w:eastAsia="Arial" w:hAnsi="Arial"/>
          <w:sz w:val="18"/>
          <w:szCs w:val="18"/>
          <w:color w:val="auto"/>
        </w:rPr>
      </w:pPr>
    </w:p>
    <w:p>
      <w:pPr>
        <w:ind w:left="150" w:right="60" w:hanging="150"/>
        <w:spacing w:after="0" w:line="302" w:lineRule="auto"/>
        <w:tabs>
          <w:tab w:leader="none" w:pos="129" w:val="left"/>
        </w:tabs>
        <w:numPr>
          <w:ilvl w:val="0"/>
          <w:numId w:val="21"/>
        </w:numPr>
        <w:rPr>
          <w:rFonts w:ascii="Arial" w:cs="Arial" w:eastAsia="Arial" w:hAnsi="Arial"/>
          <w:sz w:val="16"/>
          <w:szCs w:val="16"/>
          <w:color w:val="auto"/>
        </w:rPr>
      </w:pPr>
      <w:r>
        <w:rPr>
          <w:rFonts w:ascii="Arial" w:cs="Arial" w:eastAsia="Arial" w:hAnsi="Arial"/>
          <w:sz w:val="16"/>
          <w:szCs w:val="16"/>
          <w:color w:val="auto"/>
        </w:rPr>
        <w:t>shareholders together representing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54" w:lineRule="exact"/>
        <w:rPr>
          <w:sz w:val="20"/>
          <w:szCs w:val="20"/>
          <w:color w:val="auto"/>
        </w:rPr>
      </w:pPr>
    </w:p>
    <w:p>
      <w:pPr>
        <w:jc w:val="both"/>
        <w:ind w:left="10" w:right="500" w:firstLine="324"/>
        <w:spacing w:after="0" w:line="264" w:lineRule="auto"/>
        <w:rPr>
          <w:sz w:val="20"/>
          <w:szCs w:val="20"/>
          <w:color w:val="auto"/>
        </w:rPr>
      </w:pPr>
      <w:r>
        <w:rPr>
          <w:rFonts w:ascii="Arial" w:cs="Arial" w:eastAsia="Arial" w:hAnsi="Arial"/>
          <w:sz w:val="18"/>
          <w:szCs w:val="18"/>
          <w:color w:val="auto"/>
        </w:rPr>
        <w:t>Any shareholder can propose candidates for election as directors provided that the election of board members has been included as an agenda item.</w:t>
      </w:r>
    </w:p>
    <w:p>
      <w:pPr>
        <w:spacing w:after="0" w:line="181" w:lineRule="exact"/>
        <w:rPr>
          <w:sz w:val="20"/>
          <w:szCs w:val="20"/>
          <w:color w:val="auto"/>
        </w:rPr>
      </w:pPr>
    </w:p>
    <w:p>
      <w:pPr>
        <w:ind w:left="10"/>
        <w:spacing w:after="0" w:line="272" w:lineRule="auto"/>
        <w:rPr>
          <w:sz w:val="20"/>
          <w:szCs w:val="20"/>
          <w:color w:val="auto"/>
        </w:rPr>
      </w:pPr>
      <w:r>
        <w:rPr>
          <w:rFonts w:ascii="Arial" w:cs="Arial" w:eastAsia="Arial" w:hAnsi="Arial"/>
          <w:sz w:val="17"/>
          <w:szCs w:val="17"/>
          <w:color w:val="auto"/>
        </w:rPr>
        <w:t>In addition, any shareholder is entitled, at a general meeting of shareholders and without advance notice, to (i) request information from the Board on the affairs of the company (note, however, that the right to obtain such information is limited), (ii) request information from the auditors on the methods and results of their audit, (iii) request to convene an extraordinary general meeting or (iv) to carry out a special audit and to appoint an auditor at the request of a shareholder.</w:t>
      </w:r>
    </w:p>
    <w:p>
      <w:pPr>
        <w:spacing w:after="0" w:line="178" w:lineRule="exact"/>
        <w:rPr>
          <w:sz w:val="20"/>
          <w:szCs w:val="20"/>
          <w:color w:val="auto"/>
        </w:rPr>
      </w:pPr>
    </w:p>
    <w:p>
      <w:pPr>
        <w:sectPr>
          <w:pgSz w:w="11900" w:h="16838" w:orient="portrait"/>
          <w:cols w:equalWidth="0" w:num="2">
            <w:col w:w="5360" w:space="590"/>
            <w:col w:w="5470"/>
          </w:cols>
          <w:pgMar w:left="240" w:top="225"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Cumulative voting</w:t>
      </w:r>
    </w:p>
    <w:p>
      <w:pPr>
        <w:sectPr>
          <w:pgSz w:w="11900" w:h="16838" w:orient="portrait"/>
          <w:cols w:equalWidth="0" w:num="1">
            <w:col w:w="11420"/>
          </w:cols>
          <w:pgMar w:left="240" w:top="225" w:right="239" w:bottom="1440" w:gutter="0" w:footer="0" w:header="0"/>
          <w:type w:val="continuous"/>
        </w:sectPr>
      </w:pPr>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360" w:right="20"/>
        <w:spacing w:after="0" w:line="288" w:lineRule="auto"/>
        <w:rPr>
          <w:sz w:val="20"/>
          <w:szCs w:val="20"/>
          <w:color w:val="auto"/>
        </w:rPr>
      </w:pPr>
      <w:r>
        <w:rPr>
          <w:rFonts w:ascii="Arial" w:cs="Arial" w:eastAsia="Arial" w:hAnsi="Arial"/>
          <w:sz w:val="16"/>
          <w:szCs w:val="16"/>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compensation for the members of the board of directors and the executive committee as well as for the members of the advisory board, if applicable, is mandatory for listed companies. Re-election is permitted.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5400" w:space="200"/>
            <w:col w:w="5820"/>
          </w:cols>
          <w:pgMar w:left="240" w:top="225" w:right="239" w:bottom="1440" w:gutter="0" w:footer="0" w:header="0"/>
          <w:type w:val="continuous"/>
        </w:sectPr>
      </w:pPr>
    </w:p>
    <w:bookmarkStart w:id="25" w:name="page26"/>
    <w:bookmarkEnd w:id="2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ind w:right="1620"/>
        <w:spacing w:after="0"/>
        <w:tabs>
          <w:tab w:leader="none" w:pos="216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Removal of directors</w:t>
      </w:r>
    </w:p>
    <w:p>
      <w:pPr>
        <w:sectPr>
          <w:pgSz w:w="11900" w:h="16838" w:orient="portrait"/>
          <w:cols w:equalWidth="0" w:num="1">
            <w:col w:w="11400"/>
          </w:cols>
          <w:pgMar w:left="240" w:top="225" w:right="259" w:bottom="1440" w:gutter="0" w:footer="0" w:header="0"/>
        </w:sectPr>
      </w:pP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 Swiss corporation may remove, with or without cause, any director at any time with a resolution passed by a simple majority of the votes cast at a general meeting of shareholders concerned. The articles of association may require the approval by a qualified majority of the shares represented at a meeting for the removal of a director.</w:t>
      </w:r>
    </w:p>
    <w:p>
      <w:pPr>
        <w:spacing w:after="0" w:line="173" w:lineRule="exact"/>
        <w:rPr>
          <w:sz w:val="20"/>
          <w:szCs w:val="20"/>
          <w:color w:val="auto"/>
        </w:rPr>
      </w:pPr>
    </w:p>
    <w:p>
      <w:pPr>
        <w:sectPr>
          <w:pgSz w:w="11900" w:h="16838" w:orient="portrait"/>
          <w:cols w:equalWidth="0" w:num="2">
            <w:col w:w="5300" w:space="660"/>
            <w:col w:w="5440"/>
          </w:cols>
          <w:pgMar w:left="240" w:top="225"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Transactions with interested shareholders</w:t>
      </w:r>
    </w:p>
    <w:p>
      <w:pPr>
        <w:sectPr>
          <w:pgSz w:w="11900" w:h="16838" w:orient="portrait"/>
          <w:cols w:equalWidth="0" w:num="1">
            <w:col w:w="11400"/>
          </w:cols>
          <w:pgMar w:left="240" w:top="225" w:right="259" w:bottom="1440" w:gutter="0" w:footer="0" w:header="0"/>
          <w:type w:val="continuous"/>
        </w:sectPr>
      </w:pPr>
    </w:p>
    <w:p>
      <w:pPr>
        <w:spacing w:after="0" w:line="24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No such rule applies to a Swiss corporation.</w:t>
      </w:r>
    </w:p>
    <w:p>
      <w:pPr>
        <w:spacing w:after="0" w:line="1328" w:lineRule="exact"/>
        <w:rPr>
          <w:sz w:val="20"/>
          <w:szCs w:val="20"/>
          <w:color w:val="auto"/>
        </w:rPr>
      </w:pPr>
    </w:p>
    <w:p>
      <w:pPr>
        <w:sectPr>
          <w:pgSz w:w="11900" w:h="16838" w:orient="portrait"/>
          <w:cols w:equalWidth="0" w:num="2">
            <w:col w:w="5420" w:space="540"/>
            <w:col w:w="5440"/>
          </w:cols>
          <w:pgMar w:left="240" w:top="225" w:right="25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Dissolution; Winding up</w:t>
      </w:r>
    </w:p>
    <w:p>
      <w:pPr>
        <w:sectPr>
          <w:pgSz w:w="11900" w:h="16838" w:orient="portrait"/>
          <w:cols w:equalWidth="0" w:num="1">
            <w:col w:w="11400"/>
          </w:cols>
          <w:pgMar w:left="240" w:top="225" w:right="259" w:bottom="1440" w:gutter="0" w:footer="0" w:header="0"/>
          <w:type w:val="continuous"/>
        </w:sectPr>
      </w:pP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806" w:lineRule="exact"/>
        <w:rPr>
          <w:sz w:val="20"/>
          <w:szCs w:val="20"/>
          <w:color w:val="auto"/>
        </w:rPr>
      </w:pPr>
    </w:p>
    <w:p>
      <w:pPr>
        <w:sectPr>
          <w:pgSz w:w="11900" w:h="16838" w:orient="portrait"/>
          <w:cols w:equalWidth="0" w:num="2">
            <w:col w:w="5420" w:space="540"/>
            <w:col w:w="5440"/>
          </w:cols>
          <w:pgMar w:left="240" w:top="225"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Variation of rights of shares</w:t>
      </w:r>
    </w:p>
    <w:p>
      <w:pPr>
        <w:sectPr>
          <w:pgSz w:w="11900" w:h="16838" w:orient="portrait"/>
          <w:cols w:equalWidth="0" w:num="1">
            <w:col w:w="11400"/>
          </w:cols>
          <w:pgMar w:left="240" w:top="225" w:right="259" w:bottom="1440" w:gutter="0" w:footer="0" w:header="0"/>
          <w:type w:val="continuous"/>
        </w:sectPr>
      </w:pP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360"/>
        <w:spacing w:after="0" w:line="289" w:lineRule="auto"/>
        <w:rPr>
          <w:sz w:val="20"/>
          <w:szCs w:val="20"/>
          <w:color w:val="auto"/>
        </w:rPr>
      </w:pPr>
      <w:r>
        <w:rPr>
          <w:rFonts w:ascii="Arial" w:cs="Arial" w:eastAsia="Arial" w:hAnsi="Arial"/>
          <w:sz w:val="16"/>
          <w:szCs w:val="16"/>
          <w:color w:val="auto"/>
        </w:rPr>
        <w:t>The general shareholder meeting of a Swiss corporation may resolve that preference shares be issued or that existing shares be converted into preference shares with a resolution passed by a simple majority of the votes cast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167" w:lineRule="exact"/>
        <w:rPr>
          <w:sz w:val="20"/>
          <w:szCs w:val="20"/>
          <w:color w:val="auto"/>
        </w:rPr>
      </w:pPr>
    </w:p>
    <w:p>
      <w:pPr>
        <w:ind w:left="360" w:right="240"/>
        <w:spacing w:after="0" w:line="277" w:lineRule="auto"/>
        <w:rPr>
          <w:sz w:val="20"/>
          <w:szCs w:val="20"/>
          <w:color w:val="auto"/>
        </w:rPr>
      </w:pPr>
      <w:r>
        <w:rPr>
          <w:rFonts w:ascii="Arial" w:cs="Arial" w:eastAsia="Arial" w:hAnsi="Arial"/>
          <w:sz w:val="18"/>
          <w:szCs w:val="18"/>
          <w:color w:val="auto"/>
        </w:rPr>
        <w:t>Shares with preferential voting rights are not regarded a special class for these purposes.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5220" w:space="380"/>
            <w:col w:w="5800"/>
          </w:cols>
          <w:pgMar w:left="240" w:top="225" w:right="259" w:bottom="1440" w:gutter="0" w:footer="0" w:header="0"/>
          <w:type w:val="continuous"/>
        </w:sectPr>
      </w:pPr>
    </w:p>
    <w:bookmarkStart w:id="26" w:name="page27"/>
    <w:bookmarkEnd w:id="2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ind w:right="1640"/>
        <w:spacing w:after="0"/>
        <w:tabs>
          <w:tab w:leader="none" w:pos="216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Amendment of governing documents</w:t>
      </w:r>
    </w:p>
    <w:p>
      <w:pPr>
        <w:sectPr>
          <w:pgSz w:w="11900" w:h="16838" w:orient="portrait"/>
          <w:cols w:equalWidth="0" w:num="1">
            <w:col w:w="11420"/>
          </w:cols>
          <w:pgMar w:left="240" w:top="225" w:right="239" w:bottom="1440" w:gutter="0" w:footer="0" w:header="0"/>
        </w:sectPr>
      </w:pP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articles of association of a Swiss corporation may be amended with a resolution passed by a simple majority of the votes cast at such meeting, unless otherwise provided in the articles of association. There are a number of resolutions, such as an amendment of the stated purpose of the corporation, the introduction of authorized and conditional capital and the introduction of shares with preferential voting rights that require the approval by two-thirds of the votes and an absolute majority of the nominal value of the shares represented at a shareholders’ meeting. The articles of association may increase the voting thresholds.</w:t>
      </w:r>
    </w:p>
    <w:p>
      <w:pPr>
        <w:spacing w:after="0" w:line="167" w:lineRule="exact"/>
        <w:rPr>
          <w:sz w:val="20"/>
          <w:szCs w:val="20"/>
          <w:color w:val="auto"/>
        </w:rPr>
      </w:pPr>
    </w:p>
    <w:p>
      <w:pPr>
        <w:sectPr>
          <w:pgSz w:w="11900" w:h="16838" w:orient="portrait"/>
          <w:cols w:equalWidth="0" w:num="2">
            <w:col w:w="5380" w:space="580"/>
            <w:col w:w="5460"/>
          </w:cols>
          <w:pgMar w:left="240" w:top="225"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Inspection of Books and Records</w:t>
      </w:r>
    </w:p>
    <w:p>
      <w:pPr>
        <w:sectPr>
          <w:pgSz w:w="11900" w:h="16838" w:orient="portrait"/>
          <w:cols w:equalWidth="0" w:num="1">
            <w:col w:w="11420"/>
          </w:cols>
          <w:pgMar w:left="240" w:top="225" w:right="239" w:bottom="1440" w:gutter="0" w:footer="0" w:header="0"/>
          <w:type w:val="continuous"/>
        </w:sectPr>
      </w:pPr>
    </w:p>
    <w:p>
      <w:pPr>
        <w:spacing w:after="0" w:line="24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166" w:lineRule="exact"/>
        <w:rPr>
          <w:sz w:val="20"/>
          <w:szCs w:val="20"/>
          <w:color w:val="auto"/>
        </w:rPr>
      </w:pPr>
    </w:p>
    <w:p>
      <w:pPr>
        <w:sectPr>
          <w:pgSz w:w="11900" w:h="16838" w:orient="portrait"/>
          <w:cols w:equalWidth="0" w:num="2">
            <w:col w:w="5420" w:space="540"/>
            <w:col w:w="5460"/>
          </w:cols>
          <w:pgMar w:left="240" w:top="225"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Payment of dividends</w:t>
      </w:r>
    </w:p>
    <w:p>
      <w:pPr>
        <w:sectPr>
          <w:pgSz w:w="11900" w:h="16838" w:orient="portrait"/>
          <w:cols w:equalWidth="0" w:num="1">
            <w:col w:w="11420"/>
          </w:cols>
          <w:pgMar w:left="240" w:top="225" w:right="239" w:bottom="1440" w:gutter="0" w:footer="0" w:header="0"/>
          <w:type w:val="continuous"/>
        </w:sectPr>
      </w:pPr>
    </w:p>
    <w:p>
      <w:pPr>
        <w:spacing w:after="0" w:line="2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187"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225" w:lineRule="exact"/>
        <w:rPr>
          <w:rFonts w:ascii="Arial" w:cs="Arial" w:eastAsia="Arial" w:hAnsi="Arial"/>
          <w:sz w:val="18"/>
          <w:szCs w:val="18"/>
          <w:color w:val="auto"/>
        </w:rPr>
      </w:pPr>
    </w:p>
    <w:p>
      <w:pPr>
        <w:ind w:left="160" w:right="40" w:hanging="152"/>
        <w:spacing w:after="0" w:line="342" w:lineRule="auto"/>
        <w:tabs>
          <w:tab w:leader="none" w:pos="139"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shall be paid but cannot itself authorize the distribution.</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200" w:lineRule="exact"/>
        <w:rPr>
          <w:sz w:val="20"/>
          <w:szCs w:val="20"/>
          <w:color w:val="auto"/>
        </w:rPr>
      </w:pPr>
    </w:p>
    <w:p>
      <w:pPr>
        <w:sectPr>
          <w:pgSz w:w="11900" w:h="16838" w:orient="portrait"/>
          <w:cols w:equalWidth="0" w:num="2">
            <w:col w:w="5420" w:space="540"/>
            <w:col w:w="5460"/>
          </w:cols>
          <w:pgMar w:left="240" w:top="225" w:right="239" w:bottom="1440" w:gutter="0" w:footer="0" w:header="0"/>
          <w:type w:val="continuous"/>
        </w:sectPr>
      </w:pPr>
    </w:p>
    <w:p>
      <w:pPr>
        <w:spacing w:after="0" w:line="8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27" w:name="page28"/>
    <w:bookmarkEnd w:id="2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ind w:right="1600"/>
        <w:spacing w:after="0"/>
        <w:tabs>
          <w:tab w:leader="none" w:pos="216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Creation and issuance of new shares</w:t>
      </w:r>
    </w:p>
    <w:p>
      <w:pPr>
        <w:sectPr>
          <w:pgSz w:w="11900" w:h="16838" w:orient="portrait"/>
          <w:cols w:equalWidth="0" w:num="1">
            <w:col w:w="11380"/>
          </w:cols>
          <w:pgMar w:left="240" w:top="225" w:right="279" w:bottom="1440" w:gutter="0" w:footer="0" w:header="0"/>
        </w:sectPr>
      </w:pP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All creation of shares require a shareholders’ resolution. An authorized or contingent capital increase requires at least two-thirds of the voting rights represented at the general meeting of shareholders and an absolute majority of the nominal value of shares represented. Authorized shares can be, once created by shareholder resolution, issued by the board of directors (subject to fulfillment of the authorization). Conditional shares are created and issued through the exercise of options and conversion rights related to debt instruments issued by the board of directors or such rights issued to employees.</w:t>
      </w:r>
    </w:p>
    <w:p>
      <w:pPr>
        <w:spacing w:after="0" w:line="200" w:lineRule="exact"/>
        <w:rPr>
          <w:sz w:val="20"/>
          <w:szCs w:val="20"/>
          <w:color w:val="auto"/>
        </w:rPr>
      </w:pPr>
    </w:p>
    <w:p>
      <w:pPr>
        <w:sectPr>
          <w:pgSz w:w="11900" w:h="16838" w:orient="portrait"/>
          <w:cols w:equalWidth="0" w:num="2">
            <w:col w:w="5420" w:space="540"/>
            <w:col w:w="5420"/>
          </w:cols>
          <w:pgMar w:left="240" w:top="225" w:right="279" w:bottom="1440" w:gutter="0" w:footer="0" w:header="0"/>
          <w:type w:val="continuous"/>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type w:val="continuous"/>
        </w:sectPr>
      </w:pPr>
    </w:p>
    <w:bookmarkStart w:id="28" w:name="page29"/>
    <w:bookmarkEnd w:id="2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This prospectus relates to periodic offers and sales by the selling shareholder listed below, and its pledgees, assignees, transferees and other successors in interest, of up to 18,041,000 common shares.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following table provides information regarding the selling shareholder’s beneficial ownership of our common shares as of August 22, 2018. Beneficial ownership is determined in accordance with the rules of the Commission and includes any common shares as to which a person has sole or shared voting power or investment power and any common shares which the person has the right to acquire within 60 days after August 22, 2018 through the exercise of any option, warrant or right or through the conversion of any convertible security. As described in the footnote to the table below, we believe, based on information furnished to us, that the selling shareholder in this table has shared voting and investment power with respect to the shares indicated as beneficially owned. The percentage of beneficial ownership is based upon 67,362,690 common shares issued and outstanding as of the date of this prospectus.</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260" w:type="dxa"/>
            <w:vAlign w:val="bottom"/>
            <w:tcBorders>
              <w:top w:val="single" w:sz="8" w:color="auto"/>
              <w:left w:val="single" w:sz="8" w:color="auto"/>
              <w:right w:val="single" w:sz="8" w:color="auto"/>
            </w:tcBorders>
          </w:tcPr>
          <w:p>
            <w:pPr>
              <w:spacing w:after="0"/>
              <w:rPr>
                <w:sz w:val="18"/>
                <w:szCs w:val="18"/>
                <w:color w:val="auto"/>
              </w:rPr>
            </w:pP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Number of common shares</w:t>
            </w:r>
          </w:p>
        </w:tc>
        <w:tc>
          <w:tcPr>
            <w:tcW w:w="2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Percentage of common shares</w:t>
            </w:r>
          </w:p>
        </w:tc>
        <w:tc>
          <w:tcPr>
            <w:tcW w:w="2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Maximum Common shares</w:t>
            </w:r>
          </w:p>
        </w:tc>
      </w:tr>
      <w:tr>
        <w:trPr>
          <w:trHeight w:val="216"/>
        </w:trPr>
        <w:tc>
          <w:tcPr>
            <w:tcW w:w="4260" w:type="dxa"/>
            <w:vAlign w:val="bottom"/>
            <w:tcBorders>
              <w:left w:val="single" w:sz="8" w:color="auto"/>
              <w:right w:val="single" w:sz="8" w:color="auto"/>
            </w:tcBorders>
          </w:tcPr>
          <w:p>
            <w:pPr>
              <w:spacing w:after="0"/>
              <w:rPr>
                <w:sz w:val="18"/>
                <w:szCs w:val="18"/>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beneficially owned prior to the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beneficially owned prior to the</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offered pursuant to this</w:t>
            </w:r>
          </w:p>
        </w:tc>
      </w:tr>
      <w:tr>
        <w:trPr>
          <w:trHeight w:val="230"/>
        </w:trPr>
        <w:tc>
          <w:tcPr>
            <w:tcW w:w="4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Name of Selling Shareholder</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offering</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offering</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prospectus</w:t>
            </w:r>
          </w:p>
        </w:tc>
      </w:tr>
      <w:tr>
        <w:trPr>
          <w:trHeight w:val="210"/>
        </w:trPr>
        <w:tc>
          <w:tcPr>
            <w:tcW w:w="42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dievini Hopp BioTech holding GmbH &amp; Co KG (1)</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18,041,000</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26.8%</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18,041,000</w:t>
            </w:r>
          </w:p>
        </w:tc>
      </w:tr>
    </w:tbl>
    <w:p>
      <w:pPr>
        <w:spacing w:after="0" w:line="229" w:lineRule="exact"/>
        <w:rPr>
          <w:sz w:val="20"/>
          <w:szCs w:val="20"/>
          <w:color w:val="auto"/>
        </w:rPr>
      </w:pPr>
    </w:p>
    <w:p>
      <w:pPr>
        <w:ind w:left="660" w:right="60" w:hanging="328"/>
        <w:spacing w:after="0" w:line="287"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18,041,000 common shares held of record by dievini Hopp BioTech holding GmbH &amp; Co KG (“dievini”). dievini Verwaltungs GmbH is the sole general partner entitled to represent dievini and has voting and investment power over the shares held of record by dievini. In addition, as managing directors of dievini Verwaltungs GmbH, Dietmar Hopp, Dr, Friedrich von Bohlen und Halbach, Prof. Dr. Chrisof Hettich and Dr. Mathias Hothum share voting and investment power over the shares held of record by dievini. DH-Capital GmbH &amp; Co KG (“DH-Capital”) and OH Beteiligungen GmbH &amp; Co. KG (“OH Beteiligungen”) each hold a 40% limited partner interest in dievini, together have the ability to influence the actions of dievini, and may be deemed to beneficially own the common shares held of record by dievini. Dietmar Hopp and Daniel Hopp share control DH-Capital and Oliver Hopp controls OH Beteiligungen and they may therefore be deemed to beneficially own the common shares held of record by dievini. Each of dievini Verwaltungs GmbH, Dietmar Hopp, Daniel Hopp, Oliver Hopp, DH-Capital, OH Beteiligungen, Dr, Friedrich von Bohlen und Halbach, Prof. Dr. Chrisof Hettich and Dr, Mathias Hothum disclaim beneficial ownership of the shares held of record by dievini except to the extent of their pecuniary interest therein, Dr. Friedrich von Bohlen und Halbach is also a non-executive director of the Company. The address for dievini Hopp BioTech holding GmbH &amp; Co KG, Friedrich von Bohlen und Halbach is Johann-Jakob-Astor Str. 57, 69190 Walldorf, Germany.</w:t>
      </w:r>
    </w:p>
    <w:p>
      <w:pPr>
        <w:spacing w:after="0" w:line="17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Pursuant to and subject to the terms and conditions set forth in the registration rights agreement we entered into with dievini Hopp BioTech holding GmbH &amp; Co KG on October 23, 2015, or the Registration Rights Agreement, we agreed, among other things, to register resales of our common shares under the Securities Act. We have also agreed to cause this registration statement to become effective and to keep such registration statement effective within and for the time periods set forth in the Registration Rights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will pay all expenses related to this registration, except for certain underwriting discounts or commissions or legal fees of the selling shareholder.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will pay all expenses related to the filing of the registration statement of which this prospectus forms a part.</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selling shareholder (and its pledgees, assignees, transferees and other successors in interest), may sell the securities in one or more of the following ways (or in any combination) from time to time:</w:t>
      </w:r>
    </w:p>
    <w:p>
      <w:pPr>
        <w:spacing w:after="0" w:line="170"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directly to purchasers or to a single purchaser;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any other method permitted by applicable law and, if required, described in an applicable prospectus supplement.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certain offerings by the selling shareholder, a prospectus supplement will state the terms of the offering of the securities, including:</w:t>
      </w:r>
    </w:p>
    <w:p>
      <w:pPr>
        <w:spacing w:after="0" w:line="248"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purchase price of such securities and the proceeds to be received by us, if 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initial public offering price and any discounts or concessions allowed or reallowed or paid to dealers may be changed from time to time.</w:t>
      </w:r>
    </w:p>
    <w:p>
      <w:pPr>
        <w:spacing w:after="0" w:line="23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If underwriters are used in in the sale, the securities will be acquired by the underwriters for their own account and may be resold from time to time in one or more transactions, including:</w:t>
      </w:r>
    </w:p>
    <w:p>
      <w:pPr>
        <w:spacing w:after="0" w:line="170"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negotiated transactions;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a fixed public offering price or prices, which may be changed;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225" w:right="41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right="700" w:firstLine="324"/>
        <w:spacing w:after="0" w:line="342" w:lineRule="auto"/>
        <w:rPr>
          <w:sz w:val="20"/>
          <w:szCs w:val="20"/>
          <w:color w:val="auto"/>
        </w:rPr>
      </w:pPr>
      <w:r>
        <w:rPr>
          <w:rFonts w:ascii="Arial" w:cs="Arial" w:eastAsia="Arial" w:hAnsi="Arial"/>
          <w:sz w:val="16"/>
          <w:szCs w:val="16"/>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124"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The selling shareholder,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18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Underwriters and agents may be entitled under agreements entered into with us to indemnification by us or the selling shareholder against certain civil liabilities, including liabilities under the Securities Act, or to contribution with respect to payments which the underwriters or agents may be required to make.</w:t>
      </w:r>
    </w:p>
    <w:p>
      <w:pPr>
        <w:spacing w:after="0" w:line="124"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8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Underwriters and agents may be customers of, engage in transactions with, or perform services for us or the selling shareholder and us or its respective affiliates in the ordinary course of business.</w:t>
      </w:r>
    </w:p>
    <w:p>
      <w:pPr>
        <w:spacing w:after="0" w:line="170"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The selling shareholder may sell common shares under this prospectus in any of these ways. The selling shareholder will act independently of us in making decisions with respect to the timing, manner and size of each sale. We are registering the sale of dievini Hopp BioTech holding GmbH &amp; Co KG’s common shares to satisfy registration rights that we granted to dievini Hopp BioTech holding GmbH &amp; Co KG pursuant to the registration rights agreement.</w:t>
      </w:r>
    </w:p>
    <w:p>
      <w:pPr>
        <w:spacing w:after="0" w:line="14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will indemnify the selling shareholder in connection with any liabilities incurred in connection with this registration statement due to any misstatements or omissions other than information provided by the selling shareholder in writing for use in this registration statement, and the selling shareholder will indemnify us in connection with any liabilities incurred in connection with this registration statement due to any misstatements or omissions in written statements by the applicable selling shareholder made for the purpose of their inclusion in this registration statement, provided, however, that that in no event will the selling shareholder’s liability exceed the gross proceeds from this offering received by the selling shareholder. We will pay all expenses related to this registration, except for certain underwriting discounts or commissions or legal fees.</w:t>
      </w:r>
    </w:p>
    <w:p>
      <w:pPr>
        <w:spacing w:after="0" w:line="17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accordance with the limitations and restrictions set forth in Rule 144 and Regulation S under the Securities Act, the selling shareholder may also sell all or a portion of common shares under Rule 144, Section 4(a)(1) under the Securities Act, Section 4(a)(7) under the Securities Act or Regulation S under the Securities Act, if available, rather than under this prospectus.</w:t>
      </w: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incorporate by reference herein:</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2017 Annual Report on Form 20-F for the fiscal year ended December 31, 2017;</w:t>
      </w:r>
    </w:p>
    <w:p>
      <w:pPr>
        <w:spacing w:after="0" w:line="252"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reports on Form 6-K furnished to the SEC on March 20, 2018 (only with respect to “Item 1.C—2017 Board Compensation” and “Item 2.C— 2017 Executive Compensation” of Exhibit 99.3), March 22, 2018, March 26, 2018, April 27, 2018, May 2, 2018 (only with respect to Exhibits 99.1 and 99.2), June 7, 2018, July 6, 2018, July 17, 2018, July 23, 2018, July 31, 2018 and August 8, 2018 (only with respect to Exhibits 99.1 and 99.2); and</w:t>
      </w:r>
    </w:p>
    <w:p>
      <w:pPr>
        <w:spacing w:after="0" w:line="213"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registration statement on Form 8-A filed with the SEC on September 23, 2016, including any amendments or reports filed for the purpose of updating such description.</w:t>
      </w:r>
    </w:p>
    <w:p>
      <w:pPr>
        <w:spacing w:after="0" w:line="17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that it is being incorporated by reference into this prospectus.</w:t>
      </w:r>
    </w:p>
    <w:p>
      <w:pPr>
        <w:spacing w:after="0" w:line="18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or at AC Immune SA, EPFL Innovation Park, Building B, 1015 Lausanne, Switzerland, or via telephone at +41 21 345 91 21.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 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18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4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proceeding involving the same parties and the same subject matter was first brought in Switzerland, or adjudicated in Switzerland, or was earlier adjudicated in a third state and this decision is recognizable in Switzerland.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34"/>
        </w:trPr>
        <w:tc>
          <w:tcPr>
            <w:tcW w:w="6220" w:type="dxa"/>
            <w:vAlign w:val="bottom"/>
            <w:tcBorders>
              <w:bottom w:val="single" w:sz="8" w:color="D5EAEA"/>
            </w:tcBorders>
          </w:tcPr>
          <w:p>
            <w:pPr>
              <w:spacing w:after="0"/>
              <w:rPr>
                <w:sz w:val="20"/>
                <w:szCs w:val="20"/>
                <w:color w:val="auto"/>
              </w:rPr>
            </w:pPr>
          </w:p>
        </w:tc>
        <w:tc>
          <w:tcPr>
            <w:tcW w:w="3840" w:type="dxa"/>
            <w:vAlign w:val="bottom"/>
            <w:tcBorders>
              <w:bottom w:val="single" w:sz="8" w:color="D5EAEA"/>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To Be Paid</w:t>
            </w:r>
          </w:p>
        </w:tc>
        <w:tc>
          <w:tcPr>
            <w:tcW w:w="0" w:type="dxa"/>
            <w:vAlign w:val="bottom"/>
          </w:tcPr>
          <w:p>
            <w:pPr>
              <w:spacing w:after="0"/>
              <w:rPr>
                <w:sz w:val="1"/>
                <w:szCs w:val="1"/>
                <w:color w:val="auto"/>
              </w:rPr>
            </w:pPr>
          </w:p>
        </w:tc>
      </w:tr>
      <w:tr>
        <w:trPr>
          <w:trHeight w:val="210"/>
        </w:trPr>
        <w:tc>
          <w:tcPr>
            <w:tcW w:w="6220" w:type="dxa"/>
            <w:vAlign w:val="bottom"/>
            <w:shd w:val="clear" w:color="auto" w:fill="D5EAEA"/>
          </w:tcPr>
          <w:p>
            <w:pPr>
              <w:spacing w:after="0"/>
              <w:rPr>
                <w:sz w:val="20"/>
                <w:szCs w:val="20"/>
                <w:color w:val="auto"/>
              </w:rPr>
            </w:pPr>
            <w:r>
              <w:rPr>
                <w:rFonts w:ascii="Arial" w:cs="Arial" w:eastAsia="Arial" w:hAnsi="Arial"/>
                <w:sz w:val="18"/>
                <w:szCs w:val="18"/>
                <w:color w:val="auto"/>
              </w:rPr>
              <w:t>SEC registration fee</w:t>
            </w:r>
          </w:p>
        </w:tc>
        <w:tc>
          <w:tcPr>
            <w:tcW w:w="3840" w:type="dxa"/>
            <w:vAlign w:val="bottom"/>
            <w:shd w:val="clear" w:color="auto" w:fill="D5EAEA"/>
          </w:tcPr>
          <w:p>
            <w:pPr>
              <w:spacing w:after="0"/>
              <w:rPr>
                <w:sz w:val="18"/>
                <w:szCs w:val="18"/>
                <w:color w:val="auto"/>
              </w:rPr>
            </w:pPr>
          </w:p>
        </w:tc>
        <w:tc>
          <w:tcPr>
            <w:tcW w:w="180" w:type="dxa"/>
            <w:vAlign w:val="bottom"/>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19,294.04</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FINRA filing fee</w:t>
            </w: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D5EAEA"/>
          </w:tcPr>
          <w:p>
            <w:pPr>
              <w:spacing w:after="0"/>
              <w:rPr>
                <w:sz w:val="20"/>
                <w:szCs w:val="20"/>
                <w:color w:val="auto"/>
              </w:rPr>
            </w:pPr>
            <w:r>
              <w:rPr>
                <w:rFonts w:ascii="Arial" w:cs="Arial" w:eastAsia="Arial" w:hAnsi="Arial"/>
                <w:sz w:val="18"/>
                <w:szCs w:val="18"/>
                <w:color w:val="auto"/>
              </w:rPr>
              <w:t>Transfer agent’s fees</w:t>
            </w:r>
          </w:p>
        </w:tc>
        <w:tc>
          <w:tcPr>
            <w:tcW w:w="384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1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D5EAEA"/>
          </w:tcPr>
          <w:p>
            <w:pPr>
              <w:spacing w:after="0"/>
              <w:rPr>
                <w:sz w:val="20"/>
                <w:szCs w:val="20"/>
                <w:color w:val="auto"/>
              </w:rPr>
            </w:pPr>
            <w:r>
              <w:rPr>
                <w:rFonts w:ascii="Arial" w:cs="Arial" w:eastAsia="Arial" w:hAnsi="Arial"/>
                <w:sz w:val="18"/>
                <w:szCs w:val="18"/>
                <w:color w:val="auto"/>
              </w:rPr>
              <w:t>Legal fees and expenses</w:t>
            </w:r>
          </w:p>
        </w:tc>
        <w:tc>
          <w:tcPr>
            <w:tcW w:w="384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1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D5EAEA"/>
          </w:tcPr>
          <w:p>
            <w:pPr>
              <w:spacing w:after="0"/>
              <w:rPr>
                <w:sz w:val="20"/>
                <w:szCs w:val="20"/>
                <w:color w:val="auto"/>
              </w:rPr>
            </w:pPr>
            <w:r>
              <w:rPr>
                <w:rFonts w:ascii="Arial" w:cs="Arial" w:eastAsia="Arial" w:hAnsi="Arial"/>
                <w:sz w:val="18"/>
                <w:szCs w:val="18"/>
                <w:color w:val="auto"/>
              </w:rPr>
              <w:t>Miscellaneous</w:t>
            </w:r>
          </w:p>
        </w:tc>
        <w:tc>
          <w:tcPr>
            <w:tcW w:w="3840" w:type="dxa"/>
            <w:vAlign w:val="bottom"/>
            <w:shd w:val="clear" w:color="auto" w:fill="D5EAEA"/>
          </w:tcPr>
          <w:p>
            <w:pPr>
              <w:spacing w:after="0"/>
              <w:rPr>
                <w:sz w:val="18"/>
                <w:szCs w:val="18"/>
                <w:color w:val="auto"/>
              </w:rPr>
            </w:pPr>
          </w:p>
        </w:tc>
        <w:tc>
          <w:tcPr>
            <w:tcW w:w="180" w:type="dxa"/>
            <w:vAlign w:val="bottom"/>
            <w:tcBorders>
              <w:bottom w:val="single" w:sz="8" w:color="auto"/>
            </w:tcBorders>
            <w:shd w:val="clear" w:color="auto" w:fill="D5EAEA"/>
          </w:tcPr>
          <w:p>
            <w:pPr>
              <w:spacing w:after="0"/>
              <w:rPr>
                <w:sz w:val="18"/>
                <w:szCs w:val="18"/>
                <w:color w:val="auto"/>
              </w:rPr>
            </w:pPr>
          </w:p>
        </w:tc>
        <w:tc>
          <w:tcPr>
            <w:tcW w:w="118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color w:val="auto"/>
              </w:rPr>
              <w:t>Total</w:t>
            </w:r>
          </w:p>
        </w:tc>
        <w:tc>
          <w:tcPr>
            <w:tcW w:w="38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vMerge w:val="continue"/>
          </w:tcPr>
          <w:p>
            <w:pPr>
              <w:spacing w:after="0"/>
              <w:rPr>
                <w:sz w:val="17"/>
                <w:szCs w:val="17"/>
                <w:color w:val="auto"/>
              </w:rPr>
            </w:pPr>
          </w:p>
        </w:tc>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80" w:hanging="318"/>
        <w:spacing w:after="0"/>
        <w:tabs>
          <w:tab w:leader="none" w:pos="3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 be provided by a prospectus supplement or as an exhibit to a Report on Form 6-K that is incorporated by reference into this prospectus.</w:t>
      </w:r>
    </w:p>
    <w:p>
      <w:pPr>
        <w:spacing w:after="0" w:line="218" w:lineRule="exact"/>
        <w:rPr>
          <w:rFonts w:ascii="Arial" w:cs="Arial" w:eastAsia="Arial" w:hAnsi="Arial"/>
          <w:sz w:val="17"/>
          <w:szCs w:val="17"/>
          <w:color w:val="auto"/>
        </w:rPr>
      </w:pPr>
    </w:p>
    <w:p>
      <w:pPr>
        <w:ind w:left="4940"/>
        <w:spacing w:after="0"/>
        <w:rPr>
          <w:rFonts w:ascii="Arial" w:cs="Arial" w:eastAsia="Arial" w:hAnsi="Arial"/>
          <w:sz w:val="17"/>
          <w:szCs w:val="17"/>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validity of our common shares and certain other matters of Swiss law will be passed upon for us by Vischer AG, Zurich, Switzerland. Certain matters of U.S. federal and New York State law will be passed upon for us by Davis Polk &amp; Wardwell LLP,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financial statements of AC Immune SA appearing in AC Immune SA’s Annual Report (Form 20-F) for the year ended December 31, 2017 have been audited by Ernst &amp; Young AG, Switzerland, an independent registered public accounting firm, as set forth in their report thereon, included therein, and incorporated herein by reference. Such financial statements are incorporated herein by reference in reliance upon such report given the authority of such firm as experts in accounting and auditing.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address of Ernst &amp; Young AG is Route de Chancy 59, 1213 Petit-Lancy, Switzerland.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880110</wp:posOffset>
            </wp:positionV>
            <wp:extent cx="2152650" cy="677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2650" cy="677545"/>
                    </a:xfrm>
                    <a:prstGeom prst="rect">
                      <a:avLst/>
                    </a:prstGeom>
                    <a:noFill/>
                  </pic:spPr>
                </pic:pic>
              </a:graphicData>
            </a:graphic>
          </wp:anchor>
        </w:drawing>
      </w:r>
    </w:p>
    <w:p>
      <w:pPr>
        <w:sectPr>
          <w:pgSz w:w="11900" w:h="16838" w:orient="portrait"/>
          <w:cols w:equalWidth="0" w:num="1">
            <w:col w:w="10219"/>
          </w:cols>
          <w:pgMar w:left="240" w:top="2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80"/>
        <w:spacing w:after="0"/>
        <w:rPr>
          <w:sz w:val="20"/>
          <w:szCs w:val="20"/>
          <w:color w:val="auto"/>
        </w:rPr>
      </w:pPr>
      <w:r>
        <w:rPr>
          <w:rFonts w:ascii="Arial" w:cs="Arial" w:eastAsia="Arial" w:hAnsi="Arial"/>
          <w:sz w:val="32"/>
          <w:szCs w:val="32"/>
          <w:b w:val="1"/>
          <w:bCs w:val="1"/>
          <w:color w:val="auto"/>
        </w:rPr>
        <w:t>AC IMMUNE SA</w:t>
      </w:r>
    </w:p>
    <w:p>
      <w:pPr>
        <w:spacing w:after="0" w:line="38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___________________________</w:t>
      </w:r>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843915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861060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1221105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25" w:right="1440" w:bottom="1440" w:gutter="0" w:footer="0" w:header="0"/>
          <w:type w:val="continuous"/>
        </w:sectPr>
      </w:pPr>
    </w:p>
    <w:bookmarkStart w:id="34" w:name="page35"/>
    <w:bookmarkEnd w:id="3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INFORMATION NOT REQUIRED IN 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229"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66"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entered or will enter into indemnification agreements with each of the members of our board of directors and executive management.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80" w:type="dxa"/>
            <w:vAlign w:val="bottom"/>
            <w:gridSpan w:val="6"/>
          </w:tcPr>
          <w:p>
            <w:pPr>
              <w:ind w:left="74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100" w:type="dxa"/>
            <w:vAlign w:val="bottom"/>
            <w:gridSpan w:val="10"/>
          </w:tcPr>
          <w:p>
            <w:pPr>
              <w:ind w:left="20"/>
              <w:spacing w:after="0"/>
              <w:rPr>
                <w:sz w:val="20"/>
                <w:szCs w:val="20"/>
                <w:color w:val="auto"/>
              </w:rPr>
            </w:pPr>
            <w:r>
              <w:rPr>
                <w:rFonts w:ascii="Arial" w:cs="Arial" w:eastAsia="Arial" w:hAnsi="Arial"/>
                <w:sz w:val="18"/>
                <w:szCs w:val="18"/>
                <w:color w:val="auto"/>
              </w:rPr>
              <w:t>The following documents are filed as part of this registration statement:</w:t>
            </w:r>
          </w:p>
        </w:tc>
      </w:tr>
      <w:tr>
        <w:trPr>
          <w:trHeight w:val="418"/>
        </w:trPr>
        <w:tc>
          <w:tcPr>
            <w:tcW w:w="104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Number</w:t>
            </w:r>
          </w:p>
        </w:tc>
        <w:tc>
          <w:tcPr>
            <w:tcW w:w="1038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rPr>
              <w:t>Description</w:t>
            </w:r>
          </w:p>
        </w:tc>
      </w:tr>
      <w:tr>
        <w:trPr>
          <w:trHeight w:val="169"/>
        </w:trPr>
        <w:tc>
          <w:tcPr>
            <w:tcW w:w="240" w:type="dxa"/>
            <w:vAlign w:val="bottom"/>
          </w:tcPr>
          <w:p>
            <w:pPr>
              <w:spacing w:after="0" w:line="170" w:lineRule="exact"/>
              <w:rPr>
                <w:rFonts w:ascii="Arial" w:cs="Arial" w:eastAsia="Arial" w:hAnsi="Arial"/>
                <w:sz w:val="18"/>
                <w:szCs w:val="18"/>
                <w:color w:val="0000EE"/>
                <w:w w:val="87"/>
              </w:rPr>
            </w:pPr>
            <w:hyperlink r:id="rId5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380" w:type="dxa"/>
            <w:vAlign w:val="bottom"/>
            <w:gridSpan w:val="9"/>
          </w:tcPr>
          <w:p>
            <w:pPr>
              <w:spacing w:after="0" w:line="170" w:lineRule="exact"/>
              <w:rPr>
                <w:rFonts w:ascii="Arial" w:cs="Arial" w:eastAsia="Arial" w:hAnsi="Arial"/>
                <w:sz w:val="18"/>
                <w:szCs w:val="18"/>
                <w:color w:val="0000EE"/>
                <w:w w:val="93"/>
              </w:rPr>
            </w:pPr>
            <w:hyperlink r:id="rId57">
              <w:r>
                <w:rPr>
                  <w:rFonts w:ascii="Arial" w:cs="Arial" w:eastAsia="Arial" w:hAnsi="Arial"/>
                  <w:sz w:val="18"/>
                  <w:szCs w:val="18"/>
                  <w:color w:val="0000EE"/>
                  <w:w w:val="93"/>
                </w:rPr>
                <w:t>Articles of Association (incorporated herein by reference to Exhibit 3.1 to the Company’s Report of Foreign Private Issuer on Form 6-K filed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1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with the SEC on August 8, 2018)</w:t>
              </w:r>
            </w:hyperlink>
          </w:p>
        </w:tc>
        <w:tc>
          <w:tcPr>
            <w:tcW w:w="200" w:type="dxa"/>
            <w:vAlign w:val="bottom"/>
            <w:gridSpan w:val="2"/>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58">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3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58">
              <w:r>
                <w:rPr>
                  <w:rFonts w:ascii="Arial" w:cs="Arial" w:eastAsia="Arial" w:hAnsi="Arial"/>
                  <w:sz w:val="18"/>
                  <w:szCs w:val="18"/>
                  <w:color w:val="0000EE"/>
                  <w:w w:val="90"/>
                </w:rPr>
                <w:t>Registration Rights Agreement dated as of October 23, 2015 among AC Immune SA and the Shareholders Party hereto (incorporated herein by</w:t>
              </w:r>
            </w:hyperlink>
          </w:p>
        </w:tc>
        <w:tc>
          <w:tcPr>
            <w:tcW w:w="4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380" w:type="dxa"/>
            <w:vAlign w:val="bottom"/>
            <w:gridSpan w:val="9"/>
          </w:tcPr>
          <w:p>
            <w:pPr>
              <w:spacing w:after="0" w:line="196" w:lineRule="exact"/>
              <w:rPr>
                <w:rFonts w:ascii="Arial" w:cs="Arial" w:eastAsia="Arial" w:hAnsi="Arial"/>
                <w:sz w:val="18"/>
                <w:szCs w:val="18"/>
                <w:color w:val="0000EE"/>
                <w:w w:val="94"/>
              </w:rPr>
            </w:pPr>
            <w:hyperlink r:id="rId58">
              <w:r>
                <w:rPr>
                  <w:rFonts w:ascii="Arial" w:cs="Arial" w:eastAsia="Arial" w:hAnsi="Arial"/>
                  <w:sz w:val="18"/>
                  <w:szCs w:val="18"/>
                  <w:color w:val="0000EE"/>
                  <w:w w:val="94"/>
                </w:rPr>
                <w:t>reference to Exhibit 4.1 in the Company’s Registration Statement on Form F-1 (File No. 333-211714) filed with the SEC on May 31, 2016).</w:t>
              </w:r>
            </w:hyperlink>
          </w:p>
        </w:tc>
      </w:tr>
      <w:tr>
        <w:trPr>
          <w:trHeight w:val="196"/>
        </w:trPr>
        <w:tc>
          <w:tcPr>
            <w:tcW w:w="240" w:type="dxa"/>
            <w:vAlign w:val="bottom"/>
          </w:tcPr>
          <w:p>
            <w:pPr>
              <w:spacing w:after="0" w:line="196" w:lineRule="exact"/>
              <w:rPr>
                <w:sz w:val="20"/>
                <w:szCs w:val="20"/>
                <w:color w:val="auto"/>
              </w:rPr>
            </w:pPr>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8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Opinion of Vischer AG, Swiss Counsel of AC Immune SA</w:t>
            </w:r>
          </w:p>
        </w:tc>
        <w:tc>
          <w:tcPr>
            <w:tcW w:w="300" w:type="dxa"/>
            <w:vAlign w:val="bottom"/>
            <w:gridSpan w:val="3"/>
          </w:tcPr>
          <w:p>
            <w:pPr>
              <w:spacing w:after="0"/>
              <w:rPr>
                <w:sz w:val="17"/>
                <w:szCs w:val="17"/>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r>
      <w:tr>
        <w:trPr>
          <w:trHeight w:val="196"/>
        </w:trPr>
        <w:tc>
          <w:tcPr>
            <w:tcW w:w="320" w:type="dxa"/>
            <w:vAlign w:val="bottom"/>
            <w:gridSpan w:val="2"/>
          </w:tcPr>
          <w:p>
            <w:pPr>
              <w:spacing w:after="0" w:line="196" w:lineRule="exact"/>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p>
        </w:tc>
        <w:tc>
          <w:tcPr>
            <w:tcW w:w="720" w:type="dxa"/>
            <w:vAlign w:val="bottom"/>
          </w:tcPr>
          <w:p>
            <w:pPr>
              <w:spacing w:after="0"/>
              <w:rPr>
                <w:sz w:val="17"/>
                <w:szCs w:val="17"/>
                <w:color w:val="auto"/>
              </w:rPr>
            </w:pPr>
          </w:p>
        </w:tc>
        <w:tc>
          <w:tcPr>
            <w:tcW w:w="10380" w:type="dxa"/>
            <w:vAlign w:val="bottom"/>
            <w:gridSpan w:val="9"/>
          </w:tcPr>
          <w:p>
            <w:pPr>
              <w:spacing w:after="0" w:line="196" w:lineRule="exact"/>
              <w:rPr>
                <w:sz w:val="20"/>
                <w:szCs w:val="20"/>
                <w:color w:val="auto"/>
              </w:rPr>
            </w:pPr>
            <w:r>
              <w:rPr>
                <w:rFonts w:ascii="Arial" w:cs="Arial" w:eastAsia="Arial" w:hAnsi="Arial"/>
                <w:sz w:val="18"/>
                <w:szCs w:val="18"/>
                <w:color w:val="0000EE"/>
              </w:rPr>
              <w:t>Consent of Vischer AG (included in Exhibit 5.1)</w:t>
            </w:r>
          </w:p>
        </w:tc>
      </w:tr>
      <w:tr>
        <w:trPr>
          <w:trHeight w:val="196"/>
        </w:trPr>
        <w:tc>
          <w:tcPr>
            <w:tcW w:w="32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p>
        </w:tc>
        <w:tc>
          <w:tcPr>
            <w:tcW w:w="720" w:type="dxa"/>
            <w:vAlign w:val="bottom"/>
          </w:tcPr>
          <w:p>
            <w:pPr>
              <w:spacing w:after="0"/>
              <w:rPr>
                <w:sz w:val="17"/>
                <w:szCs w:val="17"/>
                <w:color w:val="auto"/>
              </w:rPr>
            </w:pPr>
          </w:p>
        </w:tc>
        <w:tc>
          <w:tcPr>
            <w:tcW w:w="35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0000EE"/>
              </w:rPr>
              <w:t>Consent of Ernst &amp; Young LLP</w:t>
            </w:r>
          </w:p>
        </w:tc>
        <w:tc>
          <w:tcPr>
            <w:tcW w:w="6880" w:type="dxa"/>
            <w:vAlign w:val="bottom"/>
            <w:gridSpan w:val="6"/>
          </w:tcPr>
          <w:p>
            <w:pPr>
              <w:spacing w:after="0"/>
              <w:rPr>
                <w:sz w:val="17"/>
                <w:szCs w:val="17"/>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r>
      <w:tr>
        <w:trPr>
          <w:trHeight w:val="196"/>
        </w:trPr>
        <w:tc>
          <w:tcPr>
            <w:tcW w:w="3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9">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720" w:type="dxa"/>
            <w:vAlign w:val="bottom"/>
          </w:tcPr>
          <w:p>
            <w:pPr>
              <w:spacing w:after="0"/>
              <w:rPr>
                <w:sz w:val="17"/>
                <w:szCs w:val="17"/>
                <w:color w:val="auto"/>
              </w:rPr>
            </w:pPr>
          </w:p>
        </w:tc>
        <w:tc>
          <w:tcPr>
            <w:tcW w:w="55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Powers of attorney (included on signature page to this registration statement)</w:t>
              </w:r>
            </w:hyperlink>
          </w:p>
        </w:tc>
        <w:tc>
          <w:tcPr>
            <w:tcW w:w="4820" w:type="dxa"/>
            <w:vAlign w:val="bottom"/>
            <w:gridSpan w:val="4"/>
          </w:tcPr>
          <w:p>
            <w:pPr>
              <w:spacing w:after="0"/>
              <w:rPr>
                <w:sz w:val="17"/>
                <w:szCs w:val="17"/>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UNDERTAKINGS</w:t>
      </w:r>
    </w:p>
    <w:p>
      <w:pPr>
        <w:spacing w:after="0" w:line="229"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2"/>
          <w:numId w:val="3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340" w:right="220" w:firstLine="316"/>
        <w:spacing w:after="0" w:line="255" w:lineRule="auto"/>
        <w:tabs>
          <w:tab w:leader="none" w:pos="929" w:val="left"/>
        </w:tabs>
        <w:numPr>
          <w:ilvl w:val="2"/>
          <w:numId w:val="31"/>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189" w:lineRule="exact"/>
        <w:rPr>
          <w:rFonts w:ascii="Arial" w:cs="Arial" w:eastAsia="Arial" w:hAnsi="Arial"/>
          <w:sz w:val="18"/>
          <w:szCs w:val="18"/>
          <w:color w:val="auto"/>
        </w:rPr>
      </w:pPr>
    </w:p>
    <w:p>
      <w:pPr>
        <w:ind w:left="340" w:right="60" w:firstLine="316"/>
        <w:spacing w:after="0" w:line="277" w:lineRule="auto"/>
        <w:tabs>
          <w:tab w:leader="none" w:pos="979" w:val="left"/>
        </w:tabs>
        <w:numPr>
          <w:ilvl w:val="2"/>
          <w:numId w:val="3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225" w:lineRule="exact"/>
        <w:rPr>
          <w:sz w:val="20"/>
          <w:szCs w:val="20"/>
          <w:color w:val="auto"/>
        </w:rPr>
      </w:pPr>
    </w:p>
    <w:p>
      <w:pPr>
        <w:ind w:left="660" w:firstLine="320"/>
        <w:spacing w:after="0" w:line="259" w:lineRule="auto"/>
        <w:tabs>
          <w:tab w:leader="none" w:pos="1279" w:val="left"/>
        </w:tabs>
        <w:numPr>
          <w:ilvl w:val="1"/>
          <w:numId w:val="32"/>
        </w:numPr>
        <w:rPr>
          <w:rFonts w:ascii="Arial" w:cs="Arial" w:eastAsia="Arial" w:hAnsi="Arial"/>
          <w:sz w:val="18"/>
          <w:szCs w:val="18"/>
          <w:color w:val="auto"/>
        </w:rPr>
      </w:pPr>
      <w:r>
        <w:rPr>
          <w:rFonts w:ascii="Arial" w:cs="Arial" w:eastAsia="Arial" w:hAnsi="Arial"/>
          <w:sz w:val="18"/>
          <w:szCs w:val="18"/>
          <w:color w:val="auto"/>
        </w:rPr>
        <w:t>Paragraphs (a)(1)(i) and (a)(1)(ii) of this section do not apply if the registration statement is on Form S-8 (§ 239.16b of this chapter), and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the registration statement; and</w:t>
      </w:r>
    </w:p>
    <w:p>
      <w:pPr>
        <w:spacing w:after="0" w:line="186" w:lineRule="exact"/>
        <w:rPr>
          <w:rFonts w:ascii="Arial" w:cs="Arial" w:eastAsia="Arial" w:hAnsi="Arial"/>
          <w:sz w:val="18"/>
          <w:szCs w:val="18"/>
          <w:color w:val="auto"/>
        </w:rPr>
      </w:pPr>
    </w:p>
    <w:p>
      <w:pPr>
        <w:ind w:left="660" w:right="160" w:firstLine="320"/>
        <w:spacing w:after="0" w:line="257" w:lineRule="auto"/>
        <w:tabs>
          <w:tab w:leader="none" w:pos="1269" w:val="left"/>
        </w:tabs>
        <w:numPr>
          <w:ilvl w:val="1"/>
          <w:numId w:val="32"/>
        </w:numPr>
        <w:rPr>
          <w:rFonts w:ascii="Arial" w:cs="Arial" w:eastAsia="Arial" w:hAnsi="Arial"/>
          <w:sz w:val="18"/>
          <w:szCs w:val="18"/>
          <w:color w:val="auto"/>
        </w:rPr>
      </w:pPr>
      <w:r>
        <w:rPr>
          <w:rFonts w:ascii="Arial" w:cs="Arial" w:eastAsia="Arial" w:hAnsi="Arial"/>
          <w:sz w:val="18"/>
          <w:szCs w:val="18"/>
          <w:color w:val="auto"/>
        </w:rPr>
        <w:t>Paragraphs (a)(1)(i), (a)(1)(ii) and (a)(1)(iii) of this section do not apply if the registration statement is on Form S-3 (§ 239.13 of this chapter) or Form F-3 (§ 239.33 of this chapter)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 230.424(b) of this chapter) that is part of the registration statement.</w:t>
      </w:r>
    </w:p>
    <w:p>
      <w:pPr>
        <w:spacing w:after="0" w:line="188" w:lineRule="exact"/>
        <w:rPr>
          <w:rFonts w:ascii="Arial" w:cs="Arial" w:eastAsia="Arial" w:hAnsi="Arial"/>
          <w:sz w:val="18"/>
          <w:szCs w:val="18"/>
          <w:color w:val="auto"/>
        </w:rPr>
      </w:pPr>
    </w:p>
    <w:p>
      <w:pPr>
        <w:ind w:left="660" w:right="80" w:firstLine="320"/>
        <w:spacing w:after="0" w:line="264" w:lineRule="auto"/>
        <w:tabs>
          <w:tab w:leader="none" w:pos="1269" w:val="left"/>
        </w:tabs>
        <w:numPr>
          <w:ilvl w:val="1"/>
          <w:numId w:val="32"/>
        </w:numPr>
        <w:rPr>
          <w:rFonts w:ascii="Arial" w:cs="Arial" w:eastAsia="Arial" w:hAnsi="Arial"/>
          <w:sz w:val="18"/>
          <w:szCs w:val="18"/>
          <w:color w:val="auto"/>
        </w:rPr>
      </w:pPr>
      <w:r>
        <w:rPr>
          <w:rFonts w:ascii="Arial" w:cs="Arial" w:eastAsia="Arial" w:hAnsi="Arial"/>
          <w:sz w:val="18"/>
          <w:szCs w:val="18"/>
          <w:color w:val="auto"/>
        </w:rPr>
        <w:t>Provided further, however, that paragraphs (a)(1)(i) and (a)(1)(ii) do not apply if the registration statement is for an offering of asset-backed securities on Form S-1 (§ 239.11 of this chapter) or Form S-3 (§ 239.13 of this chapter), and the information required to be included in a post-effective amendment is provided pursuant to Item 1100(c) of Regulation AB (§ 229.1100(c)).</w:t>
      </w:r>
    </w:p>
    <w:p>
      <w:pPr>
        <w:spacing w:after="0" w:line="181" w:lineRule="exact"/>
        <w:rPr>
          <w:rFonts w:ascii="Arial" w:cs="Arial" w:eastAsia="Arial" w:hAnsi="Arial"/>
          <w:sz w:val="18"/>
          <w:szCs w:val="18"/>
          <w:color w:val="auto"/>
        </w:rPr>
      </w:pPr>
    </w:p>
    <w:p>
      <w:pPr>
        <w:ind w:right="120" w:firstLine="332"/>
        <w:spacing w:after="0" w:line="264" w:lineRule="auto"/>
        <w:tabs>
          <w:tab w:leader="none" w:pos="57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60" w:firstLine="332"/>
        <w:spacing w:after="0" w:line="277" w:lineRule="auto"/>
        <w:tabs>
          <w:tab w:leader="none" w:pos="57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right="80" w:firstLine="332"/>
        <w:spacing w:after="0" w:line="264" w:lineRule="auto"/>
        <w:tabs>
          <w:tab w:leader="none" w:pos="57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 239.33 of this chapter), a post-effective amendment need not be filed to include financial statements and information required by Section 10(a)(3) of the Act or § 210.3-19 of this chapter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93" w:lineRule="exact"/>
        <w:rPr>
          <w:sz w:val="20"/>
          <w:szCs w:val="20"/>
          <w:color w:val="auto"/>
        </w:rPr>
      </w:pPr>
    </w:p>
    <w:p>
      <w:pPr>
        <w:ind w:left="580" w:hanging="248"/>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340" w:right="80" w:firstLine="316"/>
        <w:spacing w:after="0" w:line="277" w:lineRule="auto"/>
        <w:tabs>
          <w:tab w:leader="none" w:pos="959"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340" w:right="20" w:firstLine="316"/>
        <w:spacing w:after="0" w:line="269" w:lineRule="auto"/>
        <w:tabs>
          <w:tab w:leader="none" w:pos="949" w:val="left"/>
        </w:tabs>
        <w:numPr>
          <w:ilvl w:val="1"/>
          <w:numId w:val="34"/>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82" w:lineRule="exact"/>
        <w:rPr>
          <w:rFonts w:ascii="Arial" w:cs="Arial" w:eastAsia="Arial" w:hAnsi="Arial"/>
          <w:sz w:val="17"/>
          <w:szCs w:val="17"/>
          <w:color w:val="auto"/>
        </w:rPr>
      </w:pPr>
    </w:p>
    <w:p>
      <w:pPr>
        <w:ind w:right="540" w:firstLine="332"/>
        <w:spacing w:after="0" w:line="277" w:lineRule="auto"/>
        <w:tabs>
          <w:tab w:leader="none" w:pos="57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7" w:lineRule="exact"/>
        <w:rPr>
          <w:sz w:val="20"/>
          <w:szCs w:val="20"/>
          <w:color w:val="auto"/>
        </w:rPr>
      </w:pPr>
    </w:p>
    <w:p>
      <w:pPr>
        <w:ind w:left="880" w:hanging="224"/>
        <w:spacing w:after="0"/>
        <w:tabs>
          <w:tab w:leader="none" w:pos="8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340" w:right="820" w:firstLine="316"/>
        <w:spacing w:after="0" w:line="277" w:lineRule="auto"/>
        <w:tabs>
          <w:tab w:leader="none" w:pos="929"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340" w:right="200" w:firstLine="316"/>
        <w:spacing w:after="0" w:line="277" w:lineRule="auto"/>
        <w:tabs>
          <w:tab w:leader="none" w:pos="979"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firstLine="8"/>
        <w:spacing w:after="0" w:line="312" w:lineRule="auto"/>
        <w:tabs>
          <w:tab w:leader="none" w:pos="2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w:t>
      </w: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shall be deemed to be a new registration statement relating to the securities offered therein, and the offering of such securities at that time shall be deemed to be the initial bona fide offering thereof.</w:t>
      </w:r>
    </w:p>
    <w:p>
      <w:pPr>
        <w:spacing w:after="0" w:line="170" w:lineRule="exact"/>
        <w:rPr>
          <w:sz w:val="20"/>
          <w:szCs w:val="20"/>
          <w:color w:val="auto"/>
        </w:rPr>
      </w:pPr>
    </w:p>
    <w:p>
      <w:pPr>
        <w:ind w:right="100" w:firstLine="8"/>
        <w:spacing w:after="0" w:line="254" w:lineRule="auto"/>
        <w:tabs>
          <w:tab w:leader="none" w:pos="2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2"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jc w:val="both"/>
        <w:ind w:right="200" w:firstLine="332"/>
        <w:spacing w:after="0" w:line="286" w:lineRule="auto"/>
        <w:tabs>
          <w:tab w:leader="none" w:pos="579" w:val="left"/>
        </w:tabs>
        <w:numPr>
          <w:ilvl w:val="1"/>
          <w:numId w:val="37"/>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jc w:val="both"/>
        <w:ind w:firstLine="332"/>
        <w:spacing w:after="0" w:line="264" w:lineRule="auto"/>
        <w:tabs>
          <w:tab w:leader="none" w:pos="579" w:val="left"/>
        </w:tabs>
        <w:numPr>
          <w:ilvl w:val="1"/>
          <w:numId w:val="3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120" w:firstLine="8"/>
        <w:spacing w:after="0" w:line="264" w:lineRule="auto"/>
        <w:tabs>
          <w:tab w:leader="none" w:pos="2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Lausanne, Switzerland on August 24, 2018.</w:t>
      </w:r>
    </w:p>
    <w:p>
      <w:pPr>
        <w:spacing w:after="0" w:line="18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AC IMMUNE SA</w:t>
      </w:r>
    </w:p>
    <w:p>
      <w:pPr>
        <w:spacing w:after="0" w:line="200" w:lineRule="exact"/>
        <w:rPr>
          <w:sz w:val="20"/>
          <w:szCs w:val="20"/>
          <w:color w:val="auto"/>
        </w:rPr>
      </w:pPr>
    </w:p>
    <w:p>
      <w:pPr>
        <w:spacing w:after="0" w:line="241" w:lineRule="exact"/>
        <w:rPr>
          <w:sz w:val="20"/>
          <w:szCs w:val="20"/>
          <w:color w:val="auto"/>
        </w:rPr>
      </w:pPr>
    </w:p>
    <w:tbl>
      <w:tblPr>
        <w:tblLayout w:type="fixed"/>
        <w:tblInd w:w="62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Joerg Hornstein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Andrea Pfeifer and Joerg Hornstein 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hereto, including post-effective amendments and registrations field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required and necessary to be done in and about the premises, as fully to all intents and purposes as he might or could do in person, hereby ratifying and confirming all that said attorneys-in-fact and agents or his substitute, may lawfully do or cause to be done by virtue of hereof.</w:t>
      </w:r>
    </w:p>
    <w:p>
      <w:pPr>
        <w:spacing w:after="0" w:line="166"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20" w:type="dxa"/>
            <w:vAlign w:val="bottom"/>
          </w:tcPr>
          <w:p>
            <w:pPr>
              <w:spacing w:after="0"/>
              <w:rPr>
                <w:sz w:val="20"/>
                <w:szCs w:val="20"/>
                <w:color w:val="auto"/>
              </w:rPr>
            </w:pPr>
          </w:p>
        </w:tc>
        <w:tc>
          <w:tcPr>
            <w:tcW w:w="228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Date</w:t>
            </w:r>
          </w:p>
        </w:tc>
      </w:tr>
      <w:tr>
        <w:trPr>
          <w:trHeight w:val="411"/>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Andrea Pfeifer</w:t>
            </w:r>
          </w:p>
        </w:tc>
        <w:tc>
          <w:tcPr>
            <w:tcW w:w="12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120" w:type="dxa"/>
            <w:vAlign w:val="bottom"/>
          </w:tcPr>
          <w:p>
            <w:pPr>
              <w:spacing w:after="0"/>
              <w:rPr>
                <w:sz w:val="20"/>
                <w:szCs w:val="20"/>
                <w:color w:val="auto"/>
              </w:rPr>
            </w:pPr>
          </w:p>
        </w:tc>
        <w:tc>
          <w:tcPr>
            <w:tcW w:w="2280" w:type="dxa"/>
            <w:vAlign w:val="bottom"/>
          </w:tcPr>
          <w:p>
            <w:pPr>
              <w:ind w:left="540"/>
              <w:spacing w:after="0"/>
              <w:rPr>
                <w:sz w:val="20"/>
                <w:szCs w:val="20"/>
                <w:color w:val="auto"/>
              </w:rPr>
            </w:pPr>
            <w:r>
              <w:rPr>
                <w:rFonts w:ascii="Arial" w:cs="Arial" w:eastAsia="Arial" w:hAnsi="Arial"/>
                <w:sz w:val="18"/>
                <w:szCs w:val="18"/>
                <w:color w:val="auto"/>
              </w:rPr>
              <w:t>August 24,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2"/>
              </w:rPr>
              <w:t>Andrea Pfeifer</w:t>
            </w:r>
          </w:p>
        </w:tc>
        <w:tc>
          <w:tcPr>
            <w:tcW w:w="1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04"/>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Joerg Hornstein</w:t>
            </w:r>
          </w:p>
        </w:tc>
        <w:tc>
          <w:tcPr>
            <w:tcW w:w="12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120" w:type="dxa"/>
            <w:vAlign w:val="bottom"/>
          </w:tcPr>
          <w:p>
            <w:pPr>
              <w:spacing w:after="0"/>
              <w:rPr>
                <w:sz w:val="20"/>
                <w:szCs w:val="20"/>
                <w:color w:val="auto"/>
              </w:rPr>
            </w:pPr>
          </w:p>
        </w:tc>
        <w:tc>
          <w:tcPr>
            <w:tcW w:w="2280" w:type="dxa"/>
            <w:vAlign w:val="bottom"/>
          </w:tcPr>
          <w:p>
            <w:pPr>
              <w:ind w:left="540"/>
              <w:spacing w:after="0"/>
              <w:rPr>
                <w:sz w:val="20"/>
                <w:szCs w:val="20"/>
                <w:color w:val="auto"/>
              </w:rPr>
            </w:pPr>
            <w:r>
              <w:rPr>
                <w:rFonts w:ascii="Arial" w:cs="Arial" w:eastAsia="Arial" w:hAnsi="Arial"/>
                <w:sz w:val="18"/>
                <w:szCs w:val="18"/>
                <w:color w:val="auto"/>
              </w:rPr>
              <w:t>August 24,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89"/>
              </w:rPr>
              <w:t>Joerg Hornstein</w:t>
            </w:r>
          </w:p>
        </w:tc>
        <w:tc>
          <w:tcPr>
            <w:tcW w:w="1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Martin Velasco</w:t>
            </w:r>
          </w:p>
        </w:tc>
        <w:tc>
          <w:tcPr>
            <w:tcW w:w="120" w:type="dxa"/>
            <w:vAlign w:val="bottom"/>
          </w:tcPr>
          <w:p>
            <w:pPr>
              <w:spacing w:after="0"/>
              <w:rPr>
                <w:sz w:val="24"/>
                <w:szCs w:val="24"/>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1"/>
              </w:rPr>
              <w:t>Chairman and Director</w:t>
            </w:r>
          </w:p>
        </w:tc>
        <w:tc>
          <w:tcPr>
            <w:tcW w:w="120" w:type="dxa"/>
            <w:vAlign w:val="bottom"/>
          </w:tcPr>
          <w:p>
            <w:pPr>
              <w:spacing w:after="0"/>
              <w:rPr>
                <w:sz w:val="24"/>
                <w:szCs w:val="24"/>
                <w:color w:val="auto"/>
              </w:rPr>
            </w:pPr>
          </w:p>
        </w:tc>
        <w:tc>
          <w:tcPr>
            <w:tcW w:w="2280" w:type="dxa"/>
            <w:vAlign w:val="bottom"/>
          </w:tcPr>
          <w:p>
            <w:pPr>
              <w:ind w:left="540"/>
              <w:spacing w:after="0"/>
              <w:rPr>
                <w:sz w:val="20"/>
                <w:szCs w:val="20"/>
                <w:color w:val="auto"/>
              </w:rPr>
            </w:pPr>
            <w:r>
              <w:rPr>
                <w:rFonts w:ascii="Arial" w:cs="Arial" w:eastAsia="Arial" w:hAnsi="Arial"/>
                <w:sz w:val="18"/>
                <w:szCs w:val="18"/>
                <w:color w:val="auto"/>
              </w:rPr>
              <w:t>August 24,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2"/>
              </w:rPr>
              <w:t>Martin Velasco</w:t>
            </w:r>
          </w:p>
        </w:tc>
        <w:tc>
          <w:tcPr>
            <w:tcW w:w="1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Detlev Riesner</w:t>
            </w:r>
          </w:p>
        </w:tc>
        <w:tc>
          <w:tcPr>
            <w:tcW w:w="120" w:type="dxa"/>
            <w:vAlign w:val="bottom"/>
          </w:tcPr>
          <w:p>
            <w:pPr>
              <w:spacing w:after="0"/>
              <w:rPr>
                <w:sz w:val="24"/>
                <w:szCs w:val="24"/>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2280" w:type="dxa"/>
            <w:vAlign w:val="bottom"/>
          </w:tcPr>
          <w:p>
            <w:pPr>
              <w:ind w:left="540"/>
              <w:spacing w:after="0"/>
              <w:rPr>
                <w:sz w:val="20"/>
                <w:szCs w:val="20"/>
                <w:color w:val="auto"/>
              </w:rPr>
            </w:pPr>
            <w:r>
              <w:rPr>
                <w:rFonts w:ascii="Arial" w:cs="Arial" w:eastAsia="Arial" w:hAnsi="Arial"/>
                <w:sz w:val="18"/>
                <w:szCs w:val="18"/>
                <w:color w:val="auto"/>
              </w:rPr>
              <w:t>August 24,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1"/>
              </w:rPr>
              <w:t>Detlev Riesner</w:t>
            </w:r>
          </w:p>
        </w:tc>
        <w:tc>
          <w:tcPr>
            <w:tcW w:w="1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Friedrich von Bohlen und Halbach</w:t>
            </w:r>
          </w:p>
        </w:tc>
        <w:tc>
          <w:tcPr>
            <w:tcW w:w="120" w:type="dxa"/>
            <w:vAlign w:val="bottom"/>
          </w:tcPr>
          <w:p>
            <w:pPr>
              <w:spacing w:after="0"/>
              <w:rPr>
                <w:sz w:val="24"/>
                <w:szCs w:val="24"/>
                <w:color w:val="auto"/>
              </w:rPr>
            </w:pPr>
          </w:p>
        </w:tc>
        <w:tc>
          <w:tcPr>
            <w:tcW w:w="49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20" w:type="dxa"/>
            <w:vAlign w:val="bottom"/>
          </w:tcPr>
          <w:p>
            <w:pPr>
              <w:spacing w:after="0"/>
              <w:rPr>
                <w:sz w:val="24"/>
                <w:szCs w:val="24"/>
                <w:color w:val="auto"/>
              </w:rPr>
            </w:pPr>
          </w:p>
        </w:tc>
        <w:tc>
          <w:tcPr>
            <w:tcW w:w="2280" w:type="dxa"/>
            <w:vAlign w:val="bottom"/>
          </w:tcPr>
          <w:p>
            <w:pPr>
              <w:ind w:left="540"/>
              <w:spacing w:after="0"/>
              <w:rPr>
                <w:sz w:val="20"/>
                <w:szCs w:val="20"/>
                <w:color w:val="auto"/>
              </w:rPr>
            </w:pPr>
            <w:r>
              <w:rPr>
                <w:rFonts w:ascii="Arial" w:cs="Arial" w:eastAsia="Arial" w:hAnsi="Arial"/>
                <w:sz w:val="18"/>
                <w:szCs w:val="18"/>
                <w:color w:val="auto"/>
              </w:rPr>
              <w:t>August 24,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2"/>
              </w:rPr>
              <w:t>Friedrich von Bohlen und Halbach</w:t>
            </w:r>
          </w:p>
        </w:tc>
        <w:tc>
          <w:tcPr>
            <w:tcW w:w="1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526"/>
        </w:trPr>
        <w:tc>
          <w:tcPr>
            <w:tcW w:w="4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498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561"/>
        </w:trPr>
        <w:tc>
          <w:tcPr>
            <w:tcW w:w="1100" w:type="dxa"/>
            <w:vAlign w:val="bottom"/>
            <w:tcBorders>
              <w:top w:val="single" w:sz="8" w:color="0000EE"/>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right="990"/>
              <w:spacing w:after="0"/>
              <w:rPr>
                <w:sz w:val="20"/>
                <w:szCs w:val="20"/>
                <w:color w:val="auto"/>
              </w:rPr>
            </w:pPr>
            <w:r>
              <w:rPr>
                <w:rFonts w:ascii="Arial" w:cs="Arial" w:eastAsia="Arial" w:hAnsi="Arial"/>
                <w:sz w:val="18"/>
                <w:szCs w:val="18"/>
                <w:color w:val="auto"/>
                <w:w w:val="90"/>
              </w:rPr>
              <w:t>/s/ Thomas Graney</w:t>
            </w:r>
          </w:p>
        </w:tc>
        <w:tc>
          <w:tcPr>
            <w:tcW w:w="4980" w:type="dxa"/>
            <w:vAlign w:val="bottom"/>
          </w:tcPr>
          <w:p>
            <w:pPr>
              <w:jc w:val="center"/>
              <w:ind w:left="9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ind w:left="700"/>
              <w:spacing w:after="0"/>
              <w:rPr>
                <w:sz w:val="20"/>
                <w:szCs w:val="20"/>
                <w:color w:val="auto"/>
              </w:rPr>
            </w:pPr>
            <w:r>
              <w:rPr>
                <w:rFonts w:ascii="Arial" w:cs="Arial" w:eastAsia="Arial" w:hAnsi="Arial"/>
                <w:sz w:val="18"/>
                <w:szCs w:val="18"/>
                <w:color w:val="auto"/>
              </w:rPr>
              <w:t>August 24, 2018</w:t>
            </w:r>
          </w:p>
        </w:tc>
      </w:tr>
      <w:tr>
        <w:trPr>
          <w:trHeight w:val="224"/>
        </w:trPr>
        <w:tc>
          <w:tcPr>
            <w:tcW w:w="1100" w:type="dxa"/>
            <w:vAlign w:val="bottom"/>
          </w:tcPr>
          <w:p>
            <w:pPr>
              <w:spacing w:after="0"/>
              <w:rPr>
                <w:sz w:val="19"/>
                <w:szCs w:val="19"/>
                <w:color w:val="auto"/>
              </w:rPr>
            </w:pPr>
          </w:p>
        </w:tc>
        <w:tc>
          <w:tcPr>
            <w:tcW w:w="2900" w:type="dxa"/>
            <w:vAlign w:val="bottom"/>
          </w:tcPr>
          <w:p>
            <w:pPr>
              <w:jc w:val="center"/>
              <w:ind w:right="1010"/>
              <w:spacing w:after="0"/>
              <w:rPr>
                <w:sz w:val="20"/>
                <w:szCs w:val="20"/>
                <w:color w:val="auto"/>
              </w:rPr>
            </w:pPr>
            <w:r>
              <w:rPr>
                <w:rFonts w:ascii="Arial" w:cs="Arial" w:eastAsia="Arial" w:hAnsi="Arial"/>
                <w:sz w:val="18"/>
                <w:szCs w:val="18"/>
                <w:color w:val="auto"/>
                <w:w w:val="89"/>
              </w:rPr>
              <w:t>Thomas Graney</w:t>
            </w:r>
          </w:p>
        </w:tc>
        <w:tc>
          <w:tcPr>
            <w:tcW w:w="49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18"/>
        </w:trPr>
        <w:tc>
          <w:tcPr>
            <w:tcW w:w="11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right="990"/>
              <w:spacing w:after="0"/>
              <w:rPr>
                <w:sz w:val="20"/>
                <w:szCs w:val="20"/>
                <w:color w:val="auto"/>
              </w:rPr>
            </w:pPr>
            <w:r>
              <w:rPr>
                <w:rFonts w:ascii="Arial" w:cs="Arial" w:eastAsia="Arial" w:hAnsi="Arial"/>
                <w:sz w:val="18"/>
                <w:szCs w:val="18"/>
                <w:color w:val="auto"/>
                <w:w w:val="91"/>
              </w:rPr>
              <w:t>/s/ Peter Bollman</w:t>
            </w:r>
          </w:p>
        </w:tc>
        <w:tc>
          <w:tcPr>
            <w:tcW w:w="4980" w:type="dxa"/>
            <w:vAlign w:val="bottom"/>
          </w:tcPr>
          <w:p>
            <w:pPr>
              <w:jc w:val="center"/>
              <w:ind w:left="9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ind w:left="700"/>
              <w:spacing w:after="0"/>
              <w:rPr>
                <w:sz w:val="20"/>
                <w:szCs w:val="20"/>
                <w:color w:val="auto"/>
              </w:rPr>
            </w:pPr>
            <w:r>
              <w:rPr>
                <w:rFonts w:ascii="Arial" w:cs="Arial" w:eastAsia="Arial" w:hAnsi="Arial"/>
                <w:sz w:val="18"/>
                <w:szCs w:val="18"/>
                <w:color w:val="auto"/>
              </w:rPr>
              <w:t>August 24, 2018</w:t>
            </w:r>
          </w:p>
        </w:tc>
      </w:tr>
      <w:tr>
        <w:trPr>
          <w:trHeight w:val="224"/>
        </w:trPr>
        <w:tc>
          <w:tcPr>
            <w:tcW w:w="1100" w:type="dxa"/>
            <w:vAlign w:val="bottom"/>
          </w:tcPr>
          <w:p>
            <w:pPr>
              <w:spacing w:after="0"/>
              <w:rPr>
                <w:sz w:val="19"/>
                <w:szCs w:val="19"/>
                <w:color w:val="auto"/>
              </w:rPr>
            </w:pPr>
          </w:p>
        </w:tc>
        <w:tc>
          <w:tcPr>
            <w:tcW w:w="2900" w:type="dxa"/>
            <w:vAlign w:val="bottom"/>
          </w:tcPr>
          <w:p>
            <w:pPr>
              <w:jc w:val="center"/>
              <w:ind w:right="1010"/>
              <w:spacing w:after="0"/>
              <w:rPr>
                <w:sz w:val="20"/>
                <w:szCs w:val="20"/>
                <w:color w:val="auto"/>
              </w:rPr>
            </w:pPr>
            <w:r>
              <w:rPr>
                <w:rFonts w:ascii="Arial" w:cs="Arial" w:eastAsia="Arial" w:hAnsi="Arial"/>
                <w:sz w:val="18"/>
                <w:szCs w:val="18"/>
                <w:color w:val="auto"/>
                <w:w w:val="91"/>
              </w:rPr>
              <w:t>Peter Bollman</w:t>
            </w:r>
          </w:p>
        </w:tc>
        <w:tc>
          <w:tcPr>
            <w:tcW w:w="49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18"/>
        </w:trPr>
        <w:tc>
          <w:tcPr>
            <w:tcW w:w="11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right="990"/>
              <w:spacing w:after="0"/>
              <w:rPr>
                <w:sz w:val="20"/>
                <w:szCs w:val="20"/>
                <w:color w:val="auto"/>
              </w:rPr>
            </w:pPr>
            <w:r>
              <w:rPr>
                <w:rFonts w:ascii="Arial" w:cs="Arial" w:eastAsia="Arial" w:hAnsi="Arial"/>
                <w:sz w:val="18"/>
                <w:szCs w:val="18"/>
                <w:color w:val="auto"/>
                <w:w w:val="92"/>
              </w:rPr>
              <w:t>/s/ Douglas E. Williams</w:t>
            </w:r>
          </w:p>
        </w:tc>
        <w:tc>
          <w:tcPr>
            <w:tcW w:w="4980" w:type="dxa"/>
            <w:vAlign w:val="bottom"/>
          </w:tcPr>
          <w:p>
            <w:pPr>
              <w:jc w:val="center"/>
              <w:ind w:left="9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ind w:left="700"/>
              <w:spacing w:after="0"/>
              <w:rPr>
                <w:sz w:val="20"/>
                <w:szCs w:val="20"/>
                <w:color w:val="auto"/>
              </w:rPr>
            </w:pPr>
            <w:r>
              <w:rPr>
                <w:rFonts w:ascii="Arial" w:cs="Arial" w:eastAsia="Arial" w:hAnsi="Arial"/>
                <w:sz w:val="18"/>
                <w:szCs w:val="18"/>
                <w:color w:val="auto"/>
              </w:rPr>
              <w:t>August 24, 2018</w:t>
            </w:r>
          </w:p>
        </w:tc>
      </w:tr>
      <w:tr>
        <w:trPr>
          <w:trHeight w:val="224"/>
        </w:trPr>
        <w:tc>
          <w:tcPr>
            <w:tcW w:w="1100" w:type="dxa"/>
            <w:vAlign w:val="bottom"/>
          </w:tcPr>
          <w:p>
            <w:pPr>
              <w:spacing w:after="0"/>
              <w:rPr>
                <w:sz w:val="19"/>
                <w:szCs w:val="19"/>
                <w:color w:val="auto"/>
              </w:rPr>
            </w:pPr>
          </w:p>
        </w:tc>
        <w:tc>
          <w:tcPr>
            <w:tcW w:w="2900" w:type="dxa"/>
            <w:vAlign w:val="bottom"/>
          </w:tcPr>
          <w:p>
            <w:pPr>
              <w:jc w:val="center"/>
              <w:ind w:right="990"/>
              <w:spacing w:after="0"/>
              <w:rPr>
                <w:sz w:val="20"/>
                <w:szCs w:val="20"/>
                <w:color w:val="auto"/>
              </w:rPr>
            </w:pPr>
            <w:r>
              <w:rPr>
                <w:rFonts w:ascii="Arial" w:cs="Arial" w:eastAsia="Arial" w:hAnsi="Arial"/>
                <w:sz w:val="18"/>
                <w:szCs w:val="18"/>
                <w:color w:val="auto"/>
                <w:w w:val="93"/>
              </w:rPr>
              <w:t>Douglas E. Williams</w:t>
            </w:r>
          </w:p>
        </w:tc>
        <w:tc>
          <w:tcPr>
            <w:tcW w:w="49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18"/>
        </w:trPr>
        <w:tc>
          <w:tcPr>
            <w:tcW w:w="11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right="1010"/>
              <w:spacing w:after="0"/>
              <w:rPr>
                <w:sz w:val="20"/>
                <w:szCs w:val="20"/>
                <w:color w:val="auto"/>
              </w:rPr>
            </w:pPr>
            <w:r>
              <w:rPr>
                <w:rFonts w:ascii="Arial" w:cs="Arial" w:eastAsia="Arial" w:hAnsi="Arial"/>
                <w:sz w:val="18"/>
                <w:szCs w:val="18"/>
                <w:color w:val="auto"/>
                <w:w w:val="90"/>
              </w:rPr>
              <w:t>/s/ Werner Lanthaler</w:t>
            </w:r>
          </w:p>
        </w:tc>
        <w:tc>
          <w:tcPr>
            <w:tcW w:w="4980" w:type="dxa"/>
            <w:vAlign w:val="bottom"/>
          </w:tcPr>
          <w:p>
            <w:pPr>
              <w:jc w:val="center"/>
              <w:ind w:left="90"/>
              <w:spacing w:after="0"/>
              <w:rPr>
                <w:sz w:val="20"/>
                <w:szCs w:val="20"/>
                <w:color w:val="auto"/>
              </w:rPr>
            </w:pPr>
            <w:r>
              <w:rPr>
                <w:rFonts w:ascii="Arial" w:cs="Arial" w:eastAsia="Arial" w:hAnsi="Arial"/>
                <w:sz w:val="18"/>
                <w:szCs w:val="18"/>
                <w:color w:val="auto"/>
                <w:w w:val="95"/>
              </w:rPr>
              <w:t>Director</w:t>
            </w:r>
          </w:p>
        </w:tc>
        <w:tc>
          <w:tcPr>
            <w:tcW w:w="2440" w:type="dxa"/>
            <w:vAlign w:val="bottom"/>
          </w:tcPr>
          <w:p>
            <w:pPr>
              <w:ind w:left="700"/>
              <w:spacing w:after="0"/>
              <w:rPr>
                <w:sz w:val="20"/>
                <w:szCs w:val="20"/>
                <w:color w:val="auto"/>
              </w:rPr>
            </w:pPr>
            <w:r>
              <w:rPr>
                <w:rFonts w:ascii="Arial" w:cs="Arial" w:eastAsia="Arial" w:hAnsi="Arial"/>
                <w:sz w:val="18"/>
                <w:szCs w:val="18"/>
                <w:color w:val="auto"/>
              </w:rPr>
              <w:t>August 24, 2018</w:t>
            </w:r>
          </w:p>
        </w:tc>
      </w:tr>
      <w:tr>
        <w:trPr>
          <w:trHeight w:val="224"/>
        </w:trPr>
        <w:tc>
          <w:tcPr>
            <w:tcW w:w="1100" w:type="dxa"/>
            <w:vAlign w:val="bottom"/>
          </w:tcPr>
          <w:p>
            <w:pPr>
              <w:spacing w:after="0"/>
              <w:rPr>
                <w:sz w:val="19"/>
                <w:szCs w:val="19"/>
                <w:color w:val="auto"/>
              </w:rPr>
            </w:pPr>
          </w:p>
        </w:tc>
        <w:tc>
          <w:tcPr>
            <w:tcW w:w="2900" w:type="dxa"/>
            <w:vAlign w:val="bottom"/>
          </w:tcPr>
          <w:p>
            <w:pPr>
              <w:jc w:val="center"/>
              <w:ind w:right="990"/>
              <w:spacing w:after="0"/>
              <w:rPr>
                <w:sz w:val="20"/>
                <w:szCs w:val="20"/>
                <w:color w:val="auto"/>
              </w:rPr>
            </w:pPr>
            <w:r>
              <w:rPr>
                <w:rFonts w:ascii="Arial" w:cs="Arial" w:eastAsia="Arial" w:hAnsi="Arial"/>
                <w:sz w:val="18"/>
                <w:szCs w:val="18"/>
                <w:color w:val="auto"/>
                <w:w w:val="90"/>
              </w:rPr>
              <w:t>Werner Lanthaler</w:t>
            </w:r>
          </w:p>
        </w:tc>
        <w:tc>
          <w:tcPr>
            <w:tcW w:w="49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418"/>
        </w:trPr>
        <w:tc>
          <w:tcPr>
            <w:tcW w:w="11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right="990"/>
              <w:spacing w:after="0"/>
              <w:rPr>
                <w:sz w:val="20"/>
                <w:szCs w:val="20"/>
                <w:color w:val="auto"/>
              </w:rPr>
            </w:pPr>
            <w:r>
              <w:rPr>
                <w:rFonts w:ascii="Arial" w:cs="Arial" w:eastAsia="Arial" w:hAnsi="Arial"/>
                <w:sz w:val="18"/>
                <w:szCs w:val="18"/>
                <w:color w:val="auto"/>
                <w:w w:val="91"/>
              </w:rPr>
              <w:t>/s/ Colleen A. De Vries</w:t>
            </w:r>
          </w:p>
        </w:tc>
        <w:tc>
          <w:tcPr>
            <w:tcW w:w="4980" w:type="dxa"/>
            <w:vAlign w:val="bottom"/>
          </w:tcPr>
          <w:p>
            <w:pPr>
              <w:jc w:val="center"/>
              <w:ind w:left="90"/>
              <w:spacing w:after="0"/>
              <w:rPr>
                <w:sz w:val="20"/>
                <w:szCs w:val="20"/>
                <w:color w:val="auto"/>
              </w:rPr>
            </w:pPr>
            <w:r>
              <w:rPr>
                <w:rFonts w:ascii="Arial" w:cs="Arial" w:eastAsia="Arial" w:hAnsi="Arial"/>
                <w:sz w:val="18"/>
                <w:szCs w:val="18"/>
                <w:color w:val="auto"/>
                <w:w w:val="90"/>
              </w:rPr>
              <w:t>Authorized Representative in the United States</w:t>
            </w:r>
          </w:p>
        </w:tc>
        <w:tc>
          <w:tcPr>
            <w:tcW w:w="2440" w:type="dxa"/>
            <w:vAlign w:val="bottom"/>
          </w:tcPr>
          <w:p>
            <w:pPr>
              <w:ind w:left="700"/>
              <w:spacing w:after="0"/>
              <w:rPr>
                <w:sz w:val="20"/>
                <w:szCs w:val="20"/>
                <w:color w:val="auto"/>
              </w:rPr>
            </w:pPr>
            <w:r>
              <w:rPr>
                <w:rFonts w:ascii="Arial" w:cs="Arial" w:eastAsia="Arial" w:hAnsi="Arial"/>
                <w:sz w:val="18"/>
                <w:szCs w:val="18"/>
                <w:color w:val="auto"/>
              </w:rPr>
              <w:t>August 24, 2018</w:t>
            </w:r>
          </w:p>
        </w:tc>
      </w:tr>
      <w:tr>
        <w:trPr>
          <w:trHeight w:val="195"/>
        </w:trPr>
        <w:tc>
          <w:tcPr>
            <w:tcW w:w="1100" w:type="dxa"/>
            <w:vAlign w:val="bottom"/>
          </w:tcPr>
          <w:p>
            <w:pPr>
              <w:spacing w:after="0"/>
              <w:rPr>
                <w:sz w:val="16"/>
                <w:szCs w:val="16"/>
                <w:color w:val="auto"/>
              </w:rPr>
            </w:pPr>
          </w:p>
        </w:tc>
        <w:tc>
          <w:tcPr>
            <w:tcW w:w="2900" w:type="dxa"/>
            <w:vAlign w:val="bottom"/>
          </w:tcPr>
          <w:p>
            <w:pPr>
              <w:jc w:val="center"/>
              <w:ind w:right="990"/>
              <w:spacing w:after="0" w:line="195" w:lineRule="exact"/>
              <w:rPr>
                <w:sz w:val="20"/>
                <w:szCs w:val="20"/>
                <w:color w:val="auto"/>
              </w:rPr>
            </w:pPr>
            <w:r>
              <w:rPr>
                <w:rFonts w:ascii="Arial" w:cs="Arial" w:eastAsia="Arial" w:hAnsi="Arial"/>
                <w:sz w:val="18"/>
                <w:szCs w:val="18"/>
                <w:color w:val="auto"/>
                <w:w w:val="92"/>
              </w:rPr>
              <w:t>Colleen A. De Vries</w:t>
            </w:r>
          </w:p>
        </w:tc>
        <w:tc>
          <w:tcPr>
            <w:tcW w:w="4980" w:type="dxa"/>
            <w:vAlign w:val="bottom"/>
          </w:tcPr>
          <w:p>
            <w:pPr>
              <w:spacing w:after="0"/>
              <w:rPr>
                <w:sz w:val="16"/>
                <w:szCs w:val="16"/>
                <w:color w:val="auto"/>
              </w:rPr>
            </w:pPr>
          </w:p>
        </w:tc>
        <w:tc>
          <w:tcPr>
            <w:tcW w:w="2440" w:type="dxa"/>
            <w:vAlign w:val="bottom"/>
          </w:tcPr>
          <w:p>
            <w:pPr>
              <w:spacing w:after="0"/>
              <w:rPr>
                <w:sz w:val="16"/>
                <w:szCs w:val="16"/>
                <w:color w:val="auto"/>
              </w:rPr>
            </w:pPr>
          </w:p>
        </w:tc>
      </w:tr>
      <w:tr>
        <w:trPr>
          <w:trHeight w:val="230"/>
        </w:trPr>
        <w:tc>
          <w:tcPr>
            <w:tcW w:w="4000" w:type="dxa"/>
            <w:vAlign w:val="bottom"/>
            <w:gridSpan w:val="2"/>
          </w:tcPr>
          <w:p>
            <w:pPr>
              <w:ind w:left="600"/>
              <w:spacing w:after="0"/>
              <w:rPr>
                <w:sz w:val="20"/>
                <w:szCs w:val="20"/>
                <w:color w:val="auto"/>
              </w:rPr>
            </w:pPr>
            <w:r>
              <w:rPr>
                <w:rFonts w:ascii="Arial" w:cs="Arial" w:eastAsia="Arial" w:hAnsi="Arial"/>
                <w:sz w:val="18"/>
                <w:szCs w:val="18"/>
                <w:color w:val="auto"/>
              </w:rPr>
              <w:t>SVP on behalf of Cogency Global Inc.</w:t>
            </w:r>
          </w:p>
        </w:tc>
        <w:tc>
          <w:tcPr>
            <w:tcW w:w="498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107"/>
        </w:trPr>
        <w:tc>
          <w:tcPr>
            <w:tcW w:w="11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2" w:right="239" w:bottom="1440" w:gutter="0" w:footer="0" w:header="0"/>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VISCHER Ltd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Basel</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Aeschenvorstadt 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CH-4010 Basel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Phone +41 58 211 33 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Fax +41 58 211 33 10</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Zurich</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Schützengasse 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CH-8021 Zurich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Phone +41 58 211 34 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Fax +41 58 211 34 10</w:t>
      </w:r>
    </w:p>
    <w:p>
      <w:pPr>
        <w:spacing w:after="0" w:line="163" w:lineRule="exact"/>
        <w:rPr>
          <w:sz w:val="20"/>
          <w:szCs w:val="20"/>
          <w:color w:val="auto"/>
        </w:rPr>
      </w:pPr>
    </w:p>
    <w:p>
      <w:pPr>
        <w:ind w:right="260"/>
        <w:spacing w:after="0" w:line="258" w:lineRule="auto"/>
        <w:rPr>
          <w:sz w:val="20"/>
          <w:szCs w:val="20"/>
          <w:color w:val="auto"/>
        </w:rPr>
      </w:pPr>
      <w:r>
        <w:rPr>
          <w:rFonts w:ascii="Arial" w:cs="Arial" w:eastAsia="Arial" w:hAnsi="Arial"/>
          <w:sz w:val="14"/>
          <w:szCs w:val="14"/>
          <w:color w:val="auto"/>
        </w:rPr>
        <w:t>Civil Law Notaries in Basel-City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Exhibits 5.1 and 23.1</w:t>
      </w:r>
    </w:p>
    <w:p>
      <w:pPr>
        <w:spacing w:after="0" w:line="200" w:lineRule="exact"/>
        <w:rPr>
          <w:sz w:val="20"/>
          <w:szCs w:val="20"/>
          <w:color w:val="auto"/>
        </w:rPr>
      </w:pPr>
    </w:p>
    <w:p>
      <w:pPr>
        <w:spacing w:after="0" w:line="309" w:lineRule="exact"/>
        <w:rPr>
          <w:sz w:val="20"/>
          <w:szCs w:val="20"/>
          <w:color w:val="auto"/>
        </w:rPr>
      </w:pPr>
    </w:p>
    <w:p>
      <w:pPr>
        <w:ind w:left="10"/>
        <w:spacing w:after="0"/>
        <w:rPr>
          <w:sz w:val="20"/>
          <w:szCs w:val="20"/>
          <w:color w:val="auto"/>
        </w:rPr>
      </w:pPr>
      <w:r>
        <w:rPr>
          <w:rFonts w:ascii="Arial" w:cs="Arial" w:eastAsia="Arial" w:hAnsi="Arial"/>
          <w:sz w:val="14"/>
          <w:szCs w:val="14"/>
          <w:color w:val="auto"/>
        </w:rPr>
        <w:t>Registered</w:t>
      </w:r>
    </w:p>
    <w:p>
      <w:pPr>
        <w:spacing w:after="0" w:line="153" w:lineRule="exact"/>
        <w:rPr>
          <w:sz w:val="20"/>
          <w:szCs w:val="20"/>
          <w:color w:val="auto"/>
        </w:rPr>
      </w:pPr>
    </w:p>
    <w:p>
      <w:pPr>
        <w:ind w:left="10"/>
        <w:spacing w:after="0"/>
        <w:rPr>
          <w:sz w:val="20"/>
          <w:szCs w:val="20"/>
          <w:color w:val="auto"/>
        </w:rPr>
      </w:pPr>
      <w:r>
        <w:rPr>
          <w:rFonts w:ascii="Arial" w:cs="Arial" w:eastAsia="Arial" w:hAnsi="Arial"/>
          <w:sz w:val="18"/>
          <w:szCs w:val="18"/>
          <w:color w:val="auto"/>
        </w:rPr>
        <w:t>AC Immune SA</w:t>
      </w:r>
    </w:p>
    <w:p>
      <w:pPr>
        <w:ind w:left="10"/>
        <w:spacing w:after="0" w:line="234" w:lineRule="auto"/>
        <w:rPr>
          <w:sz w:val="20"/>
          <w:szCs w:val="20"/>
          <w:color w:val="auto"/>
        </w:rPr>
      </w:pPr>
      <w:r>
        <w:rPr>
          <w:rFonts w:ascii="Arial" w:cs="Arial" w:eastAsia="Arial" w:hAnsi="Arial"/>
          <w:sz w:val="18"/>
          <w:szCs w:val="18"/>
          <w:color w:val="auto"/>
        </w:rPr>
        <w:t>EPFL Innovation Park</w:t>
      </w:r>
    </w:p>
    <w:p>
      <w:pPr>
        <w:ind w:left="10"/>
        <w:spacing w:after="0" w:line="235" w:lineRule="auto"/>
        <w:rPr>
          <w:sz w:val="20"/>
          <w:szCs w:val="20"/>
          <w:color w:val="auto"/>
        </w:rPr>
      </w:pPr>
      <w:r>
        <w:rPr>
          <w:rFonts w:ascii="Arial" w:cs="Arial" w:eastAsia="Arial" w:hAnsi="Arial"/>
          <w:sz w:val="18"/>
          <w:szCs w:val="18"/>
          <w:color w:val="auto"/>
        </w:rPr>
        <w:t>Building B</w:t>
      </w:r>
    </w:p>
    <w:p>
      <w:pPr>
        <w:spacing w:after="0" w:line="1" w:lineRule="exact"/>
        <w:rPr>
          <w:sz w:val="20"/>
          <w:szCs w:val="20"/>
          <w:color w:val="auto"/>
        </w:rPr>
      </w:pPr>
    </w:p>
    <w:p>
      <w:pPr>
        <w:ind w:left="10"/>
        <w:spacing w:after="0"/>
        <w:rPr>
          <w:sz w:val="20"/>
          <w:szCs w:val="20"/>
          <w:color w:val="auto"/>
        </w:rPr>
      </w:pPr>
      <w:r>
        <w:rPr>
          <w:rFonts w:ascii="Arial" w:cs="Arial" w:eastAsia="Arial" w:hAnsi="Arial"/>
          <w:sz w:val="18"/>
          <w:szCs w:val="18"/>
          <w:color w:val="auto"/>
        </w:rPr>
        <w:t>1015 Lausanne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
        <w:spacing w:after="0"/>
        <w:rPr>
          <w:sz w:val="20"/>
          <w:szCs w:val="20"/>
          <w:color w:val="auto"/>
        </w:rPr>
      </w:pPr>
      <w:r>
        <w:rPr>
          <w:rFonts w:ascii="Arial" w:cs="Arial" w:eastAsia="Arial" w:hAnsi="Arial"/>
          <w:sz w:val="18"/>
          <w:szCs w:val="18"/>
          <w:color w:val="auto"/>
        </w:rPr>
        <w:t>Basel, 24 August 2018</w:t>
      </w:r>
    </w:p>
    <w:p>
      <w:pPr>
        <w:spacing w:after="0" w:line="379" w:lineRule="exact"/>
        <w:rPr>
          <w:sz w:val="20"/>
          <w:szCs w:val="20"/>
          <w:color w:val="auto"/>
        </w:rPr>
      </w:pPr>
    </w:p>
    <w:p>
      <w:pPr>
        <w:ind w:left="10"/>
        <w:spacing w:after="0"/>
        <w:rPr>
          <w:sz w:val="20"/>
          <w:szCs w:val="20"/>
          <w:color w:val="auto"/>
        </w:rPr>
      </w:pPr>
      <w:r>
        <w:rPr>
          <w:rFonts w:ascii="Arial" w:cs="Arial" w:eastAsia="Arial" w:hAnsi="Arial"/>
          <w:sz w:val="18"/>
          <w:szCs w:val="18"/>
          <w:b w:val="1"/>
          <w:bCs w:val="1"/>
          <w:color w:val="auto"/>
        </w:rPr>
        <w:t>AC Immune SA – Registration Statement on Form F-3</w:t>
      </w:r>
    </w:p>
    <w:p>
      <w:pPr>
        <w:spacing w:after="0" w:line="234" w:lineRule="exact"/>
        <w:rPr>
          <w:sz w:val="20"/>
          <w:szCs w:val="20"/>
          <w:color w:val="auto"/>
        </w:rPr>
      </w:pPr>
    </w:p>
    <w:p>
      <w:pPr>
        <w:ind w:left="10"/>
        <w:spacing w:after="0"/>
        <w:rPr>
          <w:sz w:val="20"/>
          <w:szCs w:val="20"/>
          <w:color w:val="auto"/>
        </w:rPr>
      </w:pPr>
      <w:r>
        <w:rPr>
          <w:rFonts w:ascii="Arial" w:cs="Arial" w:eastAsia="Arial" w:hAnsi="Arial"/>
          <w:sz w:val="18"/>
          <w:szCs w:val="18"/>
          <w:color w:val="auto"/>
        </w:rPr>
        <w:t>Dear Sir or Madam,</w:t>
      </w:r>
    </w:p>
    <w:p>
      <w:pPr>
        <w:spacing w:after="0" w:line="176" w:lineRule="exact"/>
        <w:rPr>
          <w:sz w:val="20"/>
          <w:szCs w:val="20"/>
          <w:color w:val="auto"/>
        </w:rPr>
      </w:pPr>
    </w:p>
    <w:p>
      <w:pPr>
        <w:jc w:val="both"/>
        <w:ind w:left="10"/>
        <w:spacing w:after="0" w:line="242" w:lineRule="auto"/>
        <w:rPr>
          <w:sz w:val="20"/>
          <w:szCs w:val="20"/>
          <w:color w:val="auto"/>
        </w:rPr>
      </w:pPr>
      <w:r>
        <w:rPr>
          <w:rFonts w:ascii="Arial" w:cs="Arial" w:eastAsia="Arial" w:hAnsi="Arial"/>
          <w:sz w:val="18"/>
          <w:szCs w:val="18"/>
          <w:color w:val="auto"/>
        </w:rPr>
        <w:t>This opinion is being rendered at the request of AC Immune SA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filing of a registration statement on Form F-3 on 24 August 2018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for the purpose of registering under the United States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the offer and sale by the Selling Shareholder (as defined below) of common shares of CHF 0.02 par value each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as described therein. As such counsel, we have been requested to render an opinion as to certain matters of Swiss law.</w:t>
      </w:r>
    </w:p>
    <w:p>
      <w:pPr>
        <w:spacing w:after="0" w:line="166" w:lineRule="exact"/>
        <w:rPr>
          <w:sz w:val="20"/>
          <w:szCs w:val="20"/>
          <w:color w:val="auto"/>
        </w:rPr>
      </w:pPr>
    </w:p>
    <w:p>
      <w:pPr>
        <w:ind w:left="350" w:hanging="350"/>
        <w:spacing w:after="0"/>
        <w:tabs>
          <w:tab w:leader="none" w:pos="35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OPINION</w:t>
      </w:r>
    </w:p>
    <w:p>
      <w:pPr>
        <w:spacing w:after="0" w:line="220" w:lineRule="exact"/>
        <w:rPr>
          <w:sz w:val="20"/>
          <w:szCs w:val="20"/>
          <w:color w:val="auto"/>
        </w:rPr>
      </w:pPr>
    </w:p>
    <w:p>
      <w:pPr>
        <w:jc w:val="both"/>
        <w:ind w:left="10"/>
        <w:spacing w:after="0"/>
        <w:rPr>
          <w:sz w:val="20"/>
          <w:szCs w:val="20"/>
          <w:color w:val="auto"/>
        </w:rPr>
      </w:pPr>
      <w:r>
        <w:rPr>
          <w:rFonts w:ascii="Arial" w:cs="Arial" w:eastAsia="Arial" w:hAnsi="Arial"/>
          <w:sz w:val="18"/>
          <w:szCs w:val="18"/>
          <w:color w:val="auto"/>
        </w:rPr>
        <w:t>This opinion is confined to and given on the basis of the laws of Switzerland in force at the date hereof and as currently applied by Swiss courts. In the absence of statutory or established case law, we base our opinion on our independent professional judgement.</w:t>
      </w:r>
    </w:p>
    <w:p>
      <w:pPr>
        <w:spacing w:after="0" w:line="189" w:lineRule="exact"/>
        <w:rPr>
          <w:sz w:val="20"/>
          <w:szCs w:val="20"/>
          <w:color w:val="auto"/>
        </w:rPr>
      </w:pPr>
    </w:p>
    <w:p>
      <w:pPr>
        <w:jc w:val="both"/>
        <w:ind w:left="10"/>
        <w:spacing w:after="0" w:line="246" w:lineRule="auto"/>
        <w:rPr>
          <w:sz w:val="20"/>
          <w:szCs w:val="20"/>
          <w:color w:val="auto"/>
        </w:rPr>
      </w:pPr>
      <w:r>
        <w:rPr>
          <w:rFonts w:ascii="Arial" w:cs="Arial" w:eastAsia="Arial" w:hAnsi="Arial"/>
          <w:sz w:val="18"/>
          <w:szCs w:val="18"/>
          <w:color w:val="auto"/>
        </w:rPr>
        <w:t>This opinion is also confined to the matters stated herein and is not to be read as extending, by implication or otherwise, to any other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-1448435</wp:posOffset>
            </wp:positionH>
            <wp:positionV relativeFrom="paragraph">
              <wp:posOffset>348615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1580" w:space="710"/>
            <w:col w:w="9130"/>
          </w:cols>
          <w:pgMar w:left="240" w:top="118" w:right="239" w:bottom="1440" w:gutter="0" w:footer="0" w:header="0"/>
        </w:sectPr>
      </w:pPr>
    </w:p>
    <w:bookmarkStart w:id="41" w:name="page42"/>
    <w:bookmarkEnd w:id="41"/>
    <w:p>
      <w:pPr>
        <w:jc w:val="both"/>
        <w:ind w:left="1100"/>
        <w:spacing w:after="0"/>
        <w:rPr>
          <w:sz w:val="20"/>
          <w:szCs w:val="20"/>
          <w:color w:val="auto"/>
        </w:rPr>
      </w:pPr>
      <w:r>
        <w:rPr>
          <w:rFonts w:ascii="Arial" w:cs="Arial" w:eastAsia="Arial" w:hAnsi="Arial"/>
          <w:sz w:val="18"/>
          <w:szCs w:val="18"/>
          <w:color w:val="auto"/>
        </w:rPr>
        <w:t>For the purpose of giving this opinion, we have examined such documents and made such examination of law as we have deemed appropriate to give the opinions set forth below, including but not limited to the following documents:</w:t>
      </w:r>
    </w:p>
    <w:p>
      <w:pPr>
        <w:spacing w:after="0" w:line="189" w:lineRule="exact"/>
        <w:rPr>
          <w:sz w:val="20"/>
          <w:szCs w:val="20"/>
          <w:color w:val="auto"/>
        </w:rPr>
      </w:pPr>
    </w:p>
    <w:p>
      <w:pPr>
        <w:ind w:left="1660" w:hanging="570"/>
        <w:spacing w:after="0"/>
        <w:tabs>
          <w:tab w:leader="none" w:pos="1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pdf copy of the Registration Statement dated as of 24 August 2018;</w:t>
      </w:r>
    </w:p>
    <w:p>
      <w:pPr>
        <w:spacing w:after="0" w:line="180" w:lineRule="exact"/>
        <w:rPr>
          <w:rFonts w:ascii="Arial" w:cs="Arial" w:eastAsia="Arial" w:hAnsi="Arial"/>
          <w:sz w:val="18"/>
          <w:szCs w:val="18"/>
          <w:color w:val="auto"/>
        </w:rPr>
      </w:pPr>
    </w:p>
    <w:p>
      <w:pPr>
        <w:ind w:left="1660" w:hanging="570"/>
        <w:spacing w:after="0" w:line="267" w:lineRule="auto"/>
        <w:tabs>
          <w:tab w:leader="none" w:pos="1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pdf copy of the notarized articles of association (</w:t>
      </w:r>
      <w:r>
        <w:rPr>
          <w:rFonts w:ascii="Arial" w:cs="Arial" w:eastAsia="Arial" w:hAnsi="Arial"/>
          <w:sz w:val="18"/>
          <w:szCs w:val="18"/>
          <w:i w:val="1"/>
          <w:iCs w:val="1"/>
          <w:color w:val="auto"/>
        </w:rPr>
        <w:t>statuts</w:t>
      </w:r>
      <w:r>
        <w:rPr>
          <w:rFonts w:ascii="Arial" w:cs="Arial" w:eastAsia="Arial" w:hAnsi="Arial"/>
          <w:sz w:val="18"/>
          <w:szCs w:val="18"/>
          <w:color w:val="auto"/>
        </w:rPr>
        <w:t>) of the Company dated 30 July 2018 (the "</w:t>
      </w:r>
      <w:r>
        <w:rPr>
          <w:rFonts w:ascii="Arial" w:cs="Arial" w:eastAsia="Arial" w:hAnsi="Arial"/>
          <w:sz w:val="18"/>
          <w:szCs w:val="18"/>
          <w:b w:val="1"/>
          <w:bCs w:val="1"/>
          <w:color w:val="auto"/>
        </w:rPr>
        <w:t>Articles</w:t>
      </w:r>
      <w:r>
        <w:rPr>
          <w:rFonts w:ascii="Arial" w:cs="Arial" w:eastAsia="Arial" w:hAnsi="Arial"/>
          <w:sz w:val="18"/>
          <w:szCs w:val="18"/>
          <w:color w:val="auto"/>
        </w:rPr>
        <w:t>"), as filed with the Commercial Register of the Canton of Vaud;</w:t>
      </w:r>
    </w:p>
    <w:p>
      <w:pPr>
        <w:spacing w:after="0" w:line="340" w:lineRule="exact"/>
        <w:rPr>
          <w:rFonts w:ascii="Arial" w:cs="Arial" w:eastAsia="Arial" w:hAnsi="Arial"/>
          <w:sz w:val="18"/>
          <w:szCs w:val="18"/>
          <w:color w:val="auto"/>
        </w:rPr>
      </w:pPr>
    </w:p>
    <w:p>
      <w:pPr>
        <w:ind w:left="1660" w:right="20" w:hanging="570"/>
        <w:spacing w:after="0" w:line="246" w:lineRule="auto"/>
        <w:tabs>
          <w:tab w:leader="none" w:pos="1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pdf copy of the excerpt from the Commercial Register of the Canton of Vaud in respect of the Company, certified by such Commercial Register to be up-to-date as of 3 August 2018 (the "</w:t>
      </w:r>
      <w:r>
        <w:rPr>
          <w:rFonts w:ascii="Arial" w:cs="Arial" w:eastAsia="Arial" w:hAnsi="Arial"/>
          <w:sz w:val="18"/>
          <w:szCs w:val="18"/>
          <w:b w:val="1"/>
          <w:bCs w:val="1"/>
          <w:color w:val="auto"/>
        </w:rPr>
        <w:t>Excerpt</w:t>
      </w:r>
      <w:r>
        <w:rPr>
          <w:rFonts w:ascii="Arial" w:cs="Arial" w:eastAsia="Arial" w:hAnsi="Arial"/>
          <w:sz w:val="18"/>
          <w:szCs w:val="18"/>
          <w:color w:val="auto"/>
        </w:rPr>
        <w:t>");</w:t>
      </w:r>
    </w:p>
    <w:p>
      <w:pPr>
        <w:spacing w:after="0" w:line="358" w:lineRule="exact"/>
        <w:rPr>
          <w:rFonts w:ascii="Arial" w:cs="Arial" w:eastAsia="Arial" w:hAnsi="Arial"/>
          <w:sz w:val="18"/>
          <w:szCs w:val="18"/>
          <w:color w:val="auto"/>
        </w:rPr>
      </w:pPr>
    </w:p>
    <w:p>
      <w:pPr>
        <w:jc w:val="both"/>
        <w:ind w:left="1660" w:hanging="570"/>
        <w:spacing w:after="0"/>
        <w:tabs>
          <w:tab w:leader="none" w:pos="1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pdf copy of the registration rights agreement dated as of 23 October 2015 among the Company and the shareholders party thereto, including dievini Hopp BioTech holding GmbH &amp; Co KG (the "</w:t>
      </w:r>
      <w:r>
        <w:rPr>
          <w:rFonts w:ascii="Arial" w:cs="Arial" w:eastAsia="Arial" w:hAnsi="Arial"/>
          <w:sz w:val="18"/>
          <w:szCs w:val="18"/>
          <w:b w:val="1"/>
          <w:bCs w:val="1"/>
          <w:color w:val="auto"/>
        </w:rPr>
        <w:t>Selling</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w:t>
      </w:r>
      <w:r>
        <w:rPr>
          <w:rFonts w:ascii="Arial" w:cs="Arial" w:eastAsia="Arial" w:hAnsi="Arial"/>
          <w:sz w:val="18"/>
          <w:szCs w:val="18"/>
          <w:color w:val="auto"/>
        </w:rPr>
        <w:t>"); and</w:t>
      </w:r>
    </w:p>
    <w:p>
      <w:pPr>
        <w:spacing w:after="0" w:line="364" w:lineRule="exact"/>
        <w:rPr>
          <w:rFonts w:ascii="Arial" w:cs="Arial" w:eastAsia="Arial" w:hAnsi="Arial"/>
          <w:sz w:val="18"/>
          <w:szCs w:val="18"/>
          <w:color w:val="auto"/>
        </w:rPr>
      </w:pPr>
    </w:p>
    <w:p>
      <w:pPr>
        <w:ind w:left="1660" w:hanging="570"/>
        <w:spacing w:after="0"/>
        <w:tabs>
          <w:tab w:leader="none" w:pos="1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other certificates of the officers of the Company.</w:t>
      </w:r>
    </w:p>
    <w:p>
      <w:pPr>
        <w:spacing w:after="0" w:line="35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documents referred to above in paragraphs a) to e) are referred to together as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 documents have been reviewed by ourselves in connection with this opinion other than those listed above.</w:t>
      </w:r>
    </w:p>
    <w:p>
      <w:pPr>
        <w:ind w:left="1100"/>
        <w:spacing w:after="0"/>
        <w:rPr>
          <w:sz w:val="20"/>
          <w:szCs w:val="20"/>
          <w:color w:val="auto"/>
        </w:rPr>
      </w:pPr>
      <w:r>
        <w:rPr>
          <w:rFonts w:ascii="Arial" w:cs="Arial" w:eastAsia="Arial" w:hAnsi="Arial"/>
          <w:sz w:val="18"/>
          <w:szCs w:val="18"/>
          <w:color w:val="auto"/>
        </w:rPr>
        <w:t>Accordingly, our opinion is limited to the above Documents and their legal implications under Swiss law.</w:t>
      </w:r>
    </w:p>
    <w:p>
      <w:pPr>
        <w:spacing w:after="0" w:line="198" w:lineRule="exact"/>
        <w:rPr>
          <w:sz w:val="20"/>
          <w:szCs w:val="20"/>
          <w:color w:val="auto"/>
        </w:rPr>
      </w:pPr>
    </w:p>
    <w:p>
      <w:pPr>
        <w:ind w:left="1100" w:right="20"/>
        <w:spacing w:after="0" w:line="246" w:lineRule="auto"/>
        <w:rPr>
          <w:sz w:val="20"/>
          <w:szCs w:val="20"/>
          <w:color w:val="auto"/>
        </w:rPr>
      </w:pPr>
      <w:r>
        <w:rPr>
          <w:rFonts w:ascii="Arial" w:cs="Arial" w:eastAsia="Arial" w:hAnsi="Arial"/>
          <w:sz w:val="18"/>
          <w:szCs w:val="18"/>
          <w:color w:val="auto"/>
        </w:rPr>
        <w:t>All terms used in this opinion in uppercase form shall have the meaning ascribed to them in the Registration Statement, unless otherwise defined herein.</w:t>
      </w:r>
    </w:p>
    <w:p>
      <w:pPr>
        <w:spacing w:after="0" w:line="161" w:lineRule="exact"/>
        <w:rPr>
          <w:sz w:val="20"/>
          <w:szCs w:val="20"/>
          <w:color w:val="auto"/>
        </w:rPr>
      </w:pPr>
    </w:p>
    <w:p>
      <w:pPr>
        <w:ind w:left="1480" w:hanging="390"/>
        <w:spacing w:after="0"/>
        <w:tabs>
          <w:tab w:leader="none" w:pos="14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rendering the opinion below, we have assumed:</w:t>
      </w:r>
    </w:p>
    <w:p>
      <w:pPr>
        <w:spacing w:after="0" w:line="198" w:lineRule="exact"/>
        <w:rPr>
          <w:sz w:val="20"/>
          <w:szCs w:val="20"/>
          <w:color w:val="auto"/>
        </w:rPr>
      </w:pPr>
    </w:p>
    <w:p>
      <w:pPr>
        <w:ind w:left="1660" w:hanging="570"/>
        <w:spacing w:after="0" w:line="246" w:lineRule="auto"/>
        <w:tabs>
          <w:tab w:leader="none" w:pos="1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conformity to the Documents of all documents produced to us as copies, fax copies or via e-mail, and that the original was executed in the manner appearing on the copy of the draft;</w:t>
      </w:r>
    </w:p>
    <w:p>
      <w:pPr>
        <w:spacing w:after="0" w:line="358" w:lineRule="exact"/>
        <w:rPr>
          <w:rFonts w:ascii="Arial" w:cs="Arial" w:eastAsia="Arial" w:hAnsi="Arial"/>
          <w:sz w:val="18"/>
          <w:szCs w:val="18"/>
          <w:color w:val="auto"/>
        </w:rPr>
      </w:pPr>
    </w:p>
    <w:p>
      <w:pPr>
        <w:ind w:left="1660" w:hanging="570"/>
        <w:spacing w:after="0" w:line="246" w:lineRule="auto"/>
        <w:tabs>
          <w:tab w:leader="none" w:pos="1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genuineness and authenticity of the signatures on all copies of the original Documents thereof which we have examined;</w:t>
      </w:r>
    </w:p>
    <w:p>
      <w:pPr>
        <w:spacing w:after="0" w:line="358" w:lineRule="exact"/>
        <w:rPr>
          <w:rFonts w:ascii="Arial" w:cs="Arial" w:eastAsia="Arial" w:hAnsi="Arial"/>
          <w:sz w:val="18"/>
          <w:szCs w:val="18"/>
          <w:color w:val="auto"/>
        </w:rPr>
      </w:pPr>
    </w:p>
    <w:p>
      <w:pPr>
        <w:ind w:left="1660" w:hanging="570"/>
        <w:spacing w:after="0"/>
        <w:tabs>
          <w:tab w:leader="none" w:pos="1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Registration Statement has been duly filed by the Company;</w:t>
      </w:r>
    </w:p>
    <w:p>
      <w:pPr>
        <w:spacing w:after="0" w:line="373" w:lineRule="exact"/>
        <w:rPr>
          <w:rFonts w:ascii="Arial" w:cs="Arial" w:eastAsia="Arial" w:hAnsi="Arial"/>
          <w:sz w:val="18"/>
          <w:szCs w:val="18"/>
          <w:color w:val="auto"/>
        </w:rPr>
      </w:pPr>
    </w:p>
    <w:p>
      <w:pPr>
        <w:jc w:val="both"/>
        <w:ind w:left="1660" w:hanging="570"/>
        <w:spacing w:after="0"/>
        <w:tabs>
          <w:tab w:leader="none" w:pos="1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Articles and the Excerpt are unchanged and correct as of the date hereof and no changes have been made which should have been or should be reflected in the Articles or the Excerpt as of the date 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300990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42" w:name="page43"/>
    <w:bookmarkEnd w:id="42"/>
    <w:p>
      <w:pPr>
        <w:ind w:left="1660" w:hanging="570"/>
        <w:spacing w:after="0" w:line="246" w:lineRule="auto"/>
        <w:tabs>
          <w:tab w:leader="none" w:pos="1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the extent relevant for purposes of this opinion, all factual information contained in, or material statements given in connection with, the Documents are true, complete and accurate.</w:t>
      </w:r>
    </w:p>
    <w:p>
      <w:pPr>
        <w:spacing w:after="0" w:line="337" w:lineRule="exact"/>
        <w:rPr>
          <w:sz w:val="20"/>
          <w:szCs w:val="20"/>
          <w:color w:val="auto"/>
        </w:rPr>
      </w:pPr>
    </w:p>
    <w:p>
      <w:pPr>
        <w:ind w:left="1540" w:hanging="450"/>
        <w:spacing w:after="0"/>
        <w:tabs>
          <w:tab w:leader="none" w:pos="15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Based upon the foregoing and subject to the qualifications set out below, we are of the opinion that:</w:t>
      </w:r>
    </w:p>
    <w:p>
      <w:pPr>
        <w:spacing w:after="0" w:line="198" w:lineRule="exact"/>
        <w:rPr>
          <w:sz w:val="20"/>
          <w:szCs w:val="20"/>
          <w:color w:val="auto"/>
        </w:rPr>
      </w:pPr>
    </w:p>
    <w:p>
      <w:pPr>
        <w:jc w:val="both"/>
        <w:ind w:left="1660" w:hanging="570"/>
        <w:spacing w:after="0"/>
        <w:tabs>
          <w:tab w:leader="none" w:pos="1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Shares held by the Selling Shareholder are validly issued, fully paid-in (up to their nominal amount) and non-assessable (which term means when used herein that no further contributions have to be made by the holders of the Shares).</w:t>
      </w:r>
    </w:p>
    <w:p>
      <w:pPr>
        <w:spacing w:after="0" w:line="343" w:lineRule="exact"/>
        <w:rPr>
          <w:sz w:val="20"/>
          <w:szCs w:val="20"/>
          <w:color w:val="auto"/>
        </w:rPr>
      </w:pPr>
    </w:p>
    <w:p>
      <w:pPr>
        <w:ind w:left="1100"/>
        <w:spacing w:after="0"/>
        <w:tabs>
          <w:tab w:leader="none" w:pos="1520" w:val="left"/>
        </w:tabs>
        <w:rPr>
          <w:sz w:val="20"/>
          <w:szCs w:val="20"/>
          <w:color w:val="auto"/>
        </w:rPr>
      </w:pPr>
      <w:r>
        <w:rPr>
          <w:rFonts w:ascii="Arial" w:cs="Arial" w:eastAsia="Arial" w:hAnsi="Arial"/>
          <w:sz w:val="18"/>
          <w:szCs w:val="18"/>
          <w:b w:val="1"/>
          <w:bCs w:val="1"/>
          <w:color w:val="auto"/>
        </w:rPr>
        <w:t>IV.</w:t>
        <w:tab/>
        <w:t>QUALIFICATIONS</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This opinion is subject to the following qualifications:</w:t>
      </w:r>
    </w:p>
    <w:p>
      <w:pPr>
        <w:spacing w:after="0" w:line="198" w:lineRule="exact"/>
        <w:rPr>
          <w:sz w:val="20"/>
          <w:szCs w:val="20"/>
          <w:color w:val="auto"/>
        </w:rPr>
      </w:pPr>
    </w:p>
    <w:p>
      <w:pPr>
        <w:jc w:val="both"/>
        <w:ind w:left="1660" w:hanging="570"/>
        <w:spacing w:after="0"/>
        <w:tabs>
          <w:tab w:leader="none" w:pos="1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opinion is limited to matters of Swiss law as in force on the date hereof and as applied and construed by the courts of Switzerland. We have not investigated the laws of any jurisdiction other than Switzerland, or any matters of fact.</w:t>
      </w:r>
    </w:p>
    <w:p>
      <w:pPr>
        <w:spacing w:after="0" w:line="364" w:lineRule="exact"/>
        <w:rPr>
          <w:rFonts w:ascii="Arial" w:cs="Arial" w:eastAsia="Arial" w:hAnsi="Arial"/>
          <w:sz w:val="18"/>
          <w:szCs w:val="18"/>
          <w:color w:val="auto"/>
        </w:rPr>
      </w:pPr>
    </w:p>
    <w:p>
      <w:pPr>
        <w:jc w:val="both"/>
        <w:ind w:left="1660" w:hanging="570"/>
        <w:spacing w:after="0"/>
        <w:tabs>
          <w:tab w:leader="none" w:pos="1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opinion set forth herein is limited to the matters specifically addressed herein, and no other opinion or opinions are expressed or may be implied or inferred. In particular, we express no opinion as to any commercial, calculating, auditing or other non-legal matters. Further, we express no opinion as to tax law.</w:t>
      </w:r>
    </w:p>
    <w:p>
      <w:pPr>
        <w:spacing w:after="0" w:line="364" w:lineRule="exact"/>
        <w:rPr>
          <w:rFonts w:ascii="Arial" w:cs="Arial" w:eastAsia="Arial" w:hAnsi="Arial"/>
          <w:sz w:val="18"/>
          <w:szCs w:val="18"/>
          <w:color w:val="auto"/>
        </w:rPr>
      </w:pPr>
    </w:p>
    <w:p>
      <w:pPr>
        <w:ind w:left="1660" w:hanging="570"/>
        <w:spacing w:after="0" w:line="246" w:lineRule="auto"/>
        <w:tabs>
          <w:tab w:leader="none" w:pos="1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express no opinion as to the accuracy or completeness of the information contained in the Registration Statement.</w:t>
      </w:r>
    </w:p>
    <w:p>
      <w:pPr>
        <w:spacing w:after="0" w:line="200" w:lineRule="exact"/>
        <w:rPr>
          <w:sz w:val="20"/>
          <w:szCs w:val="20"/>
          <w:color w:val="auto"/>
        </w:rPr>
      </w:pPr>
    </w:p>
    <w:p>
      <w:pPr>
        <w:spacing w:after="0" w:line="36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 *</w:t>
      </w:r>
    </w:p>
    <w:p>
      <w:pPr>
        <w:spacing w:after="0" w:line="198" w:lineRule="exact"/>
        <w:rPr>
          <w:sz w:val="20"/>
          <w:szCs w:val="20"/>
          <w:color w:val="auto"/>
        </w:rPr>
      </w:pPr>
    </w:p>
    <w:p>
      <w:pPr>
        <w:ind w:left="1100"/>
        <w:spacing w:after="0" w:line="246" w:lineRule="auto"/>
        <w:rPr>
          <w:sz w:val="20"/>
          <w:szCs w:val="20"/>
          <w:color w:val="auto"/>
        </w:rPr>
      </w:pPr>
      <w:r>
        <w:rPr>
          <w:rFonts w:ascii="Arial" w:cs="Arial" w:eastAsia="Arial" w:hAnsi="Arial"/>
          <w:sz w:val="18"/>
          <w:szCs w:val="18"/>
          <w:color w:val="auto"/>
        </w:rPr>
        <w:t>We have rendered this opinion as of the date hereof and we assume no obligation to advise you of changes that may thereafter be brought to our attention.</w:t>
      </w:r>
    </w:p>
    <w:p>
      <w:pPr>
        <w:spacing w:after="0" w:line="183" w:lineRule="exact"/>
        <w:rPr>
          <w:sz w:val="20"/>
          <w:szCs w:val="20"/>
          <w:color w:val="auto"/>
        </w:rPr>
      </w:pPr>
    </w:p>
    <w:p>
      <w:pPr>
        <w:ind w:left="1100" w:right="20"/>
        <w:spacing w:after="0" w:line="246" w:lineRule="auto"/>
        <w:rPr>
          <w:sz w:val="20"/>
          <w:szCs w:val="20"/>
          <w:color w:val="auto"/>
        </w:rPr>
      </w:pPr>
      <w:r>
        <w:rPr>
          <w:rFonts w:ascii="Arial" w:cs="Arial" w:eastAsia="Arial" w:hAnsi="Arial"/>
          <w:sz w:val="18"/>
          <w:szCs w:val="18"/>
          <w:color w:val="auto"/>
        </w:rPr>
        <w:t>In this opinion, Swiss legal concepts are expressed in English terms and not in their original terms. The concepts concerned may not be identical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314325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00" w:right="239" w:bottom="1440" w:gutter="0" w:footer="0" w:header="0"/>
        </w:sectPr>
      </w:pPr>
    </w:p>
    <w:bookmarkStart w:id="43" w:name="page44"/>
    <w:bookmarkEnd w:id="43"/>
    <w:p>
      <w:pPr>
        <w:jc w:val="both"/>
        <w:ind w:left="1100"/>
        <w:spacing w:after="0" w:line="246" w:lineRule="auto"/>
        <w:rPr>
          <w:sz w:val="20"/>
          <w:szCs w:val="20"/>
          <w:color w:val="auto"/>
        </w:rPr>
      </w:pPr>
      <w:r>
        <w:rPr>
          <w:rFonts w:ascii="Arial" w:cs="Arial" w:eastAsia="Arial" w:hAnsi="Arial"/>
          <w:sz w:val="18"/>
          <w:szCs w:val="18"/>
          <w:color w:val="auto"/>
        </w:rPr>
        <w:t>concepts described by the same English terms as they exist under the laws of other jurisdictions. All liability and other matters relating to this opinion shall be governed exclusively by Swiss law.</w:t>
      </w:r>
    </w:p>
    <w:p>
      <w:pPr>
        <w:spacing w:after="0" w:line="183" w:lineRule="exact"/>
        <w:rPr>
          <w:sz w:val="20"/>
          <w:szCs w:val="20"/>
          <w:color w:val="auto"/>
        </w:rPr>
      </w:pPr>
    </w:p>
    <w:p>
      <w:pPr>
        <w:jc w:val="both"/>
        <w:ind w:left="1100"/>
        <w:spacing w:after="0" w:line="23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references to us under the heading "Legal Matters" contained in the Registration Statement. In giving such consent, we do not thereby admit that we are in the category of persons whose consent is required under Section 7 of the Securities Act.</w:t>
      </w:r>
    </w:p>
    <w:p>
      <w:pPr>
        <w:spacing w:after="0" w:line="18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VISCHER AG</w:t>
      </w:r>
    </w:p>
    <w:p>
      <w:pPr>
        <w:spacing w:after="0" w:line="200" w:lineRule="exact"/>
        <w:rPr>
          <w:sz w:val="20"/>
          <w:szCs w:val="20"/>
          <w:color w:val="auto"/>
        </w:rPr>
      </w:pPr>
    </w:p>
    <w:p>
      <w:pPr>
        <w:spacing w:after="0" w:line="39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 Matthias Staehelin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-15875</wp:posOffset>
            </wp:positionV>
            <wp:extent cx="12515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251585" cy="889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8"/>
          <w:szCs w:val="18"/>
          <w:color w:val="auto"/>
        </w:rPr>
        <w:t>Dr. Matthias Staehelin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194945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98"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23.2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0" w:lineRule="exact"/>
        <w:rPr>
          <w:sz w:val="20"/>
          <w:szCs w:val="20"/>
          <w:color w:val="auto"/>
        </w:rPr>
      </w:pPr>
    </w:p>
    <w:p>
      <w:pPr>
        <w:jc w:val="both"/>
        <w:ind w:right="260"/>
        <w:spacing w:after="0" w:line="239"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F-3) and related Prospectus of AC Immune SA for the registration of its common shares, and to the incorporation by reference therein of our report dated March 20, 2018, with respect to the financial statements of AC Immune SA included in its Annual Report (Form 20-F) for the year ended December 31, 2017, filed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Petit-Lancy, Switzerland</w:t>
      </w:r>
    </w:p>
    <w:p>
      <w:pPr>
        <w:spacing w:after="0"/>
        <w:rPr>
          <w:sz w:val="20"/>
          <w:szCs w:val="20"/>
          <w:color w:val="auto"/>
        </w:rPr>
      </w:pPr>
      <w:r>
        <w:rPr>
          <w:rFonts w:ascii="Arial" w:cs="Arial" w:eastAsia="Arial" w:hAnsi="Arial"/>
          <w:sz w:val="18"/>
          <w:szCs w:val="18"/>
          <w:color w:val="auto"/>
        </w:rPr>
        <w:t>August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0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212"/>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1">
    <w:nsid w:val="2463B9EA"/>
    <w:multiLevelType w:val="hybridMultilevel"/>
    <w:lvl w:ilvl="0">
      <w:lvlJc w:val="left"/>
      <w:lvlText w:val="%1"/>
      <w:numFmt w:val="decimal"/>
      <w:start w:val="1"/>
    </w:lvl>
    <w:lvl w:ilvl="1">
      <w:lvlJc w:val="left"/>
      <w:lvlText w:val="(%2)"/>
      <w:numFmt w:val="upperLetter"/>
      <w:start w:val="1"/>
    </w:lvl>
  </w:abstractNum>
  <w:abstractNum w:abstractNumId="32">
    <w:nsid w:val="5E884ADC"/>
    <w:multiLevelType w:val="hybridMultilevel"/>
    <w:lvl w:ilvl="0">
      <w:lvlJc w:val="left"/>
      <w:lvlText w:val="(%1)"/>
      <w:numFmt w:val="decimal"/>
      <w:start w:val="2"/>
    </w:lvl>
    <w:lvl w:ilvl="1">
      <w:lvlJc w:val="left"/>
      <w:lvlText w:val="%2"/>
      <w:numFmt w:val="upperLetter"/>
      <w:start w:val="1"/>
    </w:lvl>
  </w:abstractNum>
  <w:abstractNum w:abstractNumId="33">
    <w:nsid w:val="51EAD36B"/>
    <w:multiLevelType w:val="hybridMultilevel"/>
    <w:lvl w:ilvl="0">
      <w:lvlJc w:val="left"/>
      <w:lvlText w:val="(%1)"/>
      <w:numFmt w:val="decimal"/>
      <w:start w:val="5"/>
    </w:lvl>
    <w:lvl w:ilvl="1">
      <w:lvlJc w:val="left"/>
      <w:lvlText w:val="(%2)"/>
      <w:numFmt w:val="upperLetter"/>
      <w:start w:val="1"/>
    </w:lvl>
  </w:abstractNum>
  <w:abstractNum w:abstractNumId="34">
    <w:nsid w:val="2D517796"/>
    <w:multiLevelType w:val="hybridMultilevel"/>
    <w:lvl w:ilvl="0">
      <w:lvlJc w:val="left"/>
      <w:lvlText w:val="%1"/>
      <w:numFmt w:val="lowerLetter"/>
      <w:start w:val="1"/>
    </w:lvl>
    <w:lvl w:ilvl="1">
      <w:lvlJc w:val="left"/>
      <w:lvlText w:val="(%2)"/>
      <w:numFmt w:val="lowerRoman"/>
      <w:start w:val="1"/>
    </w:lvl>
  </w:abstractNum>
  <w:abstractNum w:abstractNumId="35">
    <w:nsid w:val="580BD78F"/>
    <w:multiLevelType w:val="hybridMultilevel"/>
    <w:lvl w:ilvl="0">
      <w:lvlJc w:val="left"/>
      <w:lvlText w:val="(%1)"/>
      <w:numFmt w:val="lowerLetter"/>
      <w:start w:val="2"/>
    </w:lvl>
    <w:lvl w:ilvl="1">
      <w:lvlJc w:val="left"/>
      <w:lvlText w:val="%2"/>
      <w:numFmt w:val="lowerRoman"/>
      <w:start w:val="1"/>
    </w:lvl>
  </w:abstractNum>
  <w:abstractNum w:abstractNumId="36">
    <w:nsid w:val="153EA438"/>
    <w:multiLevelType w:val="hybridMultilevel"/>
    <w:lvl w:ilvl="0">
      <w:lvlJc w:val="left"/>
      <w:lvlText w:val="(%1)"/>
      <w:numFmt w:val="lowerLetter"/>
      <w:start w:val="3"/>
    </w:lvl>
    <w:lvl w:ilvl="1">
      <w:lvlJc w:val="left"/>
      <w:lvlText w:val="(%2)"/>
      <w:numFmt w:val="decimal"/>
      <w:start w:val="1"/>
    </w:lvl>
  </w:abstractNum>
  <w:abstractNum w:abstractNumId="37">
    <w:nsid w:val="3855585C"/>
    <w:multiLevelType w:val="hybridMultilevel"/>
    <w:lvl w:ilvl="0">
      <w:lvlJc w:val="left"/>
      <w:lvlText w:val="%1."/>
      <w:numFmt w:val="upperLetter"/>
      <w:start w:val="9"/>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upperLetter"/>
      <w:start w:val="35"/>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lowerLetter"/>
      <w:start w:val="5"/>
    </w:lvl>
  </w:abstractNum>
  <w:abstractNum w:abstractNumId="42">
    <w:nsid w:val="725A06FB"/>
    <w:multiLevelType w:val="hybridMultilevel"/>
    <w:lvl w:ilvl="0">
      <w:lvlJc w:val="left"/>
      <w:lvlText w:val="%1."/>
      <w:numFmt w:val="upperLetter"/>
      <w:start w:val="61"/>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57" Type="http://schemas.openxmlformats.org/officeDocument/2006/relationships/hyperlink" Target="http://www.sec.gov/Archives/edgar/data/1651625/000095010318009503/dp94327_ex0301.htm" TargetMode="External"/><Relationship Id="rId58" Type="http://schemas.openxmlformats.org/officeDocument/2006/relationships/hyperlink" Target="http://www.sec.gov/Archives/edgar/data/1651625/000119312516607922/d1643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2019-12-08T14:05:10Z</dcterms:created>
  <dcterms:modified xsi:type="dcterms:W3CDTF">2019-12-08T14:05:10Z</dcterms:modified>
</cp:coreProperties>
</file>