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November, 2016</w:t>
      </w:r>
    </w:p>
    <w:p>
      <w:pPr>
        <w:spacing w:after="0" w:line="32" w:lineRule="exact"/>
        <w:rPr>
          <w:sz w:val="24"/>
          <w:szCs w:val="24"/>
          <w:color w:val="auto"/>
        </w:rPr>
      </w:pPr>
    </w:p>
    <w:p>
      <w:pPr>
        <w:ind w:left="4740"/>
        <w:spacing w:after="0"/>
        <w:rPr>
          <w:sz w:val="20"/>
          <w:szCs w:val="20"/>
          <w:color w:val="auto"/>
        </w:rPr>
      </w:pPr>
      <w:r>
        <w:rPr>
          <w:rFonts w:ascii="Arial" w:cs="Arial" w:eastAsia="Arial" w:hAnsi="Arial"/>
          <w:sz w:val="25"/>
          <w:szCs w:val="25"/>
          <w:color w:val="auto"/>
        </w:rPr>
        <w:t>____________</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EPFL Innovation Park</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Building B</w:t>
      </w:r>
    </w:p>
    <w:p>
      <w:pPr>
        <w:jc w:val="center"/>
        <w:spacing w:after="0" w:line="235" w:lineRule="auto"/>
        <w:rPr>
          <w:sz w:val="20"/>
          <w:szCs w:val="20"/>
          <w:color w:val="auto"/>
        </w:rPr>
      </w:pPr>
      <w:r>
        <w:rPr>
          <w:rFonts w:ascii="Arial" w:cs="Arial" w:eastAsia="Arial" w:hAnsi="Arial"/>
          <w:sz w:val="22"/>
          <w:szCs w:val="22"/>
          <w:b w:val="1"/>
          <w:bCs w:val="1"/>
          <w:color w:val="auto"/>
        </w:rPr>
        <w:t>1015 Lausanne, Switzerland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3080"/>
        <w:spacing w:after="0"/>
        <w:tabs>
          <w:tab w:leader="none" w:pos="4620" w:val="left"/>
          <w:tab w:leader="none" w:pos="63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14605</wp:posOffset>
            </wp:positionV>
            <wp:extent cx="506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23495</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3340"/>
        <w:spacing w:after="0"/>
        <w:tabs>
          <w:tab w:leader="none" w:pos="6620" w:val="left"/>
          <w:tab w:leader="none" w:pos="7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23495</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3340"/>
        <w:spacing w:after="0"/>
        <w:tabs>
          <w:tab w:leader="none" w:pos="6620" w:val="left"/>
          <w:tab w:leader="none" w:pos="7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23495</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255270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460" w:top="63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Annual Ordinary Shareholders’ Meeting Results</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On November 15, 2016, AC Immune SA (“</w:t>
      </w:r>
      <w:r>
        <w:rPr>
          <w:rFonts w:ascii="Arial" w:cs="Arial" w:eastAsia="Arial" w:hAnsi="Arial"/>
          <w:sz w:val="18"/>
          <w:szCs w:val="18"/>
          <w:b w:val="1"/>
          <w:bCs w:val="1"/>
          <w:color w:val="auto"/>
        </w:rPr>
        <w:t>AC Immune</w:t>
      </w:r>
      <w:r>
        <w:rPr>
          <w:rFonts w:ascii="Arial" w:cs="Arial" w:eastAsia="Arial" w:hAnsi="Arial"/>
          <w:sz w:val="18"/>
          <w:szCs w:val="18"/>
          <w:color w:val="auto"/>
        </w:rPr>
        <w:t>”) held its annual Ordinary Shareholders’ Meeting. The presentation that was given at the Ordinary Shareholders’ Meeting is attached hereto as Exhibit 99.1. The final results of each of the agenda items submitted to a vote of the shareholders are as follows:</w:t>
      </w:r>
    </w:p>
    <w:p>
      <w:pPr>
        <w:spacing w:after="0" w:line="17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Agenda Item 1: Approval of the Annual Report, Annual Financial Statements and Consolidated Financial Statements of AC Immune SA for the year 2015</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AC Immune shareholders approved the Annual Report, the Annual Financial Statements and the Consolidated Financial Statements of AC Immune SA under IFRS for the year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 2: Appropriation of Gain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AC Immune shareholders approved the application of the net profit of the year 2015 in the amount of KCHF 20,173 against the loss brought forward of KCHF 45,103 resulting in a reduced new balance of loss brought forward of KCHF 24,930.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 3: Discharge of the Members of the Board of Directors and the Executive Board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 Immune shareholders approved the discharge the Board and the Executive Board of their liabilities for their activities in the financial year 2015.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 4: Compensation for the Members of the Board of Directors and the Executive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 Immune shareholders approved:</w:t>
      </w:r>
    </w:p>
    <w:p>
      <w:pPr>
        <w:spacing w:after="0" w:line="225" w:lineRule="exact"/>
        <w:rPr>
          <w:sz w:val="20"/>
          <w:szCs w:val="20"/>
          <w:color w:val="auto"/>
        </w:rPr>
      </w:pPr>
    </w:p>
    <w:p>
      <w:pPr>
        <w:ind w:left="1300" w:right="2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total maximum amount of non-performance-related compensation for the members of the Board of Directors covering the period from 15 November 2016 to 30 June 2017,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286,080 (cash base compensation plus social security costs);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maximum grant of equity or equity linked instruments for the members of the Board of Directors from 15 November 2016 to 30 June 2017 with maximum value of CHF 460,000 (equity value plus social security costs);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total maximum amount of non-performance-related cash compensation for the members of the Executive Committee from 15 November 2016 to 30 June 2017,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836,790 (cash base compensation plus social security costs);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total maximum amount of variable compensation for the members of the Executive Committee for the current year 2016,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667,000 (cash compensation plus social security costs);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maximum of equity or equity linked instruments for the members of the Executive Committee from 15 November 2016 to 30 June 2017,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2,001,000 (equity value plus social security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Agenda Item 5: 2016 Stock Option and Incentive Plan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 Immune shareholders approved the 2016 Stock Option and Incentive Plan including a maximum of 2,057,740 options for common shares under the 2016 Stock Option and Incentive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 6: Election of the Members of the Board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 Immune shareholders approved the re-election of Martin Velasco as member and as Chairman of the Board, Peter Bollmann, Friedrich von Bohlen, Andrea Pfeifer and Detlev Riesner as members of the Board of Directors and the election of Thomas Graney as new member of the Board of Directors, each until the end of the next Ordinary General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 7: Election to the Compensation, Nomination &amp; Corporate Governance Committee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 Immune shareholders approved the election of Detlev Riesner, Martin Velasco and Tom Graney as members of the Compensation, Nomination &amp; Corporate Governance Committee, each until the end of the next Ordinary General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 8: Re-Election of the independent proxy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 Immune shareholders approved the election of Bugnion Ballansat Ehrler, represented by Gérald Virieux, as AC Immune’s independent proxy until the end of the next Ordinary General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 9: Re-Election of the Auditors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 Immune shareholders approved the re-election of Ernst &amp; Young SA, in Lancy, for a term of office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52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 Pfeifer</w:t>
      </w:r>
    </w:p>
    <w:p>
      <w:pPr>
        <w:spacing w:after="0" w:line="23" w:lineRule="exact"/>
        <w:rPr>
          <w:sz w:val="20"/>
          <w:szCs w:val="20"/>
          <w:color w:val="auto"/>
        </w:rPr>
      </w:pPr>
    </w:p>
    <w:p>
      <w:pPr>
        <w:ind w:left="5960"/>
        <w:spacing w:after="0"/>
        <w:tabs>
          <w:tab w:leader="none" w:pos="6620" w:val="left"/>
        </w:tabs>
        <w:rPr>
          <w:sz w:val="20"/>
          <w:szCs w:val="20"/>
          <w:color w:val="auto"/>
        </w:rPr>
      </w:pPr>
      <w:r>
        <w:rPr>
          <w:rFonts w:ascii="Arial" w:cs="Arial" w:eastAsia="Arial" w:hAnsi="Arial"/>
          <w:sz w:val="18"/>
          <w:szCs w:val="18"/>
          <w:color w:val="auto"/>
        </w:rPr>
        <w:t>Name:</w:t>
        <w:tab/>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3464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2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George Pavey</w:t>
      </w:r>
    </w:p>
    <w:p>
      <w:pPr>
        <w:spacing w:after="0" w:line="23" w:lineRule="exact"/>
        <w:rPr>
          <w:sz w:val="20"/>
          <w:szCs w:val="20"/>
          <w:color w:val="auto"/>
        </w:rPr>
      </w:pPr>
    </w:p>
    <w:p>
      <w:pPr>
        <w:ind w:left="5960"/>
        <w:spacing w:after="0"/>
        <w:tabs>
          <w:tab w:leader="none" w:pos="6620" w:val="left"/>
        </w:tabs>
        <w:rPr>
          <w:sz w:val="20"/>
          <w:szCs w:val="20"/>
          <w:color w:val="auto"/>
        </w:rPr>
      </w:pPr>
      <w:r>
        <w:rPr>
          <w:rFonts w:ascii="Arial" w:cs="Arial" w:eastAsia="Arial" w:hAnsi="Arial"/>
          <w:sz w:val="18"/>
          <w:szCs w:val="18"/>
          <w:color w:val="auto"/>
        </w:rPr>
        <w:t>Name:</w:t>
        <w:tab/>
        <w:t>George Pavey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3464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580" w:right="1059" w:bottom="1440" w:gutter="0" w:footer="0" w:header="0"/>
        </w:sectPr>
      </w:pPr>
    </w:p>
    <w:bookmarkStart w:id="4" w:name="page5"/>
    <w:bookmarkEnd w:id="4"/>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b w:val="1"/>
          <w:bCs w:val="1"/>
          <w:color w:val="auto"/>
        </w:rPr>
        <w:t>Exhibit Number</w:t>
      </w:r>
      <w:r>
        <w:rPr>
          <w:sz w:val="20"/>
          <w:szCs w:val="20"/>
          <w:color w:val="auto"/>
        </w:rPr>
        <w:tab/>
      </w:r>
      <w:r>
        <w:rPr>
          <w:rFonts w:ascii="Arial" w:cs="Arial" w:eastAsia="Arial" w:hAnsi="Arial"/>
          <w:sz w:val="15"/>
          <w:szCs w:val="15"/>
          <w:b w:val="1"/>
          <w:bCs w:val="1"/>
          <w:color w:val="auto"/>
        </w:rPr>
        <w:t>Description</w:t>
      </w:r>
    </w:p>
    <w:p>
      <w:pPr>
        <w:spacing w:after="0" w:line="27"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Annual Ordinary Shareholders’ Meeting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5" w:name="page6"/>
    <w:bookmarkEnd w:id="5"/>
    <w:p>
      <w:pPr>
        <w:ind w:left="9160"/>
        <w:spacing w:after="0"/>
        <w:rPr>
          <w:sz w:val="20"/>
          <w:szCs w:val="20"/>
          <w:color w:val="auto"/>
        </w:rPr>
      </w:pPr>
      <w:r>
        <w:rPr>
          <w:rFonts w:ascii="Arial" w:cs="Arial" w:eastAsia="Arial" w:hAnsi="Arial"/>
          <w:sz w:val="19"/>
          <w:szCs w:val="19"/>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6860540" cy="4862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860540" cy="4862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486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2019-12-09T09:50:37Z</dcterms:created>
  <dcterms:modified xsi:type="dcterms:W3CDTF">2019-12-09T09:50:37Z</dcterms:modified>
</cp:coreProperties>
</file>