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307"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August,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361315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378460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80"/>
          </w:cols>
          <w:pgMar w:left="460" w:top="751"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Pfeifer</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Name: Joerg Hornstein</w:t>
            </w:r>
          </w:p>
        </w:tc>
      </w:tr>
      <w:tr>
        <w:trPr>
          <w:trHeight w:val="230"/>
        </w:trPr>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80" w:type="dxa"/>
            <w:vAlign w:val="bottom"/>
          </w:tcPr>
          <w:p>
            <w:pPr>
              <w:jc w:val="center"/>
              <w:ind w:right="95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454"/>
        </w:trPr>
        <w:tc>
          <w:tcPr>
            <w:tcW w:w="4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280" w:type="dxa"/>
            <w:vAlign w:val="bottom"/>
            <w:tcBorders>
              <w:bottom w:val="single" w:sz="8" w:color="auto"/>
            </w:tcBorders>
          </w:tcPr>
          <w:p>
            <w:pPr>
              <w:ind w:left="470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291"/>
        </w:trPr>
        <w:tc>
          <w:tcPr>
            <w:tcW w:w="40" w:type="dxa"/>
            <w:vAlign w:val="bottom"/>
          </w:tcPr>
          <w:p>
            <w:pPr>
              <w:spacing w:after="0"/>
              <w:rPr>
                <w:sz w:val="24"/>
                <w:szCs w:val="24"/>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Interim Condensed Financial Statements (Unaudited) (IFRS) as of and for the Three and Six Months Ended June 30, 2019</w:t>
            </w:r>
          </w:p>
        </w:tc>
        <w:tc>
          <w:tcPr>
            <w:tcW w:w="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99.2</w:t>
            </w:r>
          </w:p>
        </w:tc>
        <w:tc>
          <w:tcPr>
            <w:tcW w:w="1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99.3</w:t>
            </w:r>
          </w:p>
        </w:tc>
        <w:tc>
          <w:tcPr>
            <w:tcW w:w="10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Press Release dated August 14, 2019</w:t>
            </w:r>
          </w:p>
        </w:tc>
        <w:tc>
          <w:tcPr>
            <w:tcW w:w="40" w:type="dxa"/>
            <w:vAlign w:val="bottom"/>
          </w:tcPr>
          <w:p>
            <w:pPr>
              <w:spacing w:after="0"/>
              <w:rPr>
                <w:sz w:val="24"/>
                <w:szCs w:val="24"/>
                <w:color w:val="auto"/>
              </w:rPr>
            </w:pPr>
          </w:p>
        </w:tc>
      </w:tr>
      <w:tr>
        <w:trPr>
          <w:trHeight w:val="608"/>
        </w:trPr>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2"/>
          </w:tcPr>
          <w:p>
            <w:pPr>
              <w:jc w:val="right"/>
              <w:ind w:right="555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Interim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Interim Condensed Financial</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Statements (Unaudited) (IFRS) as of and for the Three and Six Months Ended June 30,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Notes</w:t>
            </w:r>
          </w:p>
        </w:tc>
        <w:tc>
          <w:tcPr>
            <w:tcW w:w="296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As of June 30,   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Borders>
              <w:top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(in CHF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0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financial assets</w:t>
            </w:r>
          </w:p>
        </w:tc>
        <w:tc>
          <w:tcPr>
            <w:tcW w:w="66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D5EAEA"/>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66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5,876</w:t>
            </w:r>
          </w:p>
        </w:tc>
        <w:tc>
          <w:tcPr>
            <w:tcW w:w="120" w:type="dxa"/>
            <w:vAlign w:val="bottom"/>
            <w:tcBorders>
              <w:bottom w:val="single" w:sz="8" w:color="D5EAEA"/>
            </w:tcBorders>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Prepaid expenses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Finance receivable</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205,735</w:t>
            </w:r>
          </w:p>
        </w:tc>
        <w:tc>
          <w:tcPr>
            <w:tcW w:w="120" w:type="dxa"/>
            <w:vAlign w:val="bottom"/>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156,462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290,346</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296,222</w:t>
            </w:r>
          </w:p>
        </w:tc>
        <w:tc>
          <w:tcPr>
            <w:tcW w:w="120" w:type="dxa"/>
            <w:vAlign w:val="bottom"/>
            <w:tcBorders>
              <w:bottom w:val="single" w:sz="8" w:color="D5EAEA"/>
            </w:tcBorders>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196,556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Share capital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Share premium</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346,024</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298,149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losses</w:t>
            </w:r>
          </w:p>
        </w:tc>
        <w:tc>
          <w:tcPr>
            <w:tcW w:w="6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(74,170)</w:t>
            </w:r>
          </w:p>
        </w:tc>
        <w:tc>
          <w:tcPr>
            <w:tcW w:w="120" w:type="dxa"/>
            <w:vAlign w:val="bottom"/>
            <w:tcBorders>
              <w:bottom w:val="single" w:sz="8" w:color="D5EAEA"/>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66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273,290</w:t>
            </w:r>
          </w:p>
        </w:tc>
        <w:tc>
          <w:tcPr>
            <w:tcW w:w="120" w:type="dxa"/>
            <w:vAlign w:val="bottom"/>
            <w:tcBorders>
              <w:bottom w:val="single" w:sz="8" w:color="D5EAEA"/>
            </w:tcBorders>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177,623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Long-term lease liabilities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deferred income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6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66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9,672</w:t>
            </w:r>
          </w:p>
        </w:tc>
        <w:tc>
          <w:tcPr>
            <w:tcW w:w="120" w:type="dxa"/>
            <w:vAlign w:val="bottom"/>
            <w:tcBorders>
              <w:bottom w:val="single" w:sz="8" w:color="D5EAEA"/>
            </w:tcBorders>
          </w:tcPr>
          <w:p>
            <w:pPr>
              <w:spacing w:after="0"/>
              <w:rPr>
                <w:sz w:val="22"/>
                <w:szCs w:val="22"/>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shd w:val="clear" w:color="auto" w:fill="D5EAEA"/>
          </w:tcPr>
          <w:p>
            <w:pPr>
              <w:spacing w:after="0"/>
              <w:rPr>
                <w:sz w:val="17"/>
                <w:szCs w:val="17"/>
                <w:color w:val="auto"/>
              </w:rPr>
            </w:pPr>
          </w:p>
        </w:tc>
        <w:tc>
          <w:tcPr>
            <w:tcW w:w="6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48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Accrued expenses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8,414</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Short-term deferred income</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3,941</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Short-term debt obligation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6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13,260</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22,932</w:t>
            </w:r>
          </w:p>
        </w:tc>
        <w:tc>
          <w:tcPr>
            <w:tcW w:w="120" w:type="dxa"/>
            <w:vAlign w:val="bottom"/>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296,222</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Income/(Loss)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Ended June 30,</w:t>
            </w: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3"/>
              </w:rPr>
              <w:t>Notes</w:t>
            </w: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8"/>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40" w:type="dxa"/>
            <w:vAlign w:val="bottom"/>
            <w:tcBorders>
              <w:top w:val="single" w:sz="8" w:color="auto"/>
            </w:tcBorders>
            <w:gridSpan w:val="7"/>
          </w:tcPr>
          <w:p>
            <w:pPr>
              <w:ind w:left="1120"/>
              <w:spacing w:after="0"/>
              <w:rPr>
                <w:sz w:val="20"/>
                <w:szCs w:val="20"/>
                <w:color w:val="auto"/>
              </w:rPr>
            </w:pPr>
            <w:r>
              <w:rPr>
                <w:rFonts w:ascii="Arial" w:cs="Arial" w:eastAsia="Arial" w:hAnsi="Arial"/>
                <w:sz w:val="18"/>
                <w:szCs w:val="18"/>
                <w:b w:val="1"/>
                <w:bCs w:val="1"/>
                <w:color w:val="auto"/>
                <w:w w:val="93"/>
              </w:rPr>
              <w:t>(in CHF thousands except for per share data)</w:t>
            </w: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shd w:val="clear" w:color="auto" w:fill="D5EAEA"/>
          </w:tcPr>
          <w:p>
            <w:pPr>
              <w:spacing w:after="0"/>
              <w:rPr>
                <w:sz w:val="19"/>
                <w:szCs w:val="19"/>
                <w:color w:val="auto"/>
              </w:rPr>
            </w:pPr>
          </w:p>
        </w:tc>
        <w:tc>
          <w:tcPr>
            <w:tcW w:w="8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76,553</w:t>
            </w:r>
          </w:p>
        </w:tc>
        <w:tc>
          <w:tcPr>
            <w:tcW w:w="1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66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1,511</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2,028</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76,553</w:t>
            </w:r>
          </w:p>
        </w:tc>
        <w:tc>
          <w:tcPr>
            <w:tcW w:w="100" w:type="dxa"/>
            <w:vAlign w:val="bottom"/>
            <w:tcBorders>
              <w:bottom w:val="single" w:sz="8" w:color="D5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D5EAEA"/>
          </w:tcPr>
          <w:p>
            <w:pPr>
              <w:spacing w:after="0"/>
              <w:rPr>
                <w:sz w:val="18"/>
                <w:szCs w:val="18"/>
                <w:color w:val="auto"/>
              </w:rPr>
            </w:pP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(12,700)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(10,533)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(24,293)</w:t>
            </w: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General &amp; administrative expenses</w:t>
            </w:r>
          </w:p>
        </w:tc>
        <w:tc>
          <w:tcPr>
            <w:tcW w:w="660" w:type="dxa"/>
            <w:vAlign w:val="bottom"/>
            <w:tcBorders>
              <w:bottom w:val="single" w:sz="8" w:color="D5EAEA"/>
            </w:tcBorders>
          </w:tcPr>
          <w:p>
            <w:pPr>
              <w:spacing w:after="0"/>
              <w:rPr>
                <w:sz w:val="19"/>
                <w:szCs w:val="19"/>
                <w:color w:val="auto"/>
              </w:rPr>
            </w:pPr>
          </w:p>
        </w:tc>
        <w:tc>
          <w:tcPr>
            <w:tcW w:w="40" w:type="dxa"/>
            <w:vAlign w:val="bottom"/>
            <w:tcBorders>
              <w:bottom w:val="single" w:sz="8" w:color="D5EAEA"/>
            </w:tcBorders>
          </w:tcPr>
          <w:p>
            <w:pPr>
              <w:spacing w:after="0"/>
              <w:rPr>
                <w:sz w:val="19"/>
                <w:szCs w:val="19"/>
                <w:color w:val="auto"/>
              </w:rPr>
            </w:pPr>
          </w:p>
        </w:tc>
        <w:tc>
          <w:tcPr>
            <w:tcW w:w="8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D5EAEA"/>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(16,285)</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(13,598)</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(31,172)</w:t>
            </w:r>
          </w:p>
        </w:tc>
        <w:tc>
          <w:tcPr>
            <w:tcW w:w="100" w:type="dxa"/>
            <w:vAlign w:val="bottom"/>
            <w:shd w:val="clear" w:color="auto" w:fill="D5EAEA"/>
          </w:tcPr>
          <w:p>
            <w:pPr>
              <w:spacing w:after="0"/>
              <w:rPr>
                <w:sz w:val="18"/>
                <w:szCs w:val="18"/>
                <w:color w:val="auto"/>
              </w:rPr>
            </w:pPr>
          </w:p>
        </w:tc>
        <w:tc>
          <w:tcPr>
            <w:tcW w:w="380" w:type="dxa"/>
            <w:vAlign w:val="bottom"/>
            <w:tcBorders>
              <w:bottom w:val="single" w:sz="8" w:color="auto"/>
            </w:tcBorders>
            <w:shd w:val="clear" w:color="auto" w:fill="D5EAEA"/>
          </w:tcPr>
          <w:p>
            <w:pPr>
              <w:spacing w:after="0"/>
              <w:rPr>
                <w:sz w:val="18"/>
                <w:szCs w:val="18"/>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(26,374)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(14,774)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(11,570)</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45,381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D5EAEA"/>
          </w:tcPr>
          <w:p>
            <w:pPr>
              <w:spacing w:after="0"/>
              <w:rPr>
                <w:sz w:val="18"/>
                <w:szCs w:val="18"/>
                <w:color w:val="auto"/>
              </w:rPr>
            </w:pP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Finance income/(expense), net</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D5EAEA"/>
          </w:tcPr>
          <w:p>
            <w:pPr>
              <w:spacing w:after="0"/>
              <w:rPr>
                <w:sz w:val="19"/>
                <w:szCs w:val="19"/>
                <w:color w:val="auto"/>
              </w:rPr>
            </w:pPr>
          </w:p>
        </w:tc>
        <w:tc>
          <w:tcPr>
            <w:tcW w:w="40" w:type="dxa"/>
            <w:vAlign w:val="bottom"/>
            <w:shd w:val="clear" w:color="auto" w:fill="D5EAEA"/>
          </w:tcPr>
          <w:p>
            <w:pPr>
              <w:spacing w:after="0"/>
              <w:rPr>
                <w:sz w:val="19"/>
                <w:szCs w:val="19"/>
                <w:color w:val="auto"/>
              </w:rPr>
            </w:pPr>
          </w:p>
        </w:tc>
        <w:tc>
          <w:tcPr>
            <w:tcW w:w="8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D5EAEA"/>
          </w:tcPr>
          <w:p>
            <w:pPr>
              <w:spacing w:after="0"/>
              <w:rPr>
                <w:sz w:val="19"/>
                <w:szCs w:val="19"/>
                <w:color w:val="auto"/>
              </w:rPr>
            </w:pPr>
          </w:p>
        </w:tc>
        <w:tc>
          <w:tcPr>
            <w:tcW w:w="3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66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99"/>
              </w:rPr>
              <w:t>9</w:t>
            </w:r>
          </w:p>
        </w:tc>
        <w:tc>
          <w:tcPr>
            <w:tcW w:w="4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(2,125)</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427</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1,293</w:t>
            </w:r>
          </w:p>
        </w:tc>
        <w:tc>
          <w:tcPr>
            <w:tcW w:w="100" w:type="dxa"/>
            <w:vAlign w:val="bottom"/>
            <w:tcBorders>
              <w:bottom w:val="single" w:sz="8" w:color="D5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Income/(loss) before tax</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(16,899)</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(11,143)</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46,674</w:t>
            </w:r>
          </w:p>
        </w:tc>
        <w:tc>
          <w:tcPr>
            <w:tcW w:w="100" w:type="dxa"/>
            <w:vAlign w:val="bottom"/>
            <w:shd w:val="clear" w:color="auto" w:fill="D5EAEA"/>
          </w:tcPr>
          <w:p>
            <w:pPr>
              <w:spacing w:after="0"/>
              <w:rPr>
                <w:sz w:val="18"/>
                <w:szCs w:val="18"/>
                <w:color w:val="auto"/>
              </w:rPr>
            </w:pPr>
          </w:p>
        </w:tc>
        <w:tc>
          <w:tcPr>
            <w:tcW w:w="380" w:type="dxa"/>
            <w:vAlign w:val="bottom"/>
            <w:tcBorders>
              <w:bottom w:val="single" w:sz="8" w:color="auto"/>
            </w:tcBorders>
            <w:shd w:val="clear" w:color="auto" w:fill="D5EAEA"/>
          </w:tcPr>
          <w:p>
            <w:pPr>
              <w:spacing w:after="0"/>
              <w:rPr>
                <w:sz w:val="18"/>
                <w:szCs w:val="18"/>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(22,755)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Income tax expense</w:t>
            </w:r>
          </w:p>
        </w:tc>
        <w:tc>
          <w:tcPr>
            <w:tcW w:w="66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Income/(loss) for the period</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(16,899)</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(11,143)</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46,674</w:t>
            </w:r>
          </w:p>
        </w:tc>
        <w:tc>
          <w:tcPr>
            <w:tcW w:w="100" w:type="dxa"/>
            <w:vAlign w:val="bottom"/>
            <w:shd w:val="clear" w:color="auto" w:fill="D5EAEA"/>
          </w:tcPr>
          <w:p>
            <w:pPr>
              <w:spacing w:after="0"/>
              <w:rPr>
                <w:sz w:val="18"/>
                <w:szCs w:val="18"/>
                <w:color w:val="auto"/>
              </w:rPr>
            </w:pPr>
          </w:p>
        </w:tc>
        <w:tc>
          <w:tcPr>
            <w:tcW w:w="380" w:type="dxa"/>
            <w:vAlign w:val="bottom"/>
            <w:tcBorders>
              <w:bottom w:val="single" w:sz="8" w:color="auto"/>
            </w:tcBorders>
            <w:shd w:val="clear" w:color="auto" w:fill="D5EAEA"/>
          </w:tcPr>
          <w:p>
            <w:pPr>
              <w:spacing w:after="0"/>
              <w:rPr>
                <w:sz w:val="18"/>
                <w:szCs w:val="18"/>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(22,755)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Income/(loss) per share (EPS):</w:t>
            </w:r>
          </w:p>
        </w:tc>
        <w:tc>
          <w:tcPr>
            <w:tcW w:w="66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7"/>
              </w:rPr>
              <w:t>Basic income/(loss) for the period attributable to equity holders</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w w:val="95"/>
              </w:rPr>
              <w:t>Diluted income/(loss) for the period attributable to equity holders</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64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For the Three Months</w:t>
            </w: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Ended June 30,</w:t>
            </w: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600"/>
              <w:spacing w:after="0"/>
              <w:rPr>
                <w:sz w:val="20"/>
                <w:szCs w:val="20"/>
                <w:color w:val="auto"/>
              </w:rPr>
            </w:pPr>
            <w:r>
              <w:rPr>
                <w:rFonts w:ascii="Arial" w:cs="Arial" w:eastAsia="Arial" w:hAnsi="Arial"/>
                <w:sz w:val="18"/>
                <w:szCs w:val="18"/>
                <w:b w:val="1"/>
                <w:bCs w:val="1"/>
                <w:color w:val="auto"/>
              </w:rPr>
              <w:t>(in CHF thousands)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Income/(loss) for the period</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(16,899)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46,674</w:t>
            </w:r>
          </w:p>
        </w:tc>
        <w:tc>
          <w:tcPr>
            <w:tcW w:w="10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gridSpan w:val="4"/>
          </w:tcPr>
          <w:p>
            <w:pPr>
              <w:spacing w:after="0" w:line="201" w:lineRule="exact"/>
              <w:rPr>
                <w:sz w:val="20"/>
                <w:szCs w:val="20"/>
                <w:color w:val="auto"/>
              </w:rPr>
            </w:pPr>
            <w:r>
              <w:rPr>
                <w:rFonts w:ascii="Arial" w:cs="Arial" w:eastAsia="Arial" w:hAnsi="Arial"/>
                <w:sz w:val="18"/>
                <w:szCs w:val="18"/>
                <w:color w:val="auto"/>
                <w:w w:val="95"/>
              </w:rPr>
              <w:t>Other comprehensive income/(loss) not to be reclassified to income or loss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in subsequent periods (net of tax):</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D5EAEA"/>
          </w:tcPr>
          <w:p>
            <w:pPr>
              <w:spacing w:after="0"/>
              <w:rPr>
                <w:sz w:val="20"/>
                <w:szCs w:val="20"/>
                <w:color w:val="auto"/>
              </w:rPr>
            </w:pPr>
            <w:r>
              <w:rPr>
                <w:rFonts w:ascii="Arial" w:cs="Arial" w:eastAsia="Arial" w:hAnsi="Arial"/>
                <w:sz w:val="18"/>
                <w:szCs w:val="18"/>
                <w:color w:val="auto"/>
              </w:rPr>
              <w:t>Re-measurement losses on defined benefit plans</w:t>
            </w:r>
          </w:p>
        </w:tc>
        <w:tc>
          <w:tcPr>
            <w:tcW w:w="6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460" w:type="dxa"/>
            <w:vAlign w:val="bottom"/>
            <w:gridSpan w:val="2"/>
            <w:shd w:val="clear" w:color="auto" w:fill="D5EAEA"/>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D5EAEA"/>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comprehensive income/(loss), net of tax</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(16,899)</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(11,143)</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46,674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(22,755)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as of January 1, 2018</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tcPr>
          <w:p>
            <w:pPr>
              <w:spacing w:after="0"/>
              <w:rPr>
                <w:sz w:val="18"/>
                <w:szCs w:val="18"/>
                <w:color w:val="auto"/>
              </w:rPr>
            </w:pPr>
          </w:p>
        </w:tc>
      </w:tr>
      <w:tr>
        <w:trPr>
          <w:trHeight w:val="234"/>
        </w:trPr>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 capital</w:t>
            </w: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Share premium</w:t>
            </w: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5"/>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4"/>
          </w:tcPr>
          <w:p>
            <w:pPr>
              <w:ind w:left="640"/>
              <w:spacing w:after="0" w:line="205" w:lineRule="exact"/>
              <w:rPr>
                <w:sz w:val="20"/>
                <w:szCs w:val="20"/>
                <w:color w:val="auto"/>
              </w:rPr>
            </w:pPr>
            <w:r>
              <w:rPr>
                <w:rFonts w:ascii="Arial" w:cs="Arial" w:eastAsia="Arial" w:hAnsi="Arial"/>
                <w:sz w:val="18"/>
                <w:szCs w:val="18"/>
                <w:b w:val="1"/>
                <w:bCs w:val="1"/>
                <w:color w:val="auto"/>
              </w:rPr>
              <w:t>(in CHF thousands)</w:t>
            </w:r>
          </w:p>
        </w:tc>
        <w:tc>
          <w:tcPr>
            <w:tcW w:w="1360" w:type="dxa"/>
            <w:vAlign w:val="bottom"/>
          </w:tcPr>
          <w:p>
            <w:pPr>
              <w:spacing w:after="0"/>
              <w:rPr>
                <w:sz w:val="17"/>
                <w:szCs w:val="17"/>
                <w:color w:val="auto"/>
              </w:rPr>
            </w:pPr>
          </w:p>
        </w:tc>
      </w:tr>
      <w:tr>
        <w:trPr>
          <w:trHeight w:val="234"/>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188,299</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(72,607)</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116,839</w:t>
            </w:r>
          </w:p>
        </w:tc>
      </w:tr>
      <w:tr>
        <w:trPr>
          <w:trHeight w:val="209"/>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(22,755)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(22,755)</w:t>
            </w:r>
          </w:p>
        </w:tc>
      </w:tr>
      <w:tr>
        <w:trPr>
          <w:trHeight w:val="23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(22,755)</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-591185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-299720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800"/>
          </w:cols>
          <w:pgMar w:left="240" w:top="580"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680" w:type="dxa"/>
            <w:vAlign w:val="bottom"/>
            <w:shd w:val="clear" w:color="auto" w:fill="D5EAEA"/>
          </w:tcPr>
          <w:p>
            <w:pPr>
              <w:spacing w:after="0"/>
              <w:rPr>
                <w:sz w:val="17"/>
                <w:szCs w:val="17"/>
                <w:color w:val="auto"/>
              </w:rPr>
            </w:pPr>
          </w:p>
        </w:tc>
        <w:tc>
          <w:tcPr>
            <w:tcW w:w="88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130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8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restricted share awards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5EAEA"/>
          </w:tcPr>
          <w:p>
            <w:pPr>
              <w:ind w:left="140"/>
              <w:spacing w:after="0"/>
              <w:rPr>
                <w:sz w:val="20"/>
                <w:szCs w:val="20"/>
                <w:color w:val="auto"/>
              </w:rPr>
            </w:pPr>
            <w:r>
              <w:rPr>
                <w:rFonts w:ascii="Arial" w:cs="Arial" w:eastAsia="Arial" w:hAnsi="Arial"/>
                <w:sz w:val="18"/>
                <w:szCs w:val="18"/>
                <w:color w:val="auto"/>
              </w:rPr>
              <w:t>exercise of options</w:t>
            </w:r>
          </w:p>
        </w:tc>
        <w:tc>
          <w:tcPr>
            <w:tcW w:w="8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2</w:t>
            </w: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June 30, 2018</w:t>
            </w:r>
          </w:p>
        </w:tc>
        <w:tc>
          <w:tcPr>
            <w:tcW w:w="880" w:type="dxa"/>
            <w:vAlign w:val="bottom"/>
            <w:tcBorders>
              <w:top w:val="single" w:sz="8" w:color="D5EAEA"/>
              <w:bottom w:val="single" w:sz="8" w:color="D5EAEA"/>
            </w:tcBorders>
            <w:shd w:val="clear" w:color="auto" w:fill="D5EAEA"/>
          </w:tcPr>
          <w:p>
            <w:pPr>
              <w:spacing w:after="0"/>
              <w:rPr>
                <w:sz w:val="19"/>
                <w:szCs w:val="19"/>
                <w:color w:val="auto"/>
              </w:rPr>
            </w:pPr>
          </w:p>
        </w:tc>
        <w:tc>
          <w:tcPr>
            <w:tcW w:w="40" w:type="dxa"/>
            <w:vAlign w:val="bottom"/>
            <w:tcBorders>
              <w:top w:val="single" w:sz="8" w:color="D5EAEA"/>
              <w:bottom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gridSpan w:val="2"/>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1,149</w:t>
            </w:r>
          </w:p>
        </w:tc>
        <w:tc>
          <w:tcPr>
            <w:tcW w:w="4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gridSpan w:val="2"/>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188,407</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(94,163)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95,393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Notes</w:t>
            </w:r>
          </w:p>
        </w:tc>
        <w:tc>
          <w:tcPr>
            <w:tcW w:w="80" w:type="dxa"/>
            <w:vAlign w:val="bottom"/>
          </w:tcPr>
          <w:p>
            <w:pPr>
              <w:spacing w:after="0"/>
              <w:rPr>
                <w:sz w:val="20"/>
                <w:szCs w:val="20"/>
                <w:color w:val="auto"/>
              </w:rPr>
            </w:pPr>
          </w:p>
        </w:tc>
        <w:tc>
          <w:tcPr>
            <w:tcW w:w="142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 capital</w:t>
            </w:r>
          </w:p>
        </w:tc>
        <w:tc>
          <w:tcPr>
            <w:tcW w:w="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 premium</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880" w:type="dxa"/>
            <w:vAlign w:val="bottom"/>
            <w:shd w:val="clear" w:color="auto" w:fill="D5EAEA"/>
          </w:tcPr>
          <w:p>
            <w:pPr>
              <w:spacing w:after="0"/>
              <w:rPr>
                <w:sz w:val="19"/>
                <w:szCs w:val="19"/>
                <w:color w:val="auto"/>
              </w:rPr>
            </w:pPr>
          </w:p>
        </w:tc>
        <w:tc>
          <w:tcPr>
            <w:tcW w:w="40" w:type="dxa"/>
            <w:vAlign w:val="bottom"/>
            <w:shd w:val="clear" w:color="auto" w:fill="D5EAEA"/>
          </w:tcPr>
          <w:p>
            <w:pPr>
              <w:spacing w:after="0"/>
              <w:rPr>
                <w:sz w:val="19"/>
                <w:szCs w:val="19"/>
                <w:color w:val="auto"/>
              </w:rPr>
            </w:pPr>
          </w:p>
        </w:tc>
        <w:tc>
          <w:tcPr>
            <w:tcW w:w="1380" w:type="dxa"/>
            <w:vAlign w:val="bottom"/>
            <w:gridSpan w:val="2"/>
            <w:shd w:val="clear" w:color="auto" w:fill="D5EAEA"/>
          </w:tcPr>
          <w:p>
            <w:pPr>
              <w:jc w:val="right"/>
              <w:spacing w:after="0"/>
              <w:rPr>
                <w:sz w:val="20"/>
                <w:szCs w:val="20"/>
                <w:color w:val="auto"/>
              </w:rPr>
            </w:pPr>
            <w:r>
              <w:rPr>
                <w:rFonts w:ascii="Arial" w:cs="Arial" w:eastAsia="Arial" w:hAnsi="Arial"/>
                <w:sz w:val="18"/>
                <w:szCs w:val="18"/>
                <w:b w:val="1"/>
                <w:bCs w:val="1"/>
                <w:color w:val="auto"/>
              </w:rPr>
              <w:t>1,351</w:t>
            </w:r>
          </w:p>
        </w:tc>
        <w:tc>
          <w:tcPr>
            <w:tcW w:w="40" w:type="dxa"/>
            <w:vAlign w:val="bottom"/>
            <w:shd w:val="clear" w:color="auto" w:fill="D5EAEA"/>
          </w:tcPr>
          <w:p>
            <w:pPr>
              <w:spacing w:after="0"/>
              <w:rPr>
                <w:sz w:val="19"/>
                <w:szCs w:val="19"/>
                <w:color w:val="auto"/>
              </w:rPr>
            </w:pPr>
          </w:p>
        </w:tc>
        <w:tc>
          <w:tcPr>
            <w:tcW w:w="80" w:type="dxa"/>
            <w:vAlign w:val="bottom"/>
            <w:shd w:val="clear" w:color="auto" w:fill="D5EAEA"/>
          </w:tcPr>
          <w:p>
            <w:pPr>
              <w:spacing w:after="0"/>
              <w:rPr>
                <w:sz w:val="19"/>
                <w:szCs w:val="19"/>
                <w:color w:val="auto"/>
              </w:rPr>
            </w:pP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298,149</w:t>
            </w: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(121,877)</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177,623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46,674</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D5EAEA"/>
          </w:tcPr>
          <w:p>
            <w:pPr>
              <w:spacing w:after="0"/>
              <w:rPr>
                <w:sz w:val="19"/>
                <w:szCs w:val="19"/>
                <w:color w:val="auto"/>
              </w:rPr>
            </w:pPr>
          </w:p>
        </w:tc>
        <w:tc>
          <w:tcPr>
            <w:tcW w:w="40" w:type="dxa"/>
            <w:vAlign w:val="bottom"/>
            <w:shd w:val="clear" w:color="auto" w:fill="D5EAEA"/>
          </w:tcPr>
          <w:p>
            <w:pPr>
              <w:spacing w:after="0"/>
              <w:rPr>
                <w:sz w:val="19"/>
                <w:szCs w:val="19"/>
                <w:color w:val="auto"/>
              </w:rPr>
            </w:pPr>
          </w:p>
        </w:tc>
        <w:tc>
          <w:tcPr>
            <w:tcW w:w="80" w:type="dxa"/>
            <w:vAlign w:val="bottom"/>
            <w:shd w:val="clear" w:color="auto" w:fill="D5EAEA"/>
          </w:tcPr>
          <w:p>
            <w:pPr>
              <w:spacing w:after="0"/>
              <w:rPr>
                <w:sz w:val="19"/>
                <w:szCs w:val="19"/>
                <w:color w:val="auto"/>
              </w:rPr>
            </w:pPr>
          </w:p>
        </w:tc>
        <w:tc>
          <w:tcPr>
            <w:tcW w:w="1420" w:type="dxa"/>
            <w:vAlign w:val="bottom"/>
            <w:gridSpan w:val="3"/>
            <w:shd w:val="clear" w:color="auto" w:fill="D5EAEA"/>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D5EAEA"/>
          </w:tcPr>
          <w:p>
            <w:pPr>
              <w:spacing w:after="0"/>
              <w:rPr>
                <w:sz w:val="19"/>
                <w:szCs w:val="19"/>
                <w:color w:val="auto"/>
              </w:rPr>
            </w:pPr>
          </w:p>
        </w:tc>
        <w:tc>
          <w:tcPr>
            <w:tcW w:w="14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88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5EAEA"/>
            </w:tcBorders>
          </w:tcPr>
          <w:p>
            <w:pPr>
              <w:spacing w:after="0"/>
              <w:rPr>
                <w:sz w:val="18"/>
                <w:szCs w:val="18"/>
                <w:color w:val="auto"/>
              </w:rPr>
            </w:pPr>
          </w:p>
        </w:tc>
        <w:tc>
          <w:tcPr>
            <w:tcW w:w="4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46,674</w:t>
            </w:r>
          </w:p>
        </w:tc>
        <w:tc>
          <w:tcPr>
            <w:tcW w:w="100" w:type="dxa"/>
            <w:vAlign w:val="bottom"/>
            <w:tcBorders>
              <w:bottom w:val="single" w:sz="8" w:color="D5EAEA"/>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46,674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D5EAEA"/>
          </w:tcPr>
          <w:p>
            <w:pPr>
              <w:spacing w:after="0"/>
              <w:rPr>
                <w:sz w:val="18"/>
                <w:szCs w:val="18"/>
                <w:color w:val="auto"/>
              </w:rPr>
            </w:pPr>
          </w:p>
        </w:tc>
        <w:tc>
          <w:tcPr>
            <w:tcW w:w="8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payments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8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conversion of note agreement, net of transaction costs</w:t>
            </w: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47,705</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restricted share awards</w:t>
            </w:r>
          </w:p>
        </w:tc>
        <w:tc>
          <w:tcPr>
            <w:tcW w:w="8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420" w:type="dxa"/>
            <w:vAlign w:val="bottom"/>
            <w:gridSpan w:val="3"/>
            <w:shd w:val="clear" w:color="auto" w:fill="D5EAEA"/>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 net of transaction costs</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June 30, 2019</w:t>
            </w:r>
          </w:p>
        </w:tc>
        <w:tc>
          <w:tcPr>
            <w:tcW w:w="880" w:type="dxa"/>
            <w:vAlign w:val="bottom"/>
            <w:tcBorders>
              <w:top w:val="single" w:sz="8" w:color="D5EAEA"/>
              <w:bottom w:val="single" w:sz="8" w:color="D5EAEA"/>
            </w:tcBorders>
            <w:shd w:val="clear" w:color="auto" w:fill="D5EAEA"/>
          </w:tcPr>
          <w:p>
            <w:pPr>
              <w:spacing w:after="0"/>
              <w:rPr>
                <w:sz w:val="19"/>
                <w:szCs w:val="19"/>
                <w:color w:val="auto"/>
              </w:rPr>
            </w:pPr>
          </w:p>
        </w:tc>
        <w:tc>
          <w:tcPr>
            <w:tcW w:w="4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3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1,436</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4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346,024</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(74,170)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273,290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Notes</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(in CHF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46,674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Finance expense, net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Changes in net employee defined benefit liability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(Increase)/decrease in other current receivables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accrued expenses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Increase in deferred income</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trade and other payables</w:t>
            </w:r>
          </w:p>
        </w:tc>
        <w:tc>
          <w:tcPr>
            <w:tcW w:w="6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50,878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Interest paid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Financial costs</w:t>
            </w:r>
          </w:p>
        </w:tc>
        <w:tc>
          <w:tcPr>
            <w:tcW w:w="6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50,949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Rent deposit</w:t>
            </w:r>
          </w:p>
        </w:tc>
        <w:tc>
          <w:tcPr>
            <w:tcW w:w="6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(50,850)</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convertible loan</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50,278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Principal payments of lease obligations</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 on issuance of shares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Proceeds from issuance of common shares – option plan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Proceeds from long term financing</w:t>
            </w: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49,732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68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49,831</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D5EAEA"/>
          </w:tcPr>
          <w:p>
            <w:pPr>
              <w:spacing w:after="0"/>
              <w:rPr>
                <w:sz w:val="18"/>
                <w:szCs w:val="18"/>
                <w:color w:val="auto"/>
              </w:rPr>
            </w:pP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156,462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D5EAEA"/>
          </w:tcPr>
          <w:p>
            <w:pPr>
              <w:spacing w:after="0"/>
              <w:rPr>
                <w:sz w:val="20"/>
                <w:szCs w:val="20"/>
                <w:color w:val="auto"/>
              </w:rPr>
            </w:pPr>
            <w:r>
              <w:rPr>
                <w:rFonts w:ascii="Arial" w:cs="Arial" w:eastAsia="Arial" w:hAnsi="Arial"/>
                <w:sz w:val="18"/>
                <w:szCs w:val="18"/>
                <w:color w:val="auto"/>
              </w:rPr>
              <w:t>Exchange gain/(loss) on cash and cash equivalents</w:t>
            </w:r>
          </w:p>
        </w:tc>
        <w:tc>
          <w:tcPr>
            <w:tcW w:w="6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 at June 30</w:t>
            </w:r>
          </w:p>
        </w:tc>
        <w:tc>
          <w:tcPr>
            <w:tcW w:w="68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205,735</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68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49,831</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(21,908)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 settled its convertible loan via equity for CHF 48.3 million, gross of CHF 510 thousand for transaction costs. The acquisition of CHF 22 thousand of property, plant and equipment purchases was non-cash and recorded within trade and other payables.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AC Immune SA (the “Company,” or “AC Immune,” “ACIU,”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and six months ended June 30, 2019 were authorized for issuance by the Company’s Audit Committee on August 12, 2019.</w:t>
      </w:r>
    </w:p>
    <w:p>
      <w:pPr>
        <w:spacing w:after="0" w:line="166" w:lineRule="exact"/>
        <w:rPr>
          <w:sz w:val="20"/>
          <w:szCs w:val="20"/>
          <w:color w:val="auto"/>
        </w:rPr>
      </w:pPr>
    </w:p>
    <w:p>
      <w:pPr>
        <w:ind w:right="5640" w:firstLine="8"/>
        <w:spacing w:after="0" w:line="503" w:lineRule="auto"/>
        <w:tabs>
          <w:tab w:leader="none" w:pos="3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and six months ended June 30, 2019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2018,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enters into licensing agreements which are within the scope of IFRS 15, under which it licenses certain proprietary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commercialized products depending on the Company’s IP. Each of these payments results in license, collaboration and other revenues, which are classified as contract revenue on the statements of income/(loss), except for revenues from royalties on net sales of commercialized products depending on the Company’s IP, which are classified as royalty revenues.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Licenses on intellectual property</w:t>
      </w:r>
      <w:r>
        <w:rPr>
          <w:rFonts w:ascii="Arial" w:cs="Arial" w:eastAsia="Arial" w:hAnsi="Arial"/>
          <w:sz w:val="17"/>
          <w:szCs w:val="17"/>
          <w:color w:val="auto"/>
        </w:rPr>
        <w:t>: 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i w:val="1"/>
          <w:iCs w:val="1"/>
          <w:color w:val="auto"/>
        </w:rPr>
        <w:t>Milestone payments</w:t>
      </w:r>
      <w:r>
        <w:rPr>
          <w:rFonts w:ascii="Arial" w:cs="Arial" w:eastAsia="Arial" w:hAnsi="Arial"/>
          <w:sz w:val="16"/>
          <w:szCs w:val="16"/>
          <w:color w:val="auto"/>
        </w:rPr>
        <w:t>: 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right="60"/>
        <w:spacing w:after="0" w:line="312" w:lineRule="auto"/>
        <w:rPr>
          <w:sz w:val="20"/>
          <w:szCs w:val="20"/>
          <w:color w:val="auto"/>
        </w:rPr>
      </w:pPr>
      <w:r>
        <w:rPr>
          <w:rFonts w:ascii="Arial" w:cs="Arial" w:eastAsia="Arial" w:hAnsi="Arial"/>
          <w:sz w:val="16"/>
          <w:szCs w:val="16"/>
          <w:color w:val="auto"/>
        </w:rPr>
        <w:t>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47"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i w:val="1"/>
          <w:iCs w:val="1"/>
          <w:color w:val="auto"/>
        </w:rPr>
        <w:t>Research and development services</w:t>
      </w:r>
      <w:r>
        <w:rPr>
          <w:rFonts w:ascii="Arial" w:cs="Arial" w:eastAsia="Arial" w:hAnsi="Arial"/>
          <w:sz w:val="16"/>
          <w:szCs w:val="16"/>
          <w:color w:val="auto"/>
        </w:rPr>
        <w:t>: 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i w:val="1"/>
          <w:iCs w:val="1"/>
          <w:color w:val="auto"/>
        </w:rPr>
        <w:t>Sublicense revenues</w:t>
      </w:r>
      <w:r>
        <w:rPr>
          <w:rFonts w:ascii="Arial" w:cs="Arial" w:eastAsia="Arial" w:hAnsi="Arial"/>
          <w:sz w:val="17"/>
          <w:szCs w:val="17"/>
          <w:color w:val="auto"/>
        </w:rPr>
        <w:t>: 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Royalties</w:t>
      </w:r>
      <w:r>
        <w:rPr>
          <w:rFonts w:ascii="Arial" w:cs="Arial" w:eastAsia="Arial" w:hAnsi="Arial"/>
          <w:sz w:val="18"/>
          <w:szCs w:val="18"/>
          <w:color w:val="auto"/>
        </w:rPr>
        <w:t>: For arrangements that include sales-based royalties, including milestone payments based on the level of sales, and the license is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2018, except for the adoption of new standards and interpretations effective as of January 1, 2019. The Company has not adopted any other standard, interpretation or amendment that has been issued but is not yet effective.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 – recently adopted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16 – Leases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Effective January 1, 2019, the Company adopted IFRS 16 Leases which provides a new model for lessee accounting in which all leases, other than short-term and low-value leases, are accounted for by the recognition on the balance sheet of a right-of-use asset and a lease liability, and the subsequent amortization of the right-of-use asset over the earlier of the end of the useful life or the lease term. The Company applied the modified retrospective approach, which requires the recognition of the cumulative effect of initially applying IFRS 16 as of January 1, 2019 to accumulated losses and not to restate prior years. Since the Company recognized the right-of-use assets at the</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amount equal to the lease liabilities there was no impact to accumulated losses. For a complete discussion of accounting, see Note 7, “Right-of-use assets and lease liabilities.”</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The Company has elected to apply the following practical expedients in adopting IFRS 16: (i) not to recognize right-of-use assets and lease liabilities for leases of low value (i.e. approximate fair value of USD 5,000), (ii) to apply a single discount rate to our property leases and to our portfolio of office equipment leases, respectively, (iii) to apply hindsight in determining the lease term for contracts which contain certain options to extend or terminate the lease, (iv) to account for each lease component and any non-lease components as a single lease component and (v) to rely on our assessment of whether leases were onerous by applying IAS 37 </w:t>
      </w:r>
      <w:r>
        <w:rPr>
          <w:rFonts w:ascii="Arial" w:cs="Arial" w:eastAsia="Arial" w:hAnsi="Arial"/>
          <w:sz w:val="17"/>
          <w:szCs w:val="17"/>
          <w:i w:val="1"/>
          <w:iCs w:val="1"/>
          <w:color w:val="auto"/>
        </w:rPr>
        <w:t>Provisions, Contingent Liabilities and Contingent Assets</w:t>
      </w:r>
      <w:r>
        <w:rPr>
          <w:rFonts w:ascii="Arial" w:cs="Arial" w:eastAsia="Arial" w:hAnsi="Arial"/>
          <w:sz w:val="17"/>
          <w:szCs w:val="17"/>
          <w:color w:val="auto"/>
        </w:rPr>
        <w:t xml:space="preserve"> immediately before the date of application. The Company’s weighted average incremental borrowing rate calculated as of January 1, 2019 was 2.54%.</w:t>
      </w:r>
    </w:p>
    <w:p>
      <w:pPr>
        <w:spacing w:after="0" w:line="17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following table reconciles the Company’s operating lease obligations at December 31, 2018, as previously disclosed in the Company’s consolidated financial statements on Form 20-F, to the lease obligations recognized on initial application of IFRS 16 at January 1,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(in CHF</w:t>
            </w:r>
          </w:p>
        </w:tc>
      </w:tr>
      <w:tr>
        <w:trPr>
          <w:trHeight w:val="234"/>
        </w:trPr>
        <w:tc>
          <w:tcPr>
            <w:tcW w:w="10060" w:type="dxa"/>
            <w:vAlign w:val="bottom"/>
            <w:tcBorders>
              <w:bottom w:val="single" w:sz="8" w:color="D5EAEA"/>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thousands)</w:t>
            </w:r>
          </w:p>
        </w:tc>
      </w:tr>
      <w:tr>
        <w:trPr>
          <w:trHeight w:val="210"/>
        </w:trPr>
        <w:tc>
          <w:tcPr>
            <w:tcW w:w="10060" w:type="dxa"/>
            <w:vAlign w:val="bottom"/>
            <w:shd w:val="clear" w:color="auto" w:fill="D5EAEA"/>
          </w:tcPr>
          <w:p>
            <w:pPr>
              <w:spacing w:after="0"/>
              <w:rPr>
                <w:sz w:val="20"/>
                <w:szCs w:val="20"/>
                <w:color w:val="auto"/>
              </w:rPr>
            </w:pPr>
            <w:r>
              <w:rPr>
                <w:rFonts w:ascii="Arial" w:cs="Arial" w:eastAsia="Arial" w:hAnsi="Arial"/>
                <w:sz w:val="18"/>
                <w:szCs w:val="18"/>
                <w:color w:val="auto"/>
              </w:rPr>
              <w:t>Operating lease commitments at December 31, 2018</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861</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Discounted using the incremental borrowing rate at January 1, 2019</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847</w:t>
            </w:r>
          </w:p>
        </w:tc>
      </w:tr>
      <w:tr>
        <w:trPr>
          <w:trHeight w:val="216"/>
        </w:trPr>
        <w:tc>
          <w:tcPr>
            <w:tcW w:w="10060" w:type="dxa"/>
            <w:vAlign w:val="bottom"/>
            <w:shd w:val="clear" w:color="auto" w:fill="D5EAEA"/>
          </w:tcPr>
          <w:p>
            <w:pPr>
              <w:spacing w:after="0"/>
              <w:rPr>
                <w:sz w:val="20"/>
                <w:szCs w:val="20"/>
                <w:color w:val="auto"/>
              </w:rPr>
            </w:pPr>
            <w:r>
              <w:rPr>
                <w:rFonts w:ascii="Arial" w:cs="Arial" w:eastAsia="Arial" w:hAnsi="Arial"/>
                <w:sz w:val="18"/>
                <w:szCs w:val="18"/>
                <w:color w:val="auto"/>
              </w:rPr>
              <w:t>Recognition exemption for short-term leases</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Recognition exemption for leases of low value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0060" w:type="dxa"/>
            <w:vAlign w:val="bottom"/>
            <w:shd w:val="clear" w:color="auto" w:fill="D5EAEA"/>
          </w:tcPr>
          <w:p>
            <w:pPr>
              <w:spacing w:after="0"/>
              <w:rPr>
                <w:sz w:val="20"/>
                <w:szCs w:val="20"/>
                <w:color w:val="auto"/>
              </w:rPr>
            </w:pPr>
            <w:r>
              <w:rPr>
                <w:rFonts w:ascii="Arial" w:cs="Arial" w:eastAsia="Arial" w:hAnsi="Arial"/>
                <w:sz w:val="18"/>
                <w:szCs w:val="18"/>
                <w:color w:val="auto"/>
              </w:rPr>
              <w:t>Extension options reasonably certain to be exercised</w:t>
            </w: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1,873</w:t>
            </w:r>
          </w:p>
        </w:tc>
      </w:tr>
      <w:tr>
        <w:trPr>
          <w:trHeight w:val="223"/>
        </w:trPr>
        <w:tc>
          <w:tcPr>
            <w:tcW w:w="10060" w:type="dxa"/>
            <w:vAlign w:val="bottom"/>
          </w:tcPr>
          <w:p>
            <w:pPr>
              <w:spacing w:after="0"/>
              <w:rPr>
                <w:sz w:val="20"/>
                <w:szCs w:val="20"/>
                <w:color w:val="auto"/>
              </w:rPr>
            </w:pPr>
            <w:r>
              <w:rPr>
                <w:rFonts w:ascii="Arial" w:cs="Arial" w:eastAsia="Arial" w:hAnsi="Arial"/>
                <w:sz w:val="18"/>
                <w:szCs w:val="18"/>
                <w:b w:val="1"/>
                <w:bCs w:val="1"/>
                <w:color w:val="auto"/>
              </w:rPr>
              <w:t>Lease obligation recognized at January 1, 2019</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2,185</w:t>
            </w:r>
          </w:p>
        </w:tc>
      </w:tr>
      <w:tr>
        <w:trPr>
          <w:trHeight w:val="20"/>
        </w:trPr>
        <w:tc>
          <w:tcPr>
            <w:tcW w:w="10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In accordance with the adoption of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the Company recorded at initial recognition a non-cash CHF 2.2 million right-of-use asset and corresponding lease liability. Comparative information has not been restated. The Company’s statement of loss for the three and six months ended June 30, 2019 was impacted by an increase for depreciation of right-of-use of leased assets CHF 0.1 million and CHF 0.2 million, respectively. The impact for interest expense was less than CHF 0.1 million for both periods, respectively. During the same periods, the Company’s cash flow statement was impacted by a shift from the cash generated from operations of CHF 0.2 million to the net cash used in financing activities. Overall, IFRS 16 was cash flow neutral for the Company.</w:t>
      </w:r>
    </w:p>
    <w:p>
      <w:pPr>
        <w:spacing w:after="0" w:line="19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Company made the following changes in presentation: in the balance sheets, additional line items to reflect the right-of-use assets, the non-current and the current lease liabilities and in the statement of cash flows, additional line items related to the depreciation of the right-of-use of leased assets and repayment of the principal portion of the lease payments.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on accounting for leases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Company generally uses the rate implicit in the contract or its incremental borrowing rate. Lease payments generally are fixed for the contract term. The lease liability is measured at amortized cost using the effective interest method. The lease liability is remeasured if there is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The estimated lease term by right-of-use asset categories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shd w:val="clear" w:color="auto" w:fill="D5EAEA"/>
          </w:tcPr>
          <w:p>
            <w:pPr>
              <w:ind w:left="340"/>
              <w:spacing w:after="0"/>
              <w:rPr>
                <w:sz w:val="20"/>
                <w:szCs w:val="20"/>
                <w:color w:val="auto"/>
              </w:rPr>
            </w:pPr>
            <w:r>
              <w:rPr>
                <w:rFonts w:ascii="Arial" w:cs="Arial" w:eastAsia="Arial" w:hAnsi="Arial"/>
                <w:sz w:val="18"/>
                <w:szCs w:val="18"/>
                <w:color w:val="auto"/>
              </w:rPr>
              <w:t>Buildings</w:t>
            </w:r>
          </w:p>
        </w:tc>
        <w:tc>
          <w:tcPr>
            <w:tcW w:w="2780" w:type="dxa"/>
            <w:vAlign w:val="bottom"/>
            <w:shd w:val="clear" w:color="auto" w:fill="D5EAEA"/>
          </w:tcPr>
          <w:p>
            <w:pPr>
              <w:ind w:left="1320"/>
              <w:spacing w:after="0"/>
              <w:rPr>
                <w:sz w:val="20"/>
                <w:szCs w:val="20"/>
                <w:color w:val="auto"/>
              </w:rPr>
            </w:pPr>
            <w:r>
              <w:rPr>
                <w:rFonts w:ascii="Arial" w:cs="Arial" w:eastAsia="Arial" w:hAnsi="Arial"/>
                <w:sz w:val="18"/>
                <w:szCs w:val="18"/>
                <w:color w:val="auto"/>
              </w:rPr>
              <w:t>5 years</w:t>
            </w:r>
          </w:p>
        </w:tc>
      </w:tr>
      <w:tr>
        <w:trPr>
          <w:trHeight w:val="230"/>
        </w:trPr>
        <w:tc>
          <w:tcPr>
            <w:tcW w:w="29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2780" w:type="dxa"/>
            <w:vAlign w:val="bottom"/>
          </w:tcPr>
          <w:p>
            <w:pPr>
              <w:ind w:left="1320"/>
              <w:spacing w:after="0"/>
              <w:rPr>
                <w:sz w:val="20"/>
                <w:szCs w:val="20"/>
                <w:color w:val="auto"/>
              </w:rPr>
            </w:pPr>
            <w:r>
              <w:rPr>
                <w:rFonts w:ascii="Arial" w:cs="Arial" w:eastAsia="Arial" w:hAnsi="Arial"/>
                <w:sz w:val="18"/>
                <w:szCs w:val="18"/>
                <w:color w:val="auto"/>
              </w:rPr>
              <w:t>5 years</w:t>
            </w:r>
          </w:p>
        </w:tc>
      </w:tr>
    </w:tbl>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When the lease liability is remeasured, a corresponding adjustment is made to the carrying amount of the right-of-use asset, or is recorded in profit or loss if the carrying amount of the right-of-use asset has been reduced to zero.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Both the right-of-use-assets and lease liabilities are recognized in the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not yet adopted</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are no standards that are not yet effective and that would be expected to have a material impact on the entity in the current or future reporting periods and on foreseeable future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June 30, 2019 after considering the Company’s cash position of CHF 206 million and short-term financial assets of CHF 80 million as of June 30, 2019. Hence, the unaudited interim condensed financial statements have been prepared on a going concern basis.</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public offerings, share issuances and revenues from license and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IP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AC Immune generated revenues of CHF 1.5 million and CHF 76.6 million in the three and six months ended June 30, 2019, a decrease of CHF 0.5 million and an increase of CHF 73.1 million over the comparable periods in 2018, respectively.</w:t>
      </w:r>
    </w:p>
    <w:p>
      <w:pPr>
        <w:spacing w:after="0" w:line="166"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8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(in CHF thousands)</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Eli Lilly</w:t>
            </w:r>
          </w:p>
        </w:tc>
        <w:tc>
          <w:tcPr>
            <w:tcW w:w="5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Genentech</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Janssen</w:t>
            </w:r>
          </w:p>
        </w:tc>
        <w:tc>
          <w:tcPr>
            <w:tcW w:w="5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Life Molecular Imaging</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Biogen</w:t>
            </w:r>
          </w:p>
        </w:tc>
        <w:tc>
          <w:tcPr>
            <w:tcW w:w="5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85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880" w:type="dxa"/>
            <w:vAlign w:val="bottom"/>
            <w:tcBorders>
              <w:top w:val="single" w:sz="8" w:color="auto"/>
              <w:bottom w:val="single" w:sz="8" w:color="auto"/>
            </w:tcBorders>
            <w:shd w:val="clear" w:color="auto" w:fill="D5EAEA"/>
          </w:tcPr>
          <w:p>
            <w:pPr>
              <w:spacing w:after="0"/>
              <w:rPr>
                <w:sz w:val="19"/>
                <w:szCs w:val="19"/>
                <w:color w:val="auto"/>
              </w:rPr>
            </w:pPr>
          </w:p>
        </w:tc>
        <w:tc>
          <w:tcPr>
            <w:tcW w:w="5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w w:val="84"/>
              </w:rPr>
              <w:t>1,511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0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85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8580" w:type="dxa"/>
            <w:vAlign w:val="bottom"/>
          </w:tcPr>
          <w:p>
            <w:pPr>
              <w:spacing w:after="0"/>
              <w:rPr>
                <w:sz w:val="20"/>
                <w:szCs w:val="20"/>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Ended June 30,</w:t>
            </w:r>
          </w:p>
        </w:tc>
      </w:tr>
      <w:tr>
        <w:trPr>
          <w:trHeight w:val="223"/>
        </w:trPr>
        <w:tc>
          <w:tcPr>
            <w:tcW w:w="8580" w:type="dxa"/>
            <w:vAlign w:val="bottom"/>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858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Eli Lilly</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74,300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Genentech</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771</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2,150</w:t>
            </w:r>
          </w:p>
        </w:tc>
      </w:tr>
      <w:tr>
        <w:trPr>
          <w:trHeight w:val="230"/>
        </w:trPr>
        <w:tc>
          <w:tcPr>
            <w:tcW w:w="8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w:t>
            </w:r>
          </w:p>
        </w:tc>
      </w:tr>
      <w:tr>
        <w:trPr>
          <w:trHeight w:val="223"/>
        </w:trPr>
        <w:tc>
          <w:tcPr>
            <w:tcW w:w="85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76,553</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3,486</w:t>
            </w: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changes in the Company’s contract assets and liabilities during the six months ended June 30,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Balance at the</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beginning of the</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reporting period</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Additions</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Deductions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reporting period</w:t>
            </w:r>
          </w:p>
        </w:tc>
        <w:tc>
          <w:tcPr>
            <w:tcW w:w="0" w:type="dxa"/>
            <w:vAlign w:val="bottom"/>
          </w:tcPr>
          <w:p>
            <w:pPr>
              <w:spacing w:after="0"/>
              <w:rPr>
                <w:sz w:val="1"/>
                <w:szCs w:val="1"/>
                <w:color w:val="auto"/>
              </w:rPr>
            </w:pPr>
          </w:p>
        </w:tc>
      </w:tr>
      <w:tr>
        <w:trPr>
          <w:trHeight w:val="228"/>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1580" w:type="dxa"/>
            <w:vAlign w:val="bottom"/>
          </w:tcPr>
          <w:p>
            <w:pPr>
              <w:spacing w:after="0"/>
              <w:rPr>
                <w:sz w:val="19"/>
                <w:szCs w:val="19"/>
                <w:color w:val="auto"/>
              </w:rPr>
            </w:pPr>
          </w:p>
        </w:tc>
        <w:tc>
          <w:tcPr>
            <w:tcW w:w="282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(in CHF thousands)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2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58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3,667</w:t>
            </w:r>
          </w:p>
        </w:tc>
        <w:tc>
          <w:tcPr>
            <w:tcW w:w="142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1,296</w:t>
            </w:r>
          </w:p>
        </w:tc>
        <w:tc>
          <w:tcPr>
            <w:tcW w:w="1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(4,416)</w:t>
            </w:r>
          </w:p>
        </w:tc>
        <w:tc>
          <w:tcPr>
            <w:tcW w:w="1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income</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351</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7,121</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(1,628)</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420" w:type="dxa"/>
            <w:vAlign w:val="bottom"/>
            <w:shd w:val="clear" w:color="auto" w:fill="D5EAEA"/>
          </w:tcPr>
          <w:p>
            <w:pPr>
              <w:spacing w:after="0"/>
              <w:rPr>
                <w:sz w:val="18"/>
                <w:szCs w:val="18"/>
                <w:color w:val="auto"/>
              </w:rPr>
            </w:pPr>
          </w:p>
        </w:tc>
        <w:tc>
          <w:tcPr>
            <w:tcW w:w="1400" w:type="dxa"/>
            <w:vAlign w:val="bottom"/>
            <w:shd w:val="clear" w:color="auto" w:fill="D5EAEA"/>
          </w:tcPr>
          <w:p>
            <w:pPr>
              <w:spacing w:after="0"/>
              <w:rPr>
                <w:sz w:val="18"/>
                <w:szCs w:val="18"/>
                <w:color w:val="auto"/>
              </w:rPr>
            </w:pPr>
          </w:p>
        </w:tc>
        <w:tc>
          <w:tcPr>
            <w:tcW w:w="14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Six months ended June 30, 2018:</w:t>
            </w: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58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2,799</w:t>
            </w:r>
          </w:p>
        </w:tc>
        <w:tc>
          <w:tcPr>
            <w:tcW w:w="142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2,723</w:t>
            </w:r>
          </w:p>
        </w:tc>
        <w:tc>
          <w:tcPr>
            <w:tcW w:w="1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(2,891)</w:t>
            </w:r>
          </w:p>
        </w:tc>
        <w:tc>
          <w:tcPr>
            <w:tcW w:w="1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income</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355</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909</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During the three and six months ended June 30, 2019 and June 30, 2018, the Company recognized the following revenues as a result of changes in the contract asset and the contract liability balances in the respective periods: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recognized in the period from:</w:t>
      </w:r>
    </w:p>
    <w:p>
      <w:pPr>
        <w:spacing w:after="0" w:line="27" w:lineRule="exact"/>
        <w:rPr>
          <w:sz w:val="20"/>
          <w:szCs w:val="20"/>
          <w:color w:val="auto"/>
        </w:rPr>
      </w:pPr>
    </w:p>
    <w:p>
      <w:pPr>
        <w:ind w:right="3200"/>
        <w:spacing w:after="0" w:line="261" w:lineRule="auto"/>
        <w:rPr>
          <w:sz w:val="20"/>
          <w:szCs w:val="20"/>
          <w:color w:val="auto"/>
        </w:rPr>
      </w:pPr>
      <w:r>
        <w:rPr>
          <w:rFonts w:ascii="Arial" w:cs="Arial" w:eastAsia="Arial" w:hAnsi="Arial"/>
          <w:sz w:val="18"/>
          <w:szCs w:val="18"/>
          <w:color w:val="auto"/>
        </w:rPr>
        <w:t>Amounts included in the contract liability at the beginning of the period Performance obligations satisfied in previous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recognized in the period from:</w:t>
      </w:r>
    </w:p>
    <w:p>
      <w:pPr>
        <w:spacing w:after="0" w:line="27" w:lineRule="exact"/>
        <w:rPr>
          <w:sz w:val="20"/>
          <w:szCs w:val="20"/>
          <w:color w:val="auto"/>
        </w:rPr>
      </w:pPr>
    </w:p>
    <w:p>
      <w:pPr>
        <w:ind w:right="3200"/>
        <w:spacing w:after="0" w:line="261" w:lineRule="auto"/>
        <w:rPr>
          <w:sz w:val="20"/>
          <w:szCs w:val="20"/>
          <w:color w:val="auto"/>
        </w:rPr>
      </w:pPr>
      <w:r>
        <w:rPr>
          <w:rFonts w:ascii="Arial" w:cs="Arial" w:eastAsia="Arial" w:hAnsi="Arial"/>
          <w:sz w:val="18"/>
          <w:szCs w:val="18"/>
          <w:color w:val="auto"/>
        </w:rPr>
        <w:t>Amounts included in the contract liability at the beginning of the period Performance obligations satisfied in previous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Tau Morphomer Small Molecule – 2018 license agreement with Eli Lilly and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For the Three Months</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5715</wp:posOffset>
            </wp:positionV>
            <wp:extent cx="1800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-130810</wp:posOffset>
            </wp:positionV>
            <wp:extent cx="1800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4" w:lineRule="exact"/>
        <w:rPr>
          <w:sz w:val="20"/>
          <w:szCs w:val="20"/>
          <w:color w:val="auto"/>
        </w:rPr>
      </w:pPr>
    </w:p>
    <w:p>
      <w:pPr>
        <w:ind w:left="1940" w:hanging="1457"/>
        <w:spacing w:after="0"/>
        <w:tabs>
          <w:tab w:leader="none" w:pos="1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417</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5715</wp:posOffset>
            </wp:positionV>
            <wp:extent cx="1800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tabs>
          <w:tab w:leader="none" w:pos="14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-130810</wp:posOffset>
            </wp:positionV>
            <wp:extent cx="1800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4" w:lineRule="exact"/>
        <w:rPr>
          <w:sz w:val="20"/>
          <w:szCs w:val="20"/>
          <w:color w:val="auto"/>
        </w:rPr>
      </w:pPr>
    </w:p>
    <w:p>
      <w:pPr>
        <w:ind w:left="1940" w:hanging="1457"/>
        <w:spacing w:after="0"/>
        <w:tabs>
          <w:tab w:leader="none" w:pos="1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813</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594" w:lineRule="exact"/>
        <w:rPr>
          <w:sz w:val="20"/>
          <w:szCs w:val="20"/>
          <w:color w:val="auto"/>
        </w:rPr>
      </w:pPr>
    </w:p>
    <w:p>
      <w:pPr>
        <w:sectPr>
          <w:pgSz w:w="11900" w:h="16838" w:orient="portrait"/>
          <w:cols w:equalWidth="0" w:num="2">
            <w:col w:w="8380" w:space="720"/>
            <w:col w:w="2320"/>
          </w:cols>
          <w:pgMar w:left="240" w:top="580" w:right="239" w:bottom="1440" w:gutter="0" w:footer="0" w:header="0"/>
          <w:type w:val="continuous"/>
        </w:sectPr>
      </w:pPr>
    </w:p>
    <w:p>
      <w:pPr>
        <w:spacing w:after="0" w:line="4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December 2018, we entered into an exclusive, worldwide licensing agreement with Eli Lilly and Company (“Lilly”) to research and develop Tau Morphomer small molecules for the treatment of Alzheimer’s disease and other neurodegenerative diseases. The agreement became effective on January 23, 2019 when the waiting period under the Hart-Scott-Rodino Antitrust Improvements Act of 1976, as amended, expired.</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both"/>
        <w:ind w:right="40" w:firstLine="324"/>
        <w:spacing w:after="0" w:line="259"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February 2019. The Company is conducting the development of Tau Morphomer small molecules through the completion of Phase 1, with activities commencing in the first half of 2019. Lilly will lead and fund further clinical development and will retain global commercialization rights for all indications, including Alzheimer’s disease, Progressive Supranuclear Palsy and other neurodegenerative diseases.</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Per the terms of the agreement, the Company may become eligible to receive additional milestone payments totaling up to approximately CHF 840 million for clinical and regulatory milestones and CHF 900 million upon achievement of certain commercial milestones. In addition to milestones, we will be eligible to receive royalties on sales at a percentage rate ranging from the low-double digits to the mid-teens. The agreement will terminate by the date of expiration of the last royalty term for the last licensed product. However, under the terms of the agreement, Lilly may terminate the agreement at any time after completion of the Lilly Pre-Clinical Activities Period by providing three months’ notice to us.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The valuation of each performance obligation involves estimates and assumptions with revenue recognition timing to be determined either by delivery or the provision of services.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 The Company determined the value of the research and development activities to be CHF 6.9 million and deferred this balance from the effective date. As of June 30, 2019, the Company has released CHF 1.2 million of deferred income (contract liability) yielding a balance of CHF 5.7 million of which CHF 1.9 million is long-term. The remaining CHF 73.1 million from the upfront payment was allocated to the right-of-use license and recognized on the effective date.</w:t>
      </w:r>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At inception, none of the clinical, regulatory or commercial milestones had been included in the transaction price, as all milestone amounts were fully constrained.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antibody targeting misfolded Abeta. The value of this partnership is potentially greater than USD 340 (CHF 336) million.</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notice is given.</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Genentech commenced a first Phase 3 clinical study in March 2016 for crenezumab (CREAD 1). In March 2017, Genentech started a second Phase 3 clinical trial (CREAD 2). Since 2013, Crenezumab is also studied in a Phase 2 trial in individuals who carry the PSEN1 E280A autosomal-dominant mutation and do not meet the criteria for mild cognitive impairment due to AD or dementia due to AD and are, thus, in a preclinical phase of AD (autosomal dominant AD (ADAD). In 2019, Genentech initiated a Tau Positron Emission Tomography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4" w:name="page15"/>
    <w:bookmarkEnd w:id="14"/>
    <w:p>
      <w:pPr>
        <w:ind w:right="460"/>
        <w:spacing w:after="0" w:line="277" w:lineRule="auto"/>
        <w:rPr>
          <w:sz w:val="20"/>
          <w:szCs w:val="20"/>
          <w:color w:val="auto"/>
        </w:rPr>
      </w:pPr>
      <w:r>
        <w:rPr>
          <w:rFonts w:ascii="Arial" w:cs="Arial" w:eastAsia="Arial" w:hAnsi="Arial"/>
          <w:sz w:val="18"/>
          <w:szCs w:val="18"/>
          <w:color w:val="auto"/>
        </w:rPr>
        <w:t>(PET) substudy to the ongoing Phase 2 trial in ADAD to evaluate the effect of crenezumab on tau burden which may also increase the understanding of disease progression in the preclinical stage of ADAD.</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crenezumab receives regulatory approval, we will be entitled to receive royalties that are tied to annual sales volumes with different royalty rates applicable in the U.S. and Europe. To date, we have received total milestone payments of USD 65 million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272)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30, 2019, we announced that Roche, the parent of Genentech, is discontinuing the CREAD 1 and CREAD 2 (BN29552 and BN29553) Phase</w:t>
      </w:r>
    </w:p>
    <w:p>
      <w:pPr>
        <w:spacing w:after="0" w:line="46" w:lineRule="exact"/>
        <w:rPr>
          <w:sz w:val="20"/>
          <w:szCs w:val="20"/>
          <w:color w:val="auto"/>
        </w:rPr>
      </w:pPr>
    </w:p>
    <w:p>
      <w:pPr>
        <w:ind w:right="20" w:firstLine="8"/>
        <w:spacing w:after="0" w:line="254"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studies of crenezumab in people with prodromal to 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90"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Crenezumab continues to be studied in the Phase 2 preventive trial, which began in 2013, of cognitively healthy individuals in Columbia who carry the PSEN1 E280A autosomal-dominant mutation and are in a preclinical phase of AD (autosomal dominant AD (ADAD). This study will determine if treating people carrying this mutation with crenezumab prior to the onset of AD symptoms will slow or prevent the decline of cognitive and functional abilities.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2019 and 2018,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June 2012, we entered into a second agreement with Genentech to research, develop and commercialize our anti-Tau antibodies for use as immunotherapeutics.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two additional indications built on the same anti-Tau antibody program as well as potential anti-Tau diagnostic products.</w:t>
      </w:r>
    </w:p>
    <w:p>
      <w:pPr>
        <w:spacing w:after="0" w:line="18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passed or expired. Either party may terminate the agreement for any material breach by the other Party, provided a cure period of 90 days from the date notice is given.</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To date, we have received payments totaling CHF 59 million, including a CHF 14 million milestone payment received and recognized in the fourth quarter of 2017 associated with the first patient dosing in a Phase 2 clinical trial for Alzheimer’s disease with an anti-Tau monoclonal body known as RG6100,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 As we met all performance obligations on reaching these milestones, we have recognized revenue in the respective periods. Genentech may terminate the agreement at any time by providing three months’ notice to us.</w:t>
      </w:r>
    </w:p>
    <w:p>
      <w:pPr>
        <w:spacing w:after="0" w:line="17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2019 and 2018,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July 2017 and January 2019, the Companies entered into the Second and Third Amendments, respectively. These Amendments allow for the alignment of certain payment and activity provisions with the Development Plan and Research Plan activities. We and Janssen will co-develop second generation lead therapeutic vaccines, ACI-35.030 and JACI-35.054, through Phase 1b/2a completion. AC Immune and Janssen will jointly share R&amp;D costs until the completion of the first Phase 2b. From Phase 2b and onwards, Janssen will assume responsibility for the clinical development, manufacturing and commercialization of the second generation vaccines.</w:t>
      </w:r>
    </w:p>
    <w:p>
      <w:pPr>
        <w:spacing w:after="0" w:line="197"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first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Phase 1b study. As we met all performance obligations on reaching the milestone, we have recognized this income as revenue.</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three months ended June 30, 2019 and 2018 we have recognized CHF 0.6 million and CHF 0.5 million, respectively. For the six months ended June 30, 2019 and 2018 we have recognized CHF 0.7 million and CHF 0.8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Life Molecular Imaging (formerly Piramal Imaging SA)</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Life Molecular Imaging (“Life Molecular”), the former Piramal Imaging SA. The partnership with Life Molecular is an exclusive, worldwide licensing agreement for the research, development and commercialization of the Company’s Tau protein Positron Emission Tomography (PET) tracers supporting the early diagnosis and clinical management of AD and other Tau-related disorders and includes upfront and sales milestone payments totaling up to EUR 157 (CHF 176) million, plus royalties on sales at a percentage rate ranging from mid-single digits to low double digits.</w:t>
      </w:r>
    </w:p>
    <w:p>
      <w:pPr>
        <w:spacing w:after="0" w:line="188"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Life Molecular may terminate this agreement at any time after the first 18 months from the Effective Date of this agreement upon three months prior written notice. If not otherwise terminated, the agreement shall continue until the date of expiration of the last to expire royalty term.</w:t>
      </w:r>
    </w:p>
    <w:p>
      <w:pPr>
        <w:spacing w:after="0" w:line="14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connection with this agreement, AC Immune received a EUR 500 (CHF 664) thousand payment which was fully recognized in 2015. In Q1 2017, we recorded a EUR 1.0 (CHF 1.1) million milestone related to the initiation of “Part B” of the first-in-man Phase 1 clinical trial for PSP (Progressive Supranuclear Palsy). The Company is eligible to receive variable consideration related to the achievement of certain clinical milestones totaling EUR 6 (CHF</w:t>
      </w:r>
    </w:p>
    <w:p>
      <w:pPr>
        <w:ind w:right="320" w:firstLine="8"/>
        <w:spacing w:after="0" w:line="290" w:lineRule="auto"/>
        <w:tabs>
          <w:tab w:leader="none" w:pos="195" w:val="left"/>
        </w:tabs>
        <w:numPr>
          <w:ilvl w:val="0"/>
          <w:numId w:val="7"/>
        </w:numPr>
        <w:rPr>
          <w:rFonts w:ascii="Arial" w:cs="Arial" w:eastAsia="Arial" w:hAnsi="Arial"/>
          <w:sz w:val="17"/>
          <w:szCs w:val="17"/>
          <w:color w:val="auto"/>
        </w:rPr>
      </w:pPr>
      <w:r>
        <w:rPr>
          <w:rFonts w:ascii="Arial" w:cs="Arial" w:eastAsia="Arial" w:hAnsi="Arial"/>
          <w:sz w:val="17"/>
          <w:szCs w:val="17"/>
          <w:color w:val="auto"/>
        </w:rPr>
        <w:t>million should the compound make it through to Phase 3 clinical studies. We are also eligible to receive potential regulatory and sales based milestones totaling EUR 150 (CHF 168) million. The Company is also eligible for royalties from the mid-single digits to low-double digits.</w:t>
      </w:r>
    </w:p>
    <w:p>
      <w:pPr>
        <w:spacing w:after="0" w:line="16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AC Immune assessed this arrangement in accordance with IFRS 15 and concluded that Life Molecular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300" w:firstLine="324"/>
        <w:spacing w:after="0" w:line="279" w:lineRule="auto"/>
        <w:rPr>
          <w:sz w:val="20"/>
          <w:szCs w:val="20"/>
          <w:color w:val="auto"/>
        </w:rPr>
      </w:pPr>
      <w:r>
        <w:rPr>
          <w:rFonts w:ascii="Arial" w:cs="Arial" w:eastAsia="Arial" w:hAnsi="Arial"/>
          <w:sz w:val="17"/>
          <w:szCs w:val="17"/>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w:t>
      </w:r>
    </w:p>
    <w:p>
      <w:pPr>
        <w:spacing w:after="0" w:line="171"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and six months ended June 30, 2019 and 2018, the Company has recognized no revenues from this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On April 13, 2016, we entered into a non-exclusive research collaboration agreement with Biogen International GmbH,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own all intellectual property rights to any invention relating to alpha-synuclein or TDP-43 PET tracers.</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the three months ended June 30, 2019 and 2018, the Company has recognized CHF 0.1 million and CHF 1.2 million, respectively. For the six months ended June 30, 2019 and 2018, the Company has recognized CHF 1.1 million and CHF 2.2 million, respectively. This collaboration concluded on April 13, 2019.</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–2017 agreement with Essex Bio-Technology Limited</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14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Subject to the terms of this agreement, Essex and the Company have the right to terminate by providing 60 days’ notice to the other Party. Otherwise, the agreement shall remain in force until the later of the (i) completion of the Research and Development program or (ii) five years from the Effective date.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8" w:name="page19"/>
    <w:bookmarkEnd w:id="18"/>
    <w:p>
      <w:pPr>
        <w:ind w:right="24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two-year Research Plan, which intends to develop a basic Fibroblast Growth Factor as a therapeutic for the treatment of neurodegenerative diseases and to generate novel antibody therapeutics.</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AC Immune assessed this arrangement in accordance with IFRS 15 and concluded that Essex Bio-Technology is a customer. AC Immune has identified that its performance obligation is for full-time employees to provide research support.</w:t>
      </w:r>
    </w:p>
    <w:p>
      <w:pPr>
        <w:spacing w:after="0" w:line="170"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the three months ended June 30, 2019 and 2018, the Company has recognized CHF 0.2 million, respectively. For the six months ended June 30, 2019 and 2018, the Company has recognized CHF 0.4 million, respectively. Subject to the progress of the projects, the Company may expect to recognize approximately CHF 0.8 million annually through the end of the contract.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Continuation of 2015 grant from the Michael J. Fox Foundation</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September 16, 2017, we formally signed a grant continuation with the Michael J. Fox Foundation for Parkinson’s disease research (“MJFF”). This grant provides funds for the development of PET tracers for pathological forms of the protein alpha-synuclein, to support the early diagnosis and clinical management of Parkinson’s disease. Following the successful completion of this grant extension in 2018, we received an additional grant in November 2018 to conduct a first-in-human (“FiH”) study in 2019. This grant aims to facilitate the execution of a FiH study for a potential alpha-synuclein PET tracer with the current lead compound.</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part of the November 2018 grant, the MJFF expects that AC Immune will complete tasks according to the agreed timelines. AC Immune’s funding is variable depending on the satisfactory achievement of specific tasks. The Company identified six milestones to achieve and these are outputs of the Company’s normal services to develop its PET tracer. The services themselves over time are considered the performance obligation and not each a distinct performance obligation. Therefore, AC Immune has determined it has one performance obligation in the arrangement: the clinical and regulatory services in support of the development of the alpha-synuclein PET tracer.</w:t>
      </w:r>
    </w:p>
    <w:p>
      <w:pPr>
        <w:spacing w:after="0" w:line="188"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The transaction price consists of the contractual amount of CHF 0.3 million which is allocated to the services performed. However, the consideration is variable dependent upon AC Immune’s completion of key milestones. Using the most likely amount method, AC Immune assessed the project funding and likelihood of milestone obtainment. Management estimated a 100% likelihood of completing all milestones under the terms of the grant and no discount of the transaction price is taken. The Company therefore recognizes the revenues associated with this grant as services are performed. Quarterly, the Company estimates its progress and whether to constrain further revenue recognition. There are no constraints assessed as of June 30, 2019.</w:t>
      </w:r>
    </w:p>
    <w:p>
      <w:pPr>
        <w:spacing w:after="0" w:line="15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the three months ended June 30, 2019 and 2018, the Company has recognized CHF 0.1 million, respectively. For the six months ended June 30, 2019 and 2018, the Company has recognized CHF 0.2 million, respectively. The Company has also recorded CHF 0.1 million as short-term deferred income. The Company may expect to recognize approximately CHF 0.1 million through the end of this grant extension.</w:t>
      </w:r>
    </w:p>
    <w:p>
      <w:pPr>
        <w:spacing w:after="0" w:line="17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Company and Lilly entered into a convertible note agreement effective January 23, 2019 for USD 50.0 (CHF 50.3) million. On April 25,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9" w:name="page20"/>
    <w:bookmarkEnd w:id="19"/>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equity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Loss per share (EPS):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used to compute EPS basic and diluted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for the period attributable to equity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5715</wp:posOffset>
            </wp:positionV>
            <wp:extent cx="1800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ind w:left="460"/>
        <w:spacing w:after="0"/>
        <w:tabs>
          <w:tab w:leader="none" w:pos="19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(in CHF thousands except for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-116205</wp:posOffset>
            </wp:positionV>
            <wp:extent cx="1800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and per share data)</w:t>
      </w:r>
    </w:p>
    <w:p>
      <w:pPr>
        <w:spacing w:after="0" w:line="9" w:lineRule="exact"/>
        <w:rPr>
          <w:sz w:val="20"/>
          <w:szCs w:val="20"/>
          <w:color w:val="auto"/>
        </w:rPr>
      </w:pPr>
    </w:p>
    <w:p>
      <w:pPr>
        <w:jc w:val="both"/>
        <w:ind w:left="660"/>
        <w:spacing w:after="0"/>
        <w:tabs>
          <w:tab w:leader="none" w:pos="2100" w:val="left"/>
        </w:tabs>
        <w:rPr>
          <w:sz w:val="20"/>
          <w:szCs w:val="20"/>
          <w:color w:val="auto"/>
        </w:rPr>
      </w:pPr>
      <w:r>
        <w:rPr>
          <w:rFonts w:ascii="Arial" w:cs="Arial" w:eastAsia="Arial" w:hAnsi="Arial"/>
          <w:sz w:val="18"/>
          <w:szCs w:val="18"/>
          <w:color w:val="auto"/>
        </w:rPr>
        <w:t>(16,899)</w:t>
      </w:r>
      <w:r>
        <w:rPr>
          <w:sz w:val="20"/>
          <w:szCs w:val="20"/>
          <w:color w:val="auto"/>
        </w:rPr>
        <w:tab/>
      </w:r>
      <w:r>
        <w:rPr>
          <w:rFonts w:ascii="Arial" w:cs="Arial" w:eastAsia="Arial" w:hAnsi="Arial"/>
          <w:sz w:val="18"/>
          <w:szCs w:val="18"/>
          <w:color w:val="auto"/>
        </w:rPr>
        <w:t>(11,143)</w:t>
      </w:r>
    </w:p>
    <w:p>
      <w:pPr>
        <w:spacing w:after="0" w:line="211"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7"/>
          <w:szCs w:val="17"/>
          <w:color w:val="auto"/>
        </w:rPr>
        <w:t>70,764,091</w:t>
      </w:r>
      <w:r>
        <w:rPr>
          <w:sz w:val="20"/>
          <w:szCs w:val="20"/>
          <w:color w:val="auto"/>
        </w:rPr>
        <w:tab/>
      </w:r>
      <w:r>
        <w:rPr>
          <w:rFonts w:ascii="Arial" w:cs="Arial" w:eastAsia="Arial" w:hAnsi="Arial"/>
          <w:sz w:val="17"/>
          <w:szCs w:val="17"/>
          <w:color w:val="auto"/>
        </w:rPr>
        <w:t>57,423,650</w:t>
      </w:r>
    </w:p>
    <w:p>
      <w:pPr>
        <w:spacing w:after="0" w:line="35" w:lineRule="exact"/>
        <w:rPr>
          <w:sz w:val="20"/>
          <w:szCs w:val="20"/>
          <w:color w:val="auto"/>
        </w:rPr>
      </w:pPr>
    </w:p>
    <w:p>
      <w:pPr>
        <w:jc w:val="right"/>
        <w:ind w:right="40"/>
        <w:spacing w:after="0"/>
        <w:tabs>
          <w:tab w:leader="none" w:pos="420" w:val="left"/>
        </w:tabs>
        <w:rPr>
          <w:sz w:val="20"/>
          <w:szCs w:val="20"/>
          <w:color w:val="auto"/>
        </w:rPr>
      </w:pPr>
      <w:r>
        <w:rPr>
          <w:rFonts w:ascii="Arial" w:cs="Arial" w:eastAsia="Arial" w:hAnsi="Arial"/>
          <w:sz w:val="18"/>
          <w:szCs w:val="18"/>
          <w:color w:val="auto"/>
        </w:rPr>
        <w:t>(0.24)</w:t>
      </w:r>
      <w:r>
        <w:rPr>
          <w:sz w:val="20"/>
          <w:szCs w:val="20"/>
          <w:color w:val="auto"/>
        </w:rPr>
        <w:tab/>
      </w:r>
      <w:r>
        <w:rPr>
          <w:rFonts w:ascii="Arial" w:cs="Arial" w:eastAsia="Arial" w:hAnsi="Arial"/>
          <w:sz w:val="16"/>
          <w:szCs w:val="16"/>
          <w:color w:val="auto"/>
        </w:rPr>
        <w:t>(0.19)</w:t>
      </w: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5715</wp:posOffset>
            </wp:positionV>
            <wp:extent cx="1800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ind w:left="460"/>
        <w:spacing w:after="0"/>
        <w:tabs>
          <w:tab w:leader="none" w:pos="19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(in CHF thousands except for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-116205</wp:posOffset>
            </wp:positionV>
            <wp:extent cx="1800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and per share data)</w:t>
      </w:r>
    </w:p>
    <w:p>
      <w:pPr>
        <w:spacing w:after="0" w:line="9" w:lineRule="exact"/>
        <w:rPr>
          <w:sz w:val="20"/>
          <w:szCs w:val="20"/>
          <w:color w:val="auto"/>
        </w:rPr>
      </w:pPr>
    </w:p>
    <w:p>
      <w:pPr>
        <w:sectPr>
          <w:pgSz w:w="11900" w:h="16838" w:orient="portrait"/>
          <w:cols w:equalWidth="0" w:num="2">
            <w:col w:w="7920" w:space="720"/>
            <w:col w:w="2780"/>
          </w:cols>
          <w:pgMar w:left="240" w:top="580" w:right="239" w:bottom="1440" w:gutter="0" w:footer="0" w:header="0"/>
        </w:sectPr>
      </w:pPr>
    </w:p>
    <w:p>
      <w:pPr>
        <w:spacing w:after="0"/>
        <w:rPr>
          <w:sz w:val="20"/>
          <w:szCs w:val="20"/>
          <w:color w:val="auto"/>
        </w:rPr>
      </w:pPr>
      <w:r>
        <w:rPr>
          <w:rFonts w:ascii="Arial" w:cs="Arial" w:eastAsia="Arial" w:hAnsi="Arial"/>
          <w:sz w:val="18"/>
          <w:szCs w:val="18"/>
          <w:b w:val="1"/>
          <w:bCs w:val="1"/>
          <w:color w:val="auto"/>
        </w:rPr>
        <w:t>Basic income/(loss) per share (EPS):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right="3700"/>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580"/>
        <w:spacing w:after="0" w:line="321" w:lineRule="auto"/>
        <w:rPr>
          <w:sz w:val="20"/>
          <w:szCs w:val="20"/>
          <w:color w:val="auto"/>
        </w:rPr>
      </w:pPr>
      <w:r>
        <w:rPr>
          <w:rFonts w:ascii="Arial" w:cs="Arial" w:eastAsia="Arial" w:hAnsi="Arial"/>
          <w:sz w:val="16"/>
          <w:szCs w:val="16"/>
          <w:color w:val="auto"/>
        </w:rPr>
        <w:t>Weighted-average number of shares outstanding to equity holders Basic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46,674</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69,351,363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29210</wp:posOffset>
            </wp:positionV>
            <wp:extent cx="875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0.67</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(22,755)</w:t>
      </w: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57,395,987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29210</wp:posOffset>
            </wp:positionV>
            <wp:extent cx="857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(0.40)</w:t>
      </w:r>
    </w:p>
    <w:p>
      <w:pPr>
        <w:spacing w:after="0" w:line="43" w:lineRule="exact"/>
        <w:rPr>
          <w:sz w:val="20"/>
          <w:szCs w:val="20"/>
          <w:color w:val="auto"/>
        </w:rPr>
      </w:pPr>
    </w:p>
    <w:p>
      <w:pPr>
        <w:sectPr>
          <w:pgSz w:w="11900" w:h="16838" w:orient="portrait"/>
          <w:cols w:equalWidth="0" w:num="3">
            <w:col w:w="8320" w:space="720"/>
            <w:col w:w="820" w:space="640"/>
            <w:col w:w="92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58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Numerator:</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46,674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(22,755)</w:t>
            </w: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Denominator:</w:t>
            </w:r>
          </w:p>
        </w:tc>
        <w:tc>
          <w:tcPr>
            <w:tcW w:w="13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69,351,363</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57,395,987</w:t>
            </w:r>
          </w:p>
        </w:tc>
      </w:tr>
      <w:tr>
        <w:trPr>
          <w:trHeight w:val="23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494,495</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Weighted-average number of shares outstanding – diluted to equity holders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69,845,858</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57,395,987</w:t>
            </w:r>
          </w:p>
        </w:tc>
      </w:tr>
      <w:tr>
        <w:trPr>
          <w:trHeight w:val="197"/>
        </w:trPr>
        <w:tc>
          <w:tcPr>
            <w:tcW w:w="858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Diluted income/(loss) for the period attributable to equity holders</w:t>
            </w:r>
          </w:p>
        </w:tc>
        <w:tc>
          <w:tcPr>
            <w:tcW w:w="138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0.67</w:t>
            </w: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(0.40)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8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858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8580" w:type="dxa"/>
            <w:vAlign w:val="bottom"/>
            <w:tcBorders>
              <w:bottom w:val="single" w:sz="8" w:color="D5EAEA"/>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335,958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1,396,572</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97,642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114,496</w:t>
            </w: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Convertible shares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993,222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8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45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4540" w:type="dxa"/>
            <w:vAlign w:val="bottom"/>
            <w:tcBorders>
              <w:bottom w:val="single" w:sz="8" w:color="D5EAEA"/>
            </w:tcBorders>
          </w:tcPr>
          <w:p>
            <w:pPr>
              <w:spacing w:after="0"/>
              <w:rPr>
                <w:sz w:val="19"/>
                <w:szCs w:val="19"/>
                <w:color w:val="auto"/>
              </w:rPr>
            </w:pPr>
          </w:p>
        </w:tc>
        <w:tc>
          <w:tcPr>
            <w:tcW w:w="4040" w:type="dxa"/>
            <w:vAlign w:val="bottom"/>
            <w:tcBorders>
              <w:bottom w:val="single" w:sz="8" w:color="D5EAEA"/>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45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404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770,068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1,364,166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40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115,242</w:t>
            </w:r>
          </w:p>
        </w:tc>
      </w:tr>
      <w:tr>
        <w:trPr>
          <w:trHeight w:val="216"/>
        </w:trPr>
        <w:tc>
          <w:tcPr>
            <w:tcW w:w="4540" w:type="dxa"/>
            <w:vAlign w:val="bottom"/>
            <w:shd w:val="clear" w:color="auto" w:fill="D5EAEA"/>
          </w:tcPr>
          <w:p>
            <w:pPr>
              <w:spacing w:after="0"/>
              <w:rPr>
                <w:sz w:val="20"/>
                <w:szCs w:val="20"/>
                <w:color w:val="auto"/>
              </w:rPr>
            </w:pPr>
            <w:r>
              <w:rPr>
                <w:rFonts w:ascii="Arial" w:cs="Arial" w:eastAsia="Arial" w:hAnsi="Arial"/>
                <w:sz w:val="18"/>
                <w:szCs w:val="18"/>
                <w:color w:val="auto"/>
              </w:rPr>
              <w:t>Convertible shares</w:t>
            </w:r>
          </w:p>
        </w:tc>
        <w:tc>
          <w:tcPr>
            <w:tcW w:w="542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1,837,625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756"/>
        </w:trPr>
        <w:tc>
          <w:tcPr>
            <w:tcW w:w="45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As of June 30, 2019</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Leasehold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Furniture</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Computers /IT</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Lab Equipment</w:t>
            </w: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Improvements</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(in CHF thousands)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4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the end of the previous year</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5,367</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5EAEA"/>
          </w:tcPr>
          <w:p>
            <w:pPr>
              <w:spacing w:after="0"/>
              <w:rPr>
                <w:sz w:val="20"/>
                <w:szCs w:val="20"/>
                <w:color w:val="auto"/>
              </w:rPr>
            </w:pPr>
            <w:r>
              <w:rPr>
                <w:rFonts w:ascii="Arial" w:cs="Arial" w:eastAsia="Arial" w:hAnsi="Arial"/>
                <w:sz w:val="18"/>
                <w:szCs w:val="18"/>
                <w:color w:val="auto"/>
              </w:rPr>
              <w:t>Acquisitions</w:t>
            </w: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190</w:t>
            </w:r>
          </w:p>
        </w:tc>
        <w:tc>
          <w:tcPr>
            <w:tcW w:w="150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Disposals</w:t>
            </w: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Balance at end</w:t>
            </w:r>
          </w:p>
        </w:tc>
        <w:tc>
          <w:tcPr>
            <w:tcW w:w="140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139</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1,086</w:t>
            </w:r>
          </w:p>
        </w:tc>
        <w:tc>
          <w:tcPr>
            <w:tcW w:w="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5,978</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349</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4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the end of the previous year</w:t>
            </w:r>
          </w:p>
        </w:tc>
        <w:tc>
          <w:tcPr>
            <w:tcW w:w="14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(130)</w:t>
            </w:r>
          </w:p>
        </w:tc>
        <w:tc>
          <w:tcPr>
            <w:tcW w:w="150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Disposals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Balance at end</w:t>
            </w:r>
          </w:p>
        </w:tc>
        <w:tc>
          <w:tcPr>
            <w:tcW w:w="14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(472)</w:t>
            </w:r>
          </w:p>
        </w:tc>
        <w:tc>
          <w:tcPr>
            <w:tcW w:w="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(3,256)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(3,958)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4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December 31, 2018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5EAEA"/>
          </w:tcPr>
          <w:p>
            <w:pPr>
              <w:spacing w:after="0"/>
              <w:rPr>
                <w:sz w:val="20"/>
                <w:szCs w:val="20"/>
                <w:color w:val="auto"/>
              </w:rPr>
            </w:pPr>
            <w:r>
              <w:rPr>
                <w:rFonts w:ascii="Arial" w:cs="Arial" w:eastAsia="Arial" w:hAnsi="Arial"/>
                <w:sz w:val="18"/>
                <w:szCs w:val="18"/>
                <w:color w:val="auto"/>
              </w:rPr>
              <w:t>June 30, 2019</w:t>
            </w: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614</w:t>
            </w:r>
          </w:p>
        </w:tc>
        <w:tc>
          <w:tcPr>
            <w:tcW w:w="150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2,722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continues to enhance its laboratory equipment to support its research and development activities. This effort has accelerated since the year ended December 31, 2018, with CHF 0.6 million invested in lab equipment representing a 12% increase. This is consistent with the Company’s long term strategic plan.</w:t>
      </w:r>
    </w:p>
    <w:p>
      <w:pPr>
        <w:spacing w:after="0" w:line="17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January 1, 2019 the Company recognized CHF 2.2 million of right-of-use of leased assets and lease liabilities. Thereof CHF 2.1 million are related to buildings and CHF 0.1 million to office equipment.</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During the interim period, the Company recognized depreciation expense of CHF 0.2 million for buildings and an immaterial amount for office equipment. The Company did not recognize additions of right-of-use of leased assets for buildings or for office equipment for the six months ended June 30, 2019. Regarding lease liabilities, the amortization depends on the applied incremental borrowing rate for the respective lease component. The weighted averages of the incremental borrowing rates are 2.5% for buildings and 3.7% for office equipment,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movements in the net book values of right-of-use of leased assets for the period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Office</w:t>
            </w:r>
          </w:p>
        </w:tc>
        <w:tc>
          <w:tcPr>
            <w:tcW w:w="13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Buildings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Equipment</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(in CHF thousands)</w:t>
            </w:r>
          </w:p>
        </w:tc>
        <w:tc>
          <w:tcPr>
            <w:tcW w:w="1360" w:type="dxa"/>
            <w:vAlign w:val="bottom"/>
          </w:tcPr>
          <w:p>
            <w:pPr>
              <w:spacing w:after="0"/>
              <w:rPr>
                <w:sz w:val="18"/>
                <w:szCs w:val="18"/>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Balance as of January 1, 2019</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2,106</w:t>
            </w:r>
          </w:p>
        </w:tc>
        <w:tc>
          <w:tcPr>
            <w:tcW w:w="14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2,185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Additions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Depreciation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0"/>
        </w:trPr>
        <w:tc>
          <w:tcPr>
            <w:tcW w:w="71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Balance as of June 30, 2019</w:t>
            </w: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1,907</w:t>
            </w:r>
          </w:p>
        </w:tc>
        <w:tc>
          <w:tcPr>
            <w:tcW w:w="14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1,978</w:t>
            </w: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Company’s total expense for short-term leases and leases of low-value was CHF 0.1 million and CHF 0.3 million for the three and six months ended June 30, 2019. There are no variable lease payments which are not included in the measurement of lease obligations. All extension options have been included in the measurement of lease obligations.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6"/>
          <w:szCs w:val="16"/>
          <w:color w:val="auto"/>
        </w:rPr>
        <w:t>The following table presents the contractual undiscounted cash flows for lease obligations as of June 30, 2019: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 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(in CHF</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thousands)</w:t>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14605</wp:posOffset>
            </wp:positionV>
            <wp:extent cx="8578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2,097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8578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34290</wp:posOffset>
            </wp:positionV>
            <wp:extent cx="8578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600" w:space="720"/>
            <w:col w:w="1100"/>
          </w:cols>
          <w:pgMar w:left="240" w:top="584" w:right="239" w:bottom="1440" w:gutter="0" w:footer="0" w:header="0"/>
        </w:sectPr>
      </w:pPr>
    </w:p>
    <w:p>
      <w:pPr>
        <w:spacing w:after="0" w:line="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net employee defined benefit liability expenses totaling CHF 2.9 million and CHF 2.4 million as of June 30, 2019 and December 31, 2018, respectively.</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Company’s cash and cash equivalents and short-term financial assets as of June 30, 2019 and December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62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18"/>
                <w:szCs w:val="18"/>
                <w:color w:val="auto"/>
              </w:rPr>
            </w:pPr>
          </w:p>
        </w:tc>
      </w:tr>
      <w:tr>
        <w:trPr>
          <w:trHeight w:val="216"/>
        </w:trPr>
        <w:tc>
          <w:tcPr>
            <w:tcW w:w="8580" w:type="dxa"/>
            <w:vAlign w:val="bottom"/>
          </w:tcPr>
          <w:p>
            <w:pPr>
              <w:spacing w:after="0"/>
              <w:rPr>
                <w:sz w:val="18"/>
                <w:szCs w:val="18"/>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5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858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3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205,735</w:t>
            </w:r>
          </w:p>
        </w:tc>
        <w:tc>
          <w:tcPr>
            <w:tcW w:w="100" w:type="dxa"/>
            <w:vAlign w:val="bottom"/>
            <w:shd w:val="clear" w:color="auto" w:fill="D5EAEA"/>
          </w:tcPr>
          <w:p>
            <w:pPr>
              <w:spacing w:after="0"/>
              <w:rPr>
                <w:sz w:val="19"/>
                <w:szCs w:val="19"/>
                <w:color w:val="auto"/>
              </w:rPr>
            </w:pPr>
          </w:p>
        </w:tc>
        <w:tc>
          <w:tcPr>
            <w:tcW w:w="140" w:type="dxa"/>
            <w:vAlign w:val="bottom"/>
            <w:tcBorders>
              <w:bottom w:val="single" w:sz="8" w:color="auto"/>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156,462</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205,735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156,462</w:t>
            </w: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4"/>
        </w:trPr>
        <w:tc>
          <w:tcPr>
            <w:tcW w:w="8580" w:type="dxa"/>
            <w:vAlign w:val="bottom"/>
          </w:tcPr>
          <w:p>
            <w:pPr>
              <w:spacing w:after="0"/>
              <w:rPr>
                <w:sz w:val="24"/>
                <w:szCs w:val="24"/>
                <w:color w:val="auto"/>
              </w:rPr>
            </w:pPr>
          </w:p>
        </w:tc>
        <w:tc>
          <w:tcPr>
            <w:tcW w:w="162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24"/>
                <w:szCs w:val="24"/>
                <w:color w:val="auto"/>
              </w:rPr>
            </w:pPr>
          </w:p>
        </w:tc>
      </w:tr>
      <w:tr>
        <w:trPr>
          <w:trHeight w:val="216"/>
        </w:trPr>
        <w:tc>
          <w:tcPr>
            <w:tcW w:w="8580" w:type="dxa"/>
            <w:vAlign w:val="bottom"/>
          </w:tcPr>
          <w:p>
            <w:pPr>
              <w:spacing w:after="0"/>
              <w:rPr>
                <w:sz w:val="18"/>
                <w:szCs w:val="18"/>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5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858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3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D5EAEA"/>
          </w:tcPr>
          <w:p>
            <w:pPr>
              <w:spacing w:after="0"/>
              <w:rPr>
                <w:sz w:val="19"/>
                <w:szCs w:val="19"/>
                <w:color w:val="auto"/>
              </w:rPr>
            </w:pPr>
          </w:p>
        </w:tc>
        <w:tc>
          <w:tcPr>
            <w:tcW w:w="140" w:type="dxa"/>
            <w:vAlign w:val="bottom"/>
            <w:tcBorders>
              <w:bottom w:val="single" w:sz="8" w:color="auto"/>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30,000</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30,000</w:t>
            </w: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for the lease of the Company’s premises as of June 30, 2019 and December 31,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financing obligation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On October 31,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1" w:lineRule="exact"/>
        <w:rPr>
          <w:sz w:val="20"/>
          <w:szCs w:val="20"/>
          <w:color w:val="auto"/>
        </w:rPr>
      </w:pPr>
    </w:p>
    <w:p>
      <w:pPr>
        <w:ind w:right="300" w:firstLine="324"/>
        <w:spacing w:after="0" w:line="291" w:lineRule="auto"/>
        <w:rPr>
          <w:sz w:val="20"/>
          <w:szCs w:val="20"/>
          <w:color w:val="auto"/>
        </w:rPr>
      </w:pPr>
      <w:r>
        <w:rPr>
          <w:rFonts w:ascii="Arial" w:cs="Arial" w:eastAsia="Arial" w:hAnsi="Arial"/>
          <w:sz w:val="16"/>
          <w:szCs w:val="16"/>
          <w:color w:val="auto"/>
        </w:rPr>
        <w:t>The Company reclassified a certain portion of long-term debt obligation from non-current to current liabilities in the balance sheets to reflect the amended repayment terms. Additionally, per this modified payment term, the Company and LuMind memorialized the receipt of one final USD 200 (CHF</w:t>
      </w:r>
    </w:p>
    <w:p>
      <w:pPr>
        <w:ind w:firstLine="8"/>
        <w:spacing w:after="0" w:line="323" w:lineRule="auto"/>
        <w:tabs>
          <w:tab w:leader="none" w:pos="3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thousand payment due from LuMind in 2019. The Company has recorded this as a finance receivable and an increase to the obligation accordingly. As of June 30, 2019 and December 31, 2018, we had finance receivables of USD 100 (CHF 98) thousand and USD 200 (CHF 199) thousand, respectively.</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2" w:name="page23"/>
    <w:bookmarkEnd w:id="22"/>
    <w:p>
      <w:pPr>
        <w:ind w:firstLine="324"/>
        <w:spacing w:after="0" w:line="264" w:lineRule="auto"/>
        <w:rPr>
          <w:sz w:val="20"/>
          <w:szCs w:val="20"/>
          <w:color w:val="auto"/>
        </w:rPr>
      </w:pPr>
      <w:r>
        <w:rPr>
          <w:rFonts w:ascii="Arial" w:cs="Arial" w:eastAsia="Arial" w:hAnsi="Arial"/>
          <w:sz w:val="18"/>
          <w:szCs w:val="18"/>
          <w:color w:val="auto"/>
        </w:rPr>
        <w:t>As of June 30, 2019 and December 31, 2018, AC Immune has recorded in current liabilities a short-term debt obligation for the total USD 333 (CHF 329) and USD 333 (CHF 332) thousand committed, respectively. As of June 30, 2019 and December 31, 2018, the Company recorded a long-term debt obligation for the total USD 260 (CHF 256) thousand and USD 187 (CHF 186) thousand,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Finance result, net</w:t>
      </w:r>
    </w:p>
    <w:p>
      <w:pPr>
        <w:spacing w:after="0" w:line="22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For the three months ended June 30, 2019 and June 30, 2018, the Company recorded CHF 2.1 million in net financial losses compared to CHF 0.4 million in net financial gains, respectively. For the three months ended June 30, 2019, CHF 1.2 million related to a loss on the settlement of the convertible loan. The Company also had CHF 0.5 million in interest expense of which CHF 0.4 million was effective interest recorded to amortize the host debt per the convertible loan due to Lilly. Finally, the Company had CHF 0.5 million in foreign currency remeasurement losses.</w:t>
      </w:r>
    </w:p>
    <w:p>
      <w:pPr>
        <w:spacing w:after="0" w:line="17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For the six months ended June 30, 2019 and June 30, 2018, the Company recorded CHF 1.3 million and CHF 0.1 million in net financial gains, respectively. For the six months ended June 30, 2019, CHF 4.5 million related to a gain on the conversion feature of the convertible loan due to Lilly. This gain was offset by CHF 1.2 million related to a loss on the settlement of the convertible loan and CHF 1.6 million in interest expense of which CHF 1.4 million was effective interest recorded to amortize the host debt per the convertible loan due to Lilly. Finally, the Company had CHF 0.6 million in foreign currency remeasurement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July 2019, AC Immune and the University of Pennsylvania entered into a collaboration agreement to support research on TDP-43 misfolding and aggregation. Under the terms of the agreement, AC Immune will contribute a two-year research grant.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and six months ended June 30, 2019 included as Exhibit 99.1 to this Report on Form 6-K. We also recommend that you read our management’s discussion and analysis and our audited financial statements and the notes thereto, which appear in our Annual Report on Form 20-F for the year ended December 31, 2018 on file with the U.S. Securities and Exchange Commission (the “SEC”).</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August 14,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AC Immune generated revenues of CHF 1.5 million in the three months ended June 30, 2019, a decrease of CHF 0.5 million over the comparable period in 2018. AC Immune generated revenues of CHF 76.6 million in the six months ended June 30, 2019, an increase of CHF 73.1 million over the comparable period in 2018. The following table summarizes our revenues during the three and six months ended June 30, 2019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9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13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2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4320" w:type="dxa"/>
            <w:vAlign w:val="bottom"/>
            <w:gridSpan w:val="6"/>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r>
      <w:tr>
        <w:trPr>
          <w:trHeight w:val="23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1,511</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4"/>
        </w:trPr>
        <w:tc>
          <w:tcPr>
            <w:tcW w:w="7100" w:type="dxa"/>
            <w:vAlign w:val="bottom"/>
          </w:tcPr>
          <w:p>
            <w:pPr>
              <w:spacing w:after="0"/>
              <w:rPr>
                <w:sz w:val="24"/>
                <w:szCs w:val="24"/>
                <w:color w:val="auto"/>
              </w:rPr>
            </w:pPr>
          </w:p>
        </w:tc>
        <w:tc>
          <w:tcPr>
            <w:tcW w:w="2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For the Six Months</w:t>
            </w:r>
          </w:p>
        </w:tc>
        <w:tc>
          <w:tcPr>
            <w:tcW w:w="1360" w:type="dxa"/>
            <w:vAlign w:val="bottom"/>
          </w:tcPr>
          <w:p>
            <w:pPr>
              <w:spacing w:after="0"/>
              <w:rPr>
                <w:sz w:val="24"/>
                <w:szCs w:val="24"/>
                <w:color w:val="auto"/>
              </w:rPr>
            </w:pPr>
          </w:p>
        </w:tc>
      </w:tr>
      <w:tr>
        <w:trPr>
          <w:trHeight w:val="234"/>
        </w:trPr>
        <w:tc>
          <w:tcPr>
            <w:tcW w:w="710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9"/>
              </w:rPr>
              <w:t>Ended 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4320" w:type="dxa"/>
            <w:vAlign w:val="bottom"/>
            <w:gridSpan w:val="6"/>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r>
      <w:tr>
        <w:trPr>
          <w:trHeight w:val="23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76,553</w:t>
            </w:r>
          </w:p>
        </w:tc>
        <w:tc>
          <w:tcPr>
            <w:tcW w:w="140" w:type="dxa"/>
            <w:vAlign w:val="bottom"/>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8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73,067</w:t>
            </w: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76,553</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3,486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73,067</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For the three months ended June 30, 2019, the decrease in collaboration revenues compared to the three months ended June 30, 2018 was principally due to recognition of a CHF 1.2 million for Biogen in 2018 that decreased to CHF 0.1 million in 2019 as the collaboration concluded in April 2019. This decrease was offset by CHF 0.4 million recognized for research and development activities associated with our agreement with Lilly to research and develop tau morphomer molecules for the potential treatment of Alzheimer's disease (AD) and other neurodegenerative diseases.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60" w:firstLine="324"/>
        <w:spacing w:after="0" w:line="259" w:lineRule="auto"/>
        <w:rPr>
          <w:sz w:val="20"/>
          <w:szCs w:val="20"/>
          <w:color w:val="auto"/>
        </w:rPr>
      </w:pPr>
      <w:r>
        <w:rPr>
          <w:rFonts w:ascii="Arial" w:cs="Arial" w:eastAsia="Arial" w:hAnsi="Arial"/>
          <w:sz w:val="18"/>
          <w:szCs w:val="18"/>
          <w:color w:val="auto"/>
        </w:rPr>
        <w:t>For the six months ended June 30, 2019, the increase in collaboration revenues compared to the six months ended June 30, 2018 was principally due to recognition of a CHF 73.1 million upfront payment for a right-of-use license fee and CHF 1.2 million for research and development activities associated with our agreement to research and develop tau morphomer molecules for the potential treatment of Alzheimer's disease (AD) and other neurodegenerative diseases. There were no similar revenue generating activities in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for both of our Genentech collaborations. From Phase 2b and onwards, Janssen will assume responsibility for the clinical development, manufacturing and commercialization of selected second generation vaccines.</w:t>
      </w:r>
    </w:p>
    <w:p>
      <w:pPr>
        <w:spacing w:after="0" w:line="173"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For the three and six months ended June 30, 2019, research and development expenses totaled CHF 12.7 million and CHF 24.3 million compared with CHF 10.5 million and CHF 20.6 million for the comparable periods in 2018, respectively. This represents an increase of CHF 2.2 million and CHF 3.7 million, respectively. The following table presents the research and development expenses during the three and six months ended June 30, 2019 and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9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2"/>
              </w:rPr>
              <w:t>For the Three Months</w:t>
            </w:r>
          </w:p>
        </w:tc>
        <w:tc>
          <w:tcPr>
            <w:tcW w:w="13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2960" w:type="dxa"/>
            <w:vAlign w:val="bottom"/>
            <w:gridSpan w:val="4"/>
          </w:tcPr>
          <w:p>
            <w:pPr>
              <w:ind w:left="840"/>
              <w:spacing w:after="0"/>
              <w:rPr>
                <w:sz w:val="20"/>
                <w:szCs w:val="20"/>
                <w:color w:val="auto"/>
              </w:rPr>
            </w:pPr>
            <w:r>
              <w:rPr>
                <w:rFonts w:ascii="Arial" w:cs="Arial" w:eastAsia="Arial" w:hAnsi="Arial"/>
                <w:sz w:val="18"/>
                <w:szCs w:val="18"/>
                <w:b w:val="1"/>
                <w:bCs w:val="1"/>
                <w:color w:val="auto"/>
              </w:rPr>
              <w:t>Ended June 30,</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43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9,412</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7,698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1,714</w:t>
            </w: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3,288</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12,700</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10,533</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2,167</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4"/>
        </w:trPr>
        <w:tc>
          <w:tcPr>
            <w:tcW w:w="7100" w:type="dxa"/>
            <w:vAlign w:val="bottom"/>
          </w:tcPr>
          <w:p>
            <w:pPr>
              <w:spacing w:after="0"/>
              <w:rPr>
                <w:sz w:val="24"/>
                <w:szCs w:val="24"/>
                <w:color w:val="auto"/>
              </w:rPr>
            </w:pPr>
          </w:p>
        </w:tc>
        <w:tc>
          <w:tcPr>
            <w:tcW w:w="29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For the Six Months</w:t>
            </w:r>
          </w:p>
        </w:tc>
        <w:tc>
          <w:tcPr>
            <w:tcW w:w="1360" w:type="dxa"/>
            <w:vAlign w:val="bottom"/>
          </w:tcPr>
          <w:p>
            <w:pPr>
              <w:spacing w:after="0"/>
              <w:rPr>
                <w:sz w:val="24"/>
                <w:szCs w:val="24"/>
                <w:color w:val="auto"/>
              </w:rPr>
            </w:pPr>
          </w:p>
        </w:tc>
      </w:tr>
      <w:tr>
        <w:trPr>
          <w:trHeight w:val="234"/>
        </w:trPr>
        <w:tc>
          <w:tcPr>
            <w:tcW w:w="7100" w:type="dxa"/>
            <w:vAlign w:val="bottom"/>
          </w:tcPr>
          <w:p>
            <w:pPr>
              <w:spacing w:after="0"/>
              <w:rPr>
                <w:sz w:val="20"/>
                <w:szCs w:val="20"/>
                <w:color w:val="auto"/>
              </w:rPr>
            </w:pPr>
          </w:p>
        </w:tc>
        <w:tc>
          <w:tcPr>
            <w:tcW w:w="2960" w:type="dxa"/>
            <w:vAlign w:val="bottom"/>
            <w:gridSpan w:val="4"/>
          </w:tcPr>
          <w:p>
            <w:pPr>
              <w:ind w:left="840"/>
              <w:spacing w:after="0"/>
              <w:rPr>
                <w:sz w:val="20"/>
                <w:szCs w:val="20"/>
                <w:color w:val="auto"/>
              </w:rPr>
            </w:pPr>
            <w:r>
              <w:rPr>
                <w:rFonts w:ascii="Arial" w:cs="Arial" w:eastAsia="Arial" w:hAnsi="Arial"/>
                <w:sz w:val="18"/>
                <w:szCs w:val="18"/>
                <w:b w:val="1"/>
                <w:bCs w:val="1"/>
                <w:color w:val="auto"/>
              </w:rPr>
              <w:t>Ended June 30,</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43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17,865</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15,233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2,632</w:t>
            </w: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6,428</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1,057</w:t>
            </w: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24,293</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20,604</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3,689</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-154940</wp:posOffset>
            </wp:positionV>
            <wp:extent cx="274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share-based compensation expense</w:t>
      </w:r>
    </w:p>
    <w:p>
      <w:pPr>
        <w:spacing w:after="0" w:line="22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increase in research and development programs is primarily driven by increased investments in our Anti-Tau vaccines for the treatment of AD and our Tau Morphomers small molecules. The following tables present the research and development expenses by our major development programs during the three and six months ended June 30, 2019 and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960" w:type="dxa"/>
            <w:vAlign w:val="bottom"/>
            <w:gridSpan w:val="4"/>
          </w:tcPr>
          <w:p>
            <w:pPr>
              <w:ind w:left="540"/>
              <w:spacing w:after="0"/>
              <w:rPr>
                <w:sz w:val="20"/>
                <w:szCs w:val="20"/>
                <w:color w:val="auto"/>
              </w:rPr>
            </w:pPr>
            <w:r>
              <w:rPr>
                <w:rFonts w:ascii="Arial" w:cs="Arial" w:eastAsia="Arial" w:hAnsi="Arial"/>
                <w:sz w:val="18"/>
                <w:szCs w:val="18"/>
                <w:b w:val="1"/>
                <w:bCs w:val="1"/>
                <w:color w:val="auto"/>
              </w:rPr>
              <w:t>For the Three Months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60" w:type="dxa"/>
            <w:vAlign w:val="bottom"/>
            <w:gridSpan w:val="4"/>
          </w:tcPr>
          <w:p>
            <w:pPr>
              <w:ind w:left="840"/>
              <w:spacing w:after="0"/>
              <w:rPr>
                <w:sz w:val="20"/>
                <w:szCs w:val="20"/>
                <w:color w:val="auto"/>
              </w:rPr>
            </w:pPr>
            <w:r>
              <w:rPr>
                <w:rFonts w:ascii="Arial" w:cs="Arial" w:eastAsia="Arial" w:hAnsi="Arial"/>
                <w:sz w:val="18"/>
                <w:szCs w:val="18"/>
                <w:b w:val="1"/>
                <w:bCs w:val="1"/>
                <w:color w:val="auto"/>
              </w:rPr>
              <w:t>Ended June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3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c>
          <w:tcPr>
            <w:tcW w:w="0" w:type="dxa"/>
            <w:vAlign w:val="bottom"/>
          </w:tcPr>
          <w:p>
            <w:pPr>
              <w:spacing w:after="0"/>
              <w:rPr>
                <w:sz w:val="1"/>
                <w:szCs w:val="1"/>
                <w:color w:val="auto"/>
              </w:rPr>
            </w:pPr>
          </w:p>
        </w:tc>
      </w:tr>
      <w:tr>
        <w:trPr>
          <w:trHeight w:val="216"/>
        </w:trPr>
        <w:tc>
          <w:tcPr>
            <w:tcW w:w="536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31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4,571</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Non-Alzheimer’s diseases</w:t>
            </w:r>
          </w:p>
        </w:tc>
        <w:tc>
          <w:tcPr>
            <w:tcW w:w="3120" w:type="dxa"/>
            <w:vAlign w:val="bottom"/>
            <w:gridSpan w:val="2"/>
          </w:tcPr>
          <w:p>
            <w:pPr>
              <w:jc w:val="right"/>
              <w:ind w:right="3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536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31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New discovery programs</w:t>
            </w:r>
          </w:p>
        </w:tc>
        <w:tc>
          <w:tcPr>
            <w:tcW w:w="3120" w:type="dxa"/>
            <w:vAlign w:val="bottom"/>
            <w:gridSpan w:val="2"/>
          </w:tcPr>
          <w:p>
            <w:pPr>
              <w:jc w:val="right"/>
              <w:ind w:right="30"/>
              <w:spacing w:after="0"/>
              <w:rPr>
                <w:sz w:val="20"/>
                <w:szCs w:val="20"/>
                <w:color w:val="auto"/>
              </w:rPr>
            </w:pPr>
            <w:r>
              <w:rPr>
                <w:rFonts w:ascii="Arial" w:cs="Arial" w:eastAsia="Arial" w:hAnsi="Arial"/>
                <w:sz w:val="18"/>
                <w:szCs w:val="18"/>
                <w:color w:val="auto"/>
              </w:rPr>
              <w:t>2,838</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0"/>
        </w:trPr>
        <w:tc>
          <w:tcPr>
            <w:tcW w:w="53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174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8,804</w:t>
            </w:r>
          </w:p>
        </w:tc>
        <w:tc>
          <w:tcPr>
            <w:tcW w:w="14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7,198</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1,606</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w w:val="92"/>
              </w:rPr>
              <w:t>Research and development expenses not allocated to specific programs</w:t>
            </w:r>
          </w:p>
        </w:tc>
        <w:tc>
          <w:tcPr>
            <w:tcW w:w="174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3,896</w:t>
            </w:r>
          </w:p>
        </w:tc>
        <w:tc>
          <w:tcPr>
            <w:tcW w:w="14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tcBorders>
              <w:bottom w:val="single" w:sz="8" w:color="D5EAEA"/>
            </w:tcBorders>
            <w:shd w:val="clear" w:color="auto" w:fill="D5EAEA"/>
          </w:tcPr>
          <w:p>
            <w:pPr>
              <w:spacing w:after="0"/>
              <w:rPr>
                <w:sz w:val="19"/>
                <w:szCs w:val="19"/>
                <w:color w:val="auto"/>
              </w:rPr>
            </w:pP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12,700</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10,533</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2,167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740" w:type="dxa"/>
            <w:vAlign w:val="bottom"/>
            <w:vMerge w:val="restart"/>
          </w:tcPr>
          <w:p>
            <w:pPr>
              <w:jc w:val="right"/>
              <w:ind w:right="1230"/>
              <w:spacing w:after="0"/>
              <w:rPr>
                <w:sz w:val="20"/>
                <w:szCs w:val="20"/>
                <w:color w:val="auto"/>
              </w:rPr>
            </w:pPr>
            <w:r>
              <w:rPr>
                <w:rFonts w:ascii="Arial" w:cs="Arial" w:eastAsia="Arial" w:hAnsi="Arial"/>
                <w:sz w:val="18"/>
                <w:szCs w:val="18"/>
                <w:color w:val="auto"/>
              </w:rPr>
              <w:t>25</w:t>
            </w: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960" w:type="dxa"/>
            <w:vAlign w:val="bottom"/>
            <w:gridSpan w:val="4"/>
          </w:tcPr>
          <w:p>
            <w:pPr>
              <w:ind w:left="640"/>
              <w:spacing w:after="0"/>
              <w:rPr>
                <w:sz w:val="20"/>
                <w:szCs w:val="20"/>
                <w:color w:val="auto"/>
              </w:rPr>
            </w:pPr>
            <w:r>
              <w:rPr>
                <w:rFonts w:ascii="Arial" w:cs="Arial" w:eastAsia="Arial" w:hAnsi="Arial"/>
                <w:sz w:val="18"/>
                <w:szCs w:val="18"/>
                <w:b w:val="1"/>
                <w:bCs w:val="1"/>
                <w:color w:val="auto"/>
              </w:rPr>
              <w:t>For the Six Months</w:t>
            </w:r>
          </w:p>
        </w:tc>
        <w:tc>
          <w:tcPr>
            <w:tcW w:w="13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2960" w:type="dxa"/>
            <w:vAlign w:val="bottom"/>
            <w:gridSpan w:val="4"/>
          </w:tcPr>
          <w:p>
            <w:pPr>
              <w:ind w:left="840"/>
              <w:spacing w:after="0"/>
              <w:rPr>
                <w:sz w:val="20"/>
                <w:szCs w:val="20"/>
                <w:color w:val="auto"/>
              </w:rPr>
            </w:pPr>
            <w:r>
              <w:rPr>
                <w:rFonts w:ascii="Arial" w:cs="Arial" w:eastAsia="Arial" w:hAnsi="Arial"/>
                <w:sz w:val="18"/>
                <w:szCs w:val="18"/>
                <w:b w:val="1"/>
                <w:bCs w:val="1"/>
                <w:color w:val="auto"/>
              </w:rPr>
              <w:t>Ended June 30,</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43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8,672</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977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923</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5,140</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16,560</w:t>
            </w:r>
          </w:p>
        </w:tc>
        <w:tc>
          <w:tcPr>
            <w:tcW w:w="14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14,336</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2,224</w:t>
            </w:r>
          </w:p>
        </w:tc>
      </w:tr>
      <w:tr>
        <w:trPr>
          <w:trHeight w:val="21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Research and development expenses not allocated to specific programs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7,733</w:t>
            </w:r>
          </w:p>
        </w:tc>
        <w:tc>
          <w:tcPr>
            <w:tcW w:w="14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1,465</w:t>
            </w: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24,293</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20,604</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3,689</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CHF 0.6 million increase in investments in Alzheimer’s disease programs for the three months ended June 30, 2019 predominantly relates to a CHF 0.2 million increase for the preparation of the Phase 1b/2a study for ACI-35 and advancement of the vaccine through the development plan as well as a CHF</w:t>
      </w:r>
    </w:p>
    <w:p>
      <w:pPr>
        <w:ind w:right="100"/>
        <w:spacing w:after="0" w:line="252" w:lineRule="auto"/>
        <w:rPr>
          <w:sz w:val="20"/>
          <w:szCs w:val="20"/>
          <w:color w:val="auto"/>
        </w:rPr>
      </w:pPr>
      <w:r>
        <w:rPr>
          <w:rFonts w:ascii="Arial" w:cs="Arial" w:eastAsia="Arial" w:hAnsi="Arial"/>
          <w:sz w:val="18"/>
          <w:szCs w:val="18"/>
          <w:color w:val="auto"/>
        </w:rPr>
        <w:t>0.4 million increase for ACI-24 AD related to the preparation of the Phase 2 study. The CHF 0.5 million increase in non-Alzheimer’s disease programs predominantly relates to a CHF 0.3 million increase for preclinical activities associated with our morphomer alpha-synuclein program and a CHF 0.2 million increase in ACI-24 in Down Syndrome related to increased manufacturing activities and preparation of the Phase 2 study. The CHF 0.7 million in new discovery programs is driven by a CHF 0.3 million increase for our TDP-43 antibody related to a proof of concept study, a CHF 0.4 million increase for manufacturing activities for our anti-a-Synuclein antibody and a CHF 0.3 million increase for research in our neuroinflammation discovery programs. This was offset by a CHF 0.3 million decrease in other programs.</w:t>
      </w:r>
    </w:p>
    <w:p>
      <w:pPr>
        <w:spacing w:after="0" w:line="19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CHF 1.0 million increase in investments in Alzheimer’s disease programs for the six months ended June 30, 2019 predominantly relates to a CHF 0.9 million increase for the preparation of the Phase 1b/2a study for ACI-35 and advancement of the vaccine through the development plan. The CHF 0.7 million increase in non-Alzheimer’s disease programs predominantly relates to a CHF 0.5 million increase for preclinical activities associated with our morphomer alpha-synuclein program and a CHF 0.2 million increase in ACI-24 in Down Syndrome related to increased manufacturing activities and preparation of the Phase 2 study. The CHF 0.8 million in new discovery programs is driven by a CHF 0.3 million increase for our TDP-43 antibody related to a proof of concept study, a CHF 0.3 million increase for research activities for our anti-a-Synuclein antibody and CHF 0.5 million increase for research in our neuroinflammation discovery programs. This was offset by a CHF 0.3 million decrease in other programs.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including legal and accounting related services and other operating expenses.</w:t>
      </w:r>
    </w:p>
    <w:p>
      <w:pPr>
        <w:spacing w:after="0" w:line="170" w:lineRule="exact"/>
        <w:rPr>
          <w:sz w:val="20"/>
          <w:szCs w:val="20"/>
          <w:color w:val="auto"/>
        </w:rPr>
      </w:pPr>
    </w:p>
    <w:p>
      <w:pPr>
        <w:jc w:val="both"/>
        <w:ind w:right="360" w:firstLine="324"/>
        <w:spacing w:after="0" w:line="312" w:lineRule="auto"/>
        <w:rPr>
          <w:sz w:val="20"/>
          <w:szCs w:val="20"/>
          <w:color w:val="auto"/>
        </w:rPr>
      </w:pPr>
      <w:r>
        <w:rPr>
          <w:rFonts w:ascii="Arial" w:cs="Arial" w:eastAsia="Arial" w:hAnsi="Arial"/>
          <w:sz w:val="16"/>
          <w:szCs w:val="16"/>
          <w:color w:val="auto"/>
        </w:rPr>
        <w:t>For the three and six months ended June 30, 2019, general and administrative expenses amounted to CHF 3.6 million and CHF 6.9 million compared with CHF 3.1 million and CHF 5.8 million for the comparable periods in 2018, respectively. This represents an increase of CHF 0.5 million and CHF 1.1 million, respectively. The increase is predominantly associated with increases in our payroll expense due to an increase from 15 to 19 FTEs.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ind w:right="120" w:firstLine="324"/>
        <w:spacing w:after="0" w:line="276" w:lineRule="auto"/>
        <w:rPr>
          <w:sz w:val="20"/>
          <w:szCs w:val="20"/>
          <w:color w:val="auto"/>
        </w:rPr>
      </w:pPr>
      <w:r>
        <w:rPr>
          <w:rFonts w:ascii="Arial" w:cs="Arial" w:eastAsia="Arial" w:hAnsi="Arial"/>
          <w:sz w:val="17"/>
          <w:szCs w:val="17"/>
          <w:color w:val="auto"/>
        </w:rPr>
        <w:t>For the three months ended June 30, 2019, there was a CHF 0.3 million increase in rental and IT related expenditures offset by a decrease of CHF 0.1 million for professional services. For the six months ended June 30, 2019, there was a CHF 0.7 million increase in rental and IT related expenditures and a CHF 0.3 million increase in investor relations offset by a decrease of CHF 0.2 million for professional services. The remaining CHF 0.3 million increase for the three and six months ended June 30, 2019 are across various other categories and immaterial. The following tables present the general and administrative expenses for the three and six months ended June 30,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960" w:type="dxa"/>
            <w:vAlign w:val="bottom"/>
            <w:gridSpan w:val="4"/>
          </w:tcPr>
          <w:p>
            <w:pPr>
              <w:ind w:left="540"/>
              <w:spacing w:after="0"/>
              <w:rPr>
                <w:sz w:val="20"/>
                <w:szCs w:val="20"/>
                <w:color w:val="auto"/>
              </w:rPr>
            </w:pPr>
            <w:r>
              <w:rPr>
                <w:rFonts w:ascii="Arial" w:cs="Arial" w:eastAsia="Arial" w:hAnsi="Arial"/>
                <w:sz w:val="18"/>
                <w:szCs w:val="18"/>
                <w:b w:val="1"/>
                <w:bCs w:val="1"/>
                <w:color w:val="auto"/>
              </w:rPr>
              <w:t>For the Three Months</w:t>
            </w:r>
          </w:p>
        </w:tc>
        <w:tc>
          <w:tcPr>
            <w:tcW w:w="13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2960" w:type="dxa"/>
            <w:vAlign w:val="bottom"/>
            <w:gridSpan w:val="4"/>
          </w:tcPr>
          <w:p>
            <w:pPr>
              <w:ind w:left="840"/>
              <w:spacing w:after="0"/>
              <w:rPr>
                <w:sz w:val="20"/>
                <w:szCs w:val="20"/>
                <w:color w:val="auto"/>
              </w:rPr>
            </w:pPr>
            <w:r>
              <w:rPr>
                <w:rFonts w:ascii="Arial" w:cs="Arial" w:eastAsia="Arial" w:hAnsi="Arial"/>
                <w:sz w:val="18"/>
                <w:szCs w:val="18"/>
                <w:b w:val="1"/>
                <w:bCs w:val="1"/>
                <w:color w:val="auto"/>
              </w:rPr>
              <w:t>Ended June 30,</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43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205</w:t>
            </w: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2,209</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3,585</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3,065</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520</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4"/>
        </w:trPr>
        <w:tc>
          <w:tcPr>
            <w:tcW w:w="7100" w:type="dxa"/>
            <w:vAlign w:val="bottom"/>
          </w:tcPr>
          <w:p>
            <w:pPr>
              <w:spacing w:after="0"/>
              <w:rPr>
                <w:sz w:val="24"/>
                <w:szCs w:val="24"/>
                <w:color w:val="auto"/>
              </w:rPr>
            </w:pPr>
          </w:p>
        </w:tc>
        <w:tc>
          <w:tcPr>
            <w:tcW w:w="2960" w:type="dxa"/>
            <w:vAlign w:val="bottom"/>
            <w:gridSpan w:val="4"/>
          </w:tcPr>
          <w:p>
            <w:pPr>
              <w:ind w:left="540"/>
              <w:spacing w:after="0"/>
              <w:rPr>
                <w:sz w:val="20"/>
                <w:szCs w:val="20"/>
                <w:color w:val="auto"/>
              </w:rPr>
            </w:pPr>
            <w:r>
              <w:rPr>
                <w:rFonts w:ascii="Arial" w:cs="Arial" w:eastAsia="Arial" w:hAnsi="Arial"/>
                <w:sz w:val="18"/>
                <w:szCs w:val="18"/>
                <w:b w:val="1"/>
                <w:bCs w:val="1"/>
                <w:color w:val="auto"/>
              </w:rPr>
              <w:t>For the Three Months</w:t>
            </w:r>
          </w:p>
        </w:tc>
        <w:tc>
          <w:tcPr>
            <w:tcW w:w="1360" w:type="dxa"/>
            <w:vAlign w:val="bottom"/>
          </w:tcPr>
          <w:p>
            <w:pPr>
              <w:spacing w:after="0"/>
              <w:rPr>
                <w:sz w:val="24"/>
                <w:szCs w:val="24"/>
                <w:color w:val="auto"/>
              </w:rPr>
            </w:pPr>
          </w:p>
        </w:tc>
      </w:tr>
      <w:tr>
        <w:trPr>
          <w:trHeight w:val="234"/>
        </w:trPr>
        <w:tc>
          <w:tcPr>
            <w:tcW w:w="7100" w:type="dxa"/>
            <w:vAlign w:val="bottom"/>
          </w:tcPr>
          <w:p>
            <w:pPr>
              <w:spacing w:after="0"/>
              <w:rPr>
                <w:sz w:val="20"/>
                <w:szCs w:val="20"/>
                <w:color w:val="auto"/>
              </w:rPr>
            </w:pPr>
          </w:p>
        </w:tc>
        <w:tc>
          <w:tcPr>
            <w:tcW w:w="2960" w:type="dxa"/>
            <w:vAlign w:val="bottom"/>
            <w:gridSpan w:val="4"/>
          </w:tcPr>
          <w:p>
            <w:pPr>
              <w:ind w:left="840"/>
              <w:spacing w:after="0"/>
              <w:rPr>
                <w:sz w:val="20"/>
                <w:szCs w:val="20"/>
                <w:color w:val="auto"/>
              </w:rPr>
            </w:pPr>
            <w:r>
              <w:rPr>
                <w:rFonts w:ascii="Arial" w:cs="Arial" w:eastAsia="Arial" w:hAnsi="Arial"/>
                <w:sz w:val="18"/>
                <w:szCs w:val="18"/>
                <w:b w:val="1"/>
                <w:bCs w:val="1"/>
                <w:color w:val="auto"/>
              </w:rPr>
              <w:t>Ended June 30,</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43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2,796</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669</w:t>
            </w: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4,083</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6,879</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5,770</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1,109</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-154940</wp:posOffset>
            </wp:positionV>
            <wp:extent cx="2744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340" w:right="7920" w:hanging="332"/>
        <w:spacing w:after="0" w:line="50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Includes share-based compensation expense </w:t>
      </w:r>
      <w:r>
        <w:rPr>
          <w:rFonts w:ascii="Arial" w:cs="Arial" w:eastAsia="Arial" w:hAnsi="Arial"/>
          <w:sz w:val="18"/>
          <w:szCs w:val="18"/>
          <w:i w:val="1"/>
          <w:iCs w:val="1"/>
          <w:color w:val="auto"/>
        </w:rPr>
        <w:t>Finance result, net</w:t>
      </w: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presents the net financial income and expenses during the three and six months ended June 30, 2019 and 2018:</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1360" w:type="dxa"/>
            <w:vAlign w:val="bottom"/>
          </w:tcPr>
          <w:p>
            <w:pPr>
              <w:spacing w:after="0"/>
              <w:rPr>
                <w:sz w:val="18"/>
                <w:szCs w:val="18"/>
                <w:color w:val="auto"/>
              </w:rPr>
            </w:pPr>
          </w:p>
        </w:tc>
      </w:tr>
      <w:tr>
        <w:trPr>
          <w:trHeight w:val="234"/>
        </w:trPr>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6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195"/>
        </w:trPr>
        <w:tc>
          <w:tcPr>
            <w:tcW w:w="4320" w:type="dxa"/>
            <w:vAlign w:val="bottom"/>
            <w:gridSpan w:val="5"/>
          </w:tcPr>
          <w:p>
            <w:pPr>
              <w:jc w:val="right"/>
              <w:ind w:right="870"/>
              <w:spacing w:after="0" w:line="195" w:lineRule="exact"/>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138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16"/>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3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(2,125)</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4"/>
        </w:trPr>
        <w:tc>
          <w:tcPr>
            <w:tcW w:w="29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For the Six Months</w:t>
            </w:r>
          </w:p>
        </w:tc>
        <w:tc>
          <w:tcPr>
            <w:tcW w:w="1360" w:type="dxa"/>
            <w:vAlign w:val="bottom"/>
          </w:tcPr>
          <w:p>
            <w:pPr>
              <w:spacing w:after="0"/>
              <w:rPr>
                <w:sz w:val="24"/>
                <w:szCs w:val="24"/>
                <w:color w:val="auto"/>
              </w:rPr>
            </w:pPr>
          </w:p>
        </w:tc>
      </w:tr>
      <w:tr>
        <w:trPr>
          <w:trHeight w:val="234"/>
        </w:trPr>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Ended June 30,</w:t>
            </w:r>
          </w:p>
        </w:tc>
        <w:tc>
          <w:tcPr>
            <w:tcW w:w="136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195"/>
        </w:trPr>
        <w:tc>
          <w:tcPr>
            <w:tcW w:w="4320" w:type="dxa"/>
            <w:vAlign w:val="bottom"/>
            <w:gridSpan w:val="5"/>
          </w:tcPr>
          <w:p>
            <w:pPr>
              <w:jc w:val="right"/>
              <w:ind w:right="870"/>
              <w:spacing w:after="0" w:line="195" w:lineRule="exact"/>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1380" w:type="dxa"/>
            <w:vAlign w:val="bottom"/>
          </w:tcPr>
          <w:p>
            <w:pPr>
              <w:jc w:val="right"/>
              <w:spacing w:after="0"/>
              <w:rPr>
                <w:sz w:val="20"/>
                <w:szCs w:val="20"/>
                <w:color w:val="auto"/>
              </w:rPr>
            </w:pPr>
            <w:r>
              <w:rPr>
                <w:rFonts w:ascii="Arial" w:cs="Arial" w:eastAsia="Arial" w:hAnsi="Arial"/>
                <w:sz w:val="18"/>
                <w:szCs w:val="18"/>
                <w:color w:val="auto"/>
              </w:rPr>
              <w:t>(1,601)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16"/>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4,542</w:t>
            </w: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4,542</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1,293</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1,160</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-2357755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-2083435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-1800225</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-736600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-462280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-179705</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584" w:right="239" w:bottom="1440" w:gutter="0" w:footer="0" w:header="0"/>
          <w:type w:val="continuous"/>
        </w:sectPr>
      </w:pPr>
    </w:p>
    <w:p>
      <w:pPr>
        <w:spacing w:after="0" w:line="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the three and six months ended June 30, 2019 and 2018, the Company reported CHF 2.1 million in net financial losses and CHF 1.3 million in net financial gains compared with CHF 0.4 million and CHF 0.1 million in net financial gains for the comparable periods in 2018, respectively. This represents a difference of CHF 2.6 million and CHF 1.2 million, respectively.</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key drivers for the financial losses during the three months ended June 30, 2019 relate to an increase of 0.4 million in effective interest to amortize the host debt for the convertible loan. The Company also recorded a CHF 1.2</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7" w:name="page28"/>
    <w:bookmarkEnd w:id="27"/>
    <w:p>
      <w:pPr>
        <w:jc w:val="both"/>
        <w:ind w:right="20"/>
        <w:spacing w:after="0" w:line="264" w:lineRule="auto"/>
        <w:rPr>
          <w:sz w:val="20"/>
          <w:szCs w:val="20"/>
          <w:color w:val="auto"/>
        </w:rPr>
      </w:pPr>
      <w:r>
        <w:rPr>
          <w:rFonts w:ascii="Arial" w:cs="Arial" w:eastAsia="Arial" w:hAnsi="Arial"/>
          <w:sz w:val="18"/>
          <w:szCs w:val="18"/>
          <w:color w:val="auto"/>
        </w:rPr>
        <w:t>million loss associated with the revaluation of the convertible loan prior to its settlement in April 2019. Finally, as the USD weakened against the Swiss Franc through the second quarter, the Company recorded a CHF 0.5 million foreign currency loss compared to a 0.4 million foreign currency gain in the comparable period.</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The key drivers for the financial gains during the six months ended June 30, 2019 relate to a CHF 4.5 million change in the fair value of the conversion feature for the convertible loan due to Lilly. This gain was offset by CHF 1.6 million in interest expense, of which CHF 1.4 million is effective interest to amortize the host debt for the convertible loan. The Company also recorded a CHF 1.2 million loss associated with the revaluation of the convertible loan prior to its settlement in April 2019. Finally, as the USD weakened against the Swiss Franc through the second quarter, the Company recorded a CHF 0.6 million foreign currency loss compared to a 0.2 million foreign currency gain in the comparable period.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As of June 30, 2019, we had cash and cash equivalents of CHF 206 million and short-term financial assets of CHF 80 million for a total liquidity balance of CHF 286 million.</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trade and other payables and accrued expenses. We expect to incur expenses in connection with a number of our product candidates in various stages of clinical development including co-funding ACI-35 to the end of the Phase 1b/2a clinical study, expenditures for clinical activities in accordance with our agreement with Lilly, ACI-24 in AD and ACI-24 in Down syndrome, our PET tracer candidates focused on alpha-synuclein and TDP-43 and a number of research initiatives focused on neurodegenerative orphan diseases other than AD.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plan to continue to fund our operating and capital funding needs through proceeds received from licensing and collaboration agreements and through equity or other forms of financing. We may also consider entering into additional collaboration agreements and selectively partnering for clinical development and commercialization.</w:t>
      </w:r>
    </w:p>
    <w:p>
      <w:pPr>
        <w:sectPr>
          <w:pgSz w:w="11900" w:h="16838" w:orient="portrait"/>
          <w:cols w:equalWidth="0" w:num="1">
            <w:col w:w="11420"/>
          </w:cols>
          <w:pgMar w:left="240" w:top="584" w:right="239"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For the Six Months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8180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left="520"/>
        <w:spacing w:after="0"/>
        <w:tabs>
          <w:tab w:leader="none" w:pos="1980" w:val="left"/>
          <w:tab w:leader="none" w:pos="33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Change</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744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50,949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(20,481)</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71,430</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(50,850)</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(49,280)</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49,732</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49,589</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49,831</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(21,908)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71,739</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380" w:space="720"/>
            <w:col w:w="4320"/>
          </w:cols>
          <w:pgMar w:left="240" w:top="584" w:right="239" w:bottom="1440" w:gutter="0" w:footer="0" w:header="0"/>
          <w:type w:val="continuous"/>
        </w:sectPr>
      </w:pPr>
    </w:p>
    <w:p>
      <w:pPr>
        <w:spacing w:after="0" w:line="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Net cash provided by operating activities was CHF 50.9 million for the six months ended June 30, 2019 compared with net cash used in operating activities of CHF 20.5 million for the six months ended June 30, 2018. The change in cash provided by operating activities for the six months ended June 30, 2019 was due to the Company’s reporting net income of CHF 46.7 million for the six months ended June 30, 2019 compared with net loss of CHF 22.8 million for the same period in 2018 driven by (i) an increase of CHF 73.1 million in revenues principally due to recognition of a CHF 73.1 million upfront payment for a right-of-use license fee and CHF 1.2 million for research and development activities associated with our agreement with Lilly (ii) offset by the increase in research and development costs in the six months ended June 30, 2019.</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Net cash used in investing activities rose to CHF 50.9 million for the six months ended June 30, 2019 compared with net cash used in investing activities of CHF 1.6 million for the six months ended June 30, 2018 due to CHF 50.0 million increase in fixed-term deposits with maturities of six to 12 months as well as a CHF 0.9 million investment in capital expenditures to strengthen our manufacturing and research infrastructure.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Net cash provided by financing activities was CHF 49.7 million for the six months ended June 30, 2019 compared with net cash provided by financing activities of CHF 0.1 million for the six months ended June 30, 2018. The increase of CHF 49.6 million is predominantly related to CHF 50.3 million received from Lilly for a convertible loan offset by CHF 0.5 million for transaction costs associated with loan settlement.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successfully commercialize, our current or any future product candidates. As of June 30, 2019, we had cash and cash equivalents of CHF 206 million and short-term financial assets of CHF 80 million totaling CHF 286 million in liquidity. The increase relative to December 31, 2018 is due to the receipt of a CHF 80 million upfront payment from Lilly as well as USD 50 (CHF 50.3) million in consideration for the convertible note agreement. These increases in cash receipts were offset by an increase in research and development spending on our major discovery, research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third quarter of 2023.</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2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cost and timing of managing, protecting, defending and enforcing our portfolio of intellectual property.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During the three and six months ended June 30, 2019,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(i) we have more than USD 1.07 billion in annual revenue, ii) we are deemed to be a “large accelerated filer” under the rules of the SEC, which means the market value of our common shares that are held by non-affiliates exceeds USD 700 million as of the most recently completed second fiscal quarter, or (iii) we have issued more than USD 1.0 billion in non-convertible debt during the prior three-year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For the Three Months</w:t>
            </w:r>
          </w:p>
        </w:tc>
        <w:tc>
          <w:tcPr>
            <w:tcW w:w="28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0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Ended June 30,</w:t>
            </w:r>
          </w:p>
        </w:tc>
        <w:tc>
          <w:tcPr>
            <w:tcW w:w="28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800" w:type="dxa"/>
            <w:vAlign w:val="bottom"/>
            <w:gridSpan w:val="7"/>
          </w:tcPr>
          <w:p>
            <w:pPr>
              <w:jc w:val="right"/>
              <w:ind w:right="67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Income/(Loss)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(16,899)</w:t>
            </w:r>
          </w:p>
        </w:tc>
        <w:tc>
          <w:tcPr>
            <w:tcW w:w="120" w:type="dxa"/>
            <w:vAlign w:val="bottom"/>
            <w:shd w:val="clear" w:color="auto" w:fill="D5EAEA"/>
          </w:tcPr>
          <w:p>
            <w:pPr>
              <w:spacing w:after="0"/>
              <w:rPr>
                <w:sz w:val="19"/>
                <w:szCs w:val="19"/>
                <w:color w:val="auto"/>
              </w:rPr>
            </w:pP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(11,143)</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46,674</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(22,755)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Non-cash share-based payments (a)</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Foreign currency losses (b)</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Effective interest expense (c)</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D5EAEA"/>
          </w:tcPr>
          <w:p>
            <w:pPr>
              <w:spacing w:after="0"/>
              <w:rPr>
                <w:sz w:val="18"/>
                <w:szCs w:val="18"/>
                <w:color w:val="auto"/>
              </w:rPr>
            </w:pPr>
          </w:p>
        </w:tc>
        <w:tc>
          <w:tcPr>
            <w:tcW w:w="15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Change in fair value of conversion feature (d)</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(4,542)</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Adjusted Income/(Loss)</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(15,497)</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(10,828)</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45,191</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(21,636)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Earnings/(Loss) per share – basic</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D5EAEA"/>
          </w:tcPr>
          <w:p>
            <w:pPr>
              <w:spacing w:after="0"/>
              <w:rPr>
                <w:sz w:val="19"/>
                <w:szCs w:val="19"/>
                <w:color w:val="auto"/>
              </w:rPr>
            </w:pP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D5EAEA"/>
          </w:tcPr>
          <w:p>
            <w:pPr>
              <w:spacing w:after="0"/>
              <w:rPr>
                <w:sz w:val="18"/>
                <w:szCs w:val="18"/>
                <w:color w:val="auto"/>
              </w:rPr>
            </w:pP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(0.22)</w:t>
            </w:r>
          </w:p>
        </w:tc>
        <w:tc>
          <w:tcPr>
            <w:tcW w:w="120" w:type="dxa"/>
            <w:vAlign w:val="bottom"/>
            <w:shd w:val="clear" w:color="auto" w:fill="D5EAEA"/>
          </w:tcPr>
          <w:p>
            <w:pPr>
              <w:spacing w:after="0"/>
              <w:rPr>
                <w:sz w:val="18"/>
                <w:szCs w:val="18"/>
                <w:color w:val="auto"/>
              </w:rPr>
            </w:pP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(0.19)</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(0.38)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Adjusted earnings/(loss) per share – diluted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20" w:type="dxa"/>
            <w:vAlign w:val="bottom"/>
            <w:tcBorders>
              <w:bottom w:val="single" w:sz="8" w:color="D5EAEA"/>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0.65</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shd w:val="clear" w:color="auto" w:fill="D5EAEA"/>
          </w:tcPr>
          <w:p>
            <w:pPr>
              <w:spacing w:after="0" w:line="182" w:lineRule="exact"/>
              <w:rPr>
                <w:sz w:val="20"/>
                <w:szCs w:val="20"/>
                <w:color w:val="auto"/>
              </w:rPr>
            </w:pPr>
            <w:r>
              <w:rPr>
                <w:rFonts w:ascii="Arial" w:cs="Arial" w:eastAsia="Arial" w:hAnsi="Arial"/>
                <w:sz w:val="18"/>
                <w:szCs w:val="18"/>
                <w:color w:val="auto"/>
              </w:rPr>
              <w:t>Weighted-average number of shares used to compute Adjusted</w:t>
            </w:r>
          </w:p>
        </w:tc>
        <w:tc>
          <w:tcPr>
            <w:tcW w:w="138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8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6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earnings/(loss) per share – basic</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70,764,091</w:t>
            </w:r>
          </w:p>
        </w:tc>
        <w:tc>
          <w:tcPr>
            <w:tcW w:w="120" w:type="dxa"/>
            <w:vAlign w:val="bottom"/>
            <w:shd w:val="clear" w:color="auto" w:fill="D5EAEA"/>
          </w:tcPr>
          <w:p>
            <w:pPr>
              <w:spacing w:after="0"/>
              <w:rPr>
                <w:sz w:val="20"/>
                <w:szCs w:val="20"/>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57,423,650</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69,351,363</w:t>
            </w:r>
          </w:p>
        </w:tc>
        <w:tc>
          <w:tcPr>
            <w:tcW w:w="100" w:type="dxa"/>
            <w:vAlign w:val="bottom"/>
            <w:shd w:val="clear" w:color="auto" w:fill="D5EAEA"/>
          </w:tcPr>
          <w:p>
            <w:pPr>
              <w:spacing w:after="0"/>
              <w:rPr>
                <w:sz w:val="20"/>
                <w:szCs w:val="20"/>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57,395,987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used to compute Adjusted</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earnings/(loss) per share – diluted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70,764,091</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57,423,650</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69,845,858</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57,395,987</w:t>
            </w:r>
          </w:p>
        </w:tc>
        <w:tc>
          <w:tcPr>
            <w:tcW w:w="0" w:type="dxa"/>
            <w:vAlign w:val="bottom"/>
          </w:tcPr>
          <w:p>
            <w:pPr>
              <w:spacing w:after="0"/>
              <w:rPr>
                <w:sz w:val="1"/>
                <w:szCs w:val="1"/>
                <w:color w:val="auto"/>
              </w:rPr>
            </w:pPr>
          </w:p>
        </w:tc>
      </w:tr>
      <w:tr>
        <w:trPr>
          <w:trHeight w:val="275"/>
        </w:trPr>
        <w:tc>
          <w:tcPr>
            <w:tcW w:w="5620" w:type="dxa"/>
            <w:vAlign w:val="bottom"/>
            <w:gridSpan w:val="2"/>
          </w:tcPr>
          <w:p>
            <w:pPr>
              <w:jc w:val="right"/>
              <w:ind w:right="3530"/>
              <w:spacing w:after="0"/>
              <w:rPr>
                <w:sz w:val="20"/>
                <w:szCs w:val="20"/>
                <w:color w:val="auto"/>
              </w:rPr>
            </w:pPr>
            <w:r>
              <w:rPr>
                <w:rFonts w:ascii="Arial" w:cs="Arial" w:eastAsia="Arial" w:hAnsi="Arial"/>
                <w:sz w:val="22"/>
                <w:szCs w:val="22"/>
                <w:color w:val="auto"/>
                <w:w w:val="89"/>
              </w:rPr>
              <w:t>__________________</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right="7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340" w:right="3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Effective interest expense for the period relates to the accretion of the Company’s convertible loan in accordance with the effective interest method.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For the three and six months ended June 30, 2019, adjustments decreased net loss and net income by CHF 1.4 million and CHF 1.5 million compared with decreases to the net losses by CHF 0.3 million and CHF 1.1 million for the comparable periods in 2018, respectively. The Company recorded CHF 0.6 million and CHF 1.1 million for the three and six months, respectively, for share-based compensation expenses. There were foreign currency remeasurement losses of CHF 0.5 million and 0.6 million, respectively, predominantly related to foreign currency fluctuations. The Company recorded CHF 0.4 million and CHF 1.4 million for amortization of effective interest for the three and six months ended June 30, 2019, respectively. Finally, the Company recognized less than a CHF 0.1 million and a CHF 4.5 million gain for the change in fair value of the liability related to the conversion feature.</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09395" cy="368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09395" cy="368935"/>
                    </a:xfrm>
                    <a:prstGeom prst="rect">
                      <a:avLst/>
                    </a:prstGeom>
                    <a:noFill/>
                  </pic:spPr>
                </pic:pic>
              </a:graphicData>
            </a:graphic>
          </wp:anchor>
        </w:drawing>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Q2 2019 Financial Results, Business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Clinical Update</w:t>
      </w:r>
    </w:p>
    <w:p>
      <w:pPr>
        <w:spacing w:after="0" w:line="188" w:lineRule="exact"/>
        <w:rPr>
          <w:sz w:val="20"/>
          <w:szCs w:val="20"/>
          <w:color w:val="auto"/>
        </w:rPr>
      </w:pPr>
    </w:p>
    <w:p>
      <w:pPr>
        <w:jc w:val="center"/>
        <w:ind w:left="260" w:right="60"/>
        <w:spacing w:after="0" w:line="271" w:lineRule="auto"/>
        <w:rPr>
          <w:sz w:val="20"/>
          <w:szCs w:val="20"/>
          <w:color w:val="auto"/>
        </w:rPr>
      </w:pPr>
      <w:r>
        <w:rPr>
          <w:rFonts w:ascii="Arial" w:cs="Arial" w:eastAsia="Arial" w:hAnsi="Arial"/>
          <w:sz w:val="18"/>
          <w:szCs w:val="18"/>
          <w:b w:val="1"/>
          <w:bCs w:val="1"/>
          <w:i w:val="1"/>
          <w:iCs w:val="1"/>
          <w:color w:val="auto"/>
        </w:rPr>
        <w:t>Company Outlines Roadmap to Develop Successful Therapies for Neurodegenerative Diseases Based on its Broad Anti-Tau Clinical Pipeline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August 14, 2019 </w:t>
      </w:r>
      <w:r>
        <w:rPr>
          <w:rFonts w:ascii="Arial" w:cs="Arial" w:eastAsia="Arial" w:hAnsi="Arial"/>
          <w:sz w:val="18"/>
          <w:szCs w:val="18"/>
          <w:color w:val="auto"/>
        </w:rPr>
        <w:t>– AC Immune SA (NASDAQ: ACIU), a Swiss-based, biopharmaceutical company with a broad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pipeline focused on neurodegenerative diseases, today announced its business and clinical plan and strategy, reported consolidated financial results for the second quarter of 2019 and its revised cash guidance.</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Prof. Andrea Pfeifer, Ph.D., CEO of AC Immune, commented: “Our business strategy is based on a three-pillar approach in the development of treatments for Alzheimer’s disease, NeuroOrphan therapeutics and diagnostics. Our </w:t>
      </w:r>
      <w:r>
        <w:rPr>
          <w:rFonts w:ascii="Arial" w:cs="Arial" w:eastAsia="Arial" w:hAnsi="Arial"/>
          <w:sz w:val="18"/>
          <w:szCs w:val="18"/>
          <w:i w:val="1"/>
          <w:iCs w:val="1"/>
          <w:color w:val="auto"/>
        </w:rPr>
        <w:t>Roadmap to Successful Therapies for Neurodegenerative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Diseases </w:t>
      </w:r>
      <w:r>
        <w:rPr>
          <w:rFonts w:ascii="Arial" w:cs="Arial" w:eastAsia="Arial" w:hAnsi="Arial"/>
          <w:sz w:val="18"/>
          <w:szCs w:val="18"/>
          <w:color w:val="auto"/>
        </w:rPr>
        <w:t>is based on treating earlier, targeting Tau, incorporating homogeneous populations, applying precision medicine and targeting</w:t>
      </w:r>
      <w:r>
        <w:rPr>
          <w:rFonts w:ascii="Arial" w:cs="Arial" w:eastAsia="Arial" w:hAnsi="Arial"/>
          <w:sz w:val="18"/>
          <w:szCs w:val="18"/>
          <w:i w:val="1"/>
          <w:iCs w:val="1"/>
          <w:color w:val="auto"/>
        </w:rPr>
        <w:t xml:space="preserve"> </w:t>
      </w:r>
      <w:r>
        <w:rPr>
          <w:rFonts w:ascii="Arial" w:cs="Arial" w:eastAsia="Arial" w:hAnsi="Arial"/>
          <w:sz w:val="18"/>
          <w:szCs w:val="18"/>
          <w:color w:val="auto"/>
        </w:rPr>
        <w:t>neuroinflammation.”</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is a growing body of clinical evidence that Tau drives disease progression. AC Immune has one of the broadest anti-Tau pipelines with antibodies, small molecules, vaccines and diagnostics, covering five clinical trials and partnerships with four major pharmaceutical companies.</w:t>
      </w:r>
    </w:p>
    <w:p>
      <w:pPr>
        <w:spacing w:after="0" w:line="184"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our proprietary discovery platforms are the foundation for multiple product candidates, added Dr. Pfeifer. “The productivity of these platforms has recently demonstrated significant clinical, value-creating milestones.”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Highlights Q2 2019 and Beyond</w:t>
      </w:r>
    </w:p>
    <w:p>
      <w:pPr>
        <w:spacing w:after="0" w:line="220" w:lineRule="exact"/>
        <w:rPr>
          <w:sz w:val="20"/>
          <w:szCs w:val="20"/>
          <w:color w:val="auto"/>
        </w:rPr>
      </w:pPr>
    </w:p>
    <w:p>
      <w:pPr>
        <w:jc w:val="both"/>
        <w:ind w:left="340" w:hanging="332"/>
        <w:spacing w:after="0" w:line="234" w:lineRule="auto"/>
        <w:tabs>
          <w:tab w:leader="none" w:pos="34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Dosing of the first subject in a Phase 1 study of ACI-3024, a first-in-class investigational oral small molecule Tau Morphomer™ inhibitor that will be studied in neurodegenerative diseases that are characterized by the presence of pathological Tau aggregates. This is the first significant advancement in AC Immune’s collaboration with Eli Lilly and Company</w:t>
      </w:r>
    </w:p>
    <w:p>
      <w:pPr>
        <w:spacing w:after="0" w:line="2" w:lineRule="exact"/>
        <w:rPr>
          <w:rFonts w:ascii="Arial" w:cs="Arial" w:eastAsia="Arial" w:hAnsi="Arial"/>
          <w:sz w:val="18"/>
          <w:szCs w:val="18"/>
          <w:color w:val="C00000"/>
        </w:rPr>
      </w:pPr>
    </w:p>
    <w:p>
      <w:pPr>
        <w:ind w:left="340" w:hanging="332"/>
        <w:spacing w:after="0" w:line="234" w:lineRule="auto"/>
        <w:tabs>
          <w:tab w:leader="none" w:pos="34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Initiation of a Phase 1b/2a clinical trial to evaluate ACI-35.030, a clinically advanced anti-phospho-Tau designed to reduce and to prevent the spread and development of Tau pathology to treat early and moderate Alzheimer’s disease (AD)</w:t>
      </w:r>
    </w:p>
    <w:p>
      <w:pPr>
        <w:spacing w:after="0" w:line="1" w:lineRule="exact"/>
        <w:rPr>
          <w:rFonts w:ascii="Arial" w:cs="Arial" w:eastAsia="Arial" w:hAnsi="Arial"/>
          <w:sz w:val="18"/>
          <w:szCs w:val="18"/>
          <w:color w:val="C00000"/>
        </w:rPr>
      </w:pPr>
    </w:p>
    <w:p>
      <w:pPr>
        <w:ind w:left="340" w:hanging="332"/>
        <w:spacing w:after="0" w:line="234" w:lineRule="auto"/>
        <w:tabs>
          <w:tab w:leader="none" w:pos="34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Initial interim data from an ongoing Phase 1b trial of AC Immune’s ACI-24 anti-Abeta vaccine, to treat AD like symptoms in subjects with Down syndrome (DS), demonstrated strong safety and preliminary immunogenicity results</w:t>
      </w:r>
    </w:p>
    <w:p>
      <w:pPr>
        <w:spacing w:after="0" w:line="1" w:lineRule="exact"/>
        <w:rPr>
          <w:rFonts w:ascii="Arial" w:cs="Arial" w:eastAsia="Arial" w:hAnsi="Arial"/>
          <w:sz w:val="18"/>
          <w:szCs w:val="18"/>
          <w:color w:val="C00000"/>
        </w:rPr>
      </w:pPr>
    </w:p>
    <w:p>
      <w:pPr>
        <w:ind w:left="340" w:right="20" w:hanging="332"/>
        <w:spacing w:after="0" w:line="234" w:lineRule="auto"/>
        <w:tabs>
          <w:tab w:leader="none" w:pos="34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Hosted a Key Opinion Leader (KOL) event, where presentations underscored the significant need and opportunity for studying AD-like symptoms in DS, a high-risk and genetically homogeneous population</w:t>
      </w:r>
    </w:p>
    <w:p>
      <w:pPr>
        <w:spacing w:after="0" w:line="1" w:lineRule="exact"/>
        <w:rPr>
          <w:rFonts w:ascii="Arial" w:cs="Arial" w:eastAsia="Arial" w:hAnsi="Arial"/>
          <w:sz w:val="18"/>
          <w:szCs w:val="18"/>
          <w:color w:val="C00000"/>
        </w:rPr>
      </w:pPr>
    </w:p>
    <w:p>
      <w:pPr>
        <w:jc w:val="both"/>
        <w:ind w:left="340" w:hanging="332"/>
        <w:spacing w:after="0" w:line="234" w:lineRule="auto"/>
        <w:tabs>
          <w:tab w:leader="none" w:pos="34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Initiation of a substudy by Genentech, a member of the Roche Group, in the ongoing Phase 2 Alzheimer’s Prevention Initiative (API) trial of AC Immune’s investigational candidate, crenezumab. The substudy, which measures Tau burden using Positron Emission Tomography (PET), aims to increase the understanding of disease progression in the preclinical stage of autosomal dominantly inherited, or familiar, AD</w:t>
      </w:r>
    </w:p>
    <w:p>
      <w:pPr>
        <w:spacing w:after="0" w:line="2" w:lineRule="exact"/>
        <w:rPr>
          <w:rFonts w:ascii="Arial" w:cs="Arial" w:eastAsia="Arial" w:hAnsi="Arial"/>
          <w:sz w:val="18"/>
          <w:szCs w:val="18"/>
          <w:color w:val="C00000"/>
        </w:rPr>
      </w:pPr>
    </w:p>
    <w:p>
      <w:pPr>
        <w:ind w:left="340" w:right="20" w:hanging="332"/>
        <w:spacing w:after="0" w:line="246" w:lineRule="auto"/>
        <w:tabs>
          <w:tab w:leader="none" w:pos="340" w:val="left"/>
        </w:tabs>
        <w:numPr>
          <w:ilvl w:val="0"/>
          <w:numId w:val="18"/>
        </w:numPr>
        <w:rPr>
          <w:rFonts w:ascii="Arial" w:cs="Arial" w:eastAsia="Arial" w:hAnsi="Arial"/>
          <w:sz w:val="18"/>
          <w:szCs w:val="18"/>
          <w:color w:val="C00000"/>
        </w:rPr>
      </w:pPr>
      <w:r>
        <w:rPr>
          <w:rFonts w:ascii="Arial" w:cs="Arial" w:eastAsia="Arial" w:hAnsi="Arial"/>
          <w:sz w:val="18"/>
          <w:szCs w:val="18"/>
          <w:u w:val="single" w:color="auto"/>
          <w:color w:val="auto"/>
        </w:rPr>
        <w:t>Initiation of a research partnership</w:t>
      </w:r>
      <w:r>
        <w:rPr>
          <w:rFonts w:ascii="Arial" w:cs="Arial" w:eastAsia="Arial" w:hAnsi="Arial"/>
          <w:sz w:val="18"/>
          <w:szCs w:val="18"/>
          <w:color w:val="auto"/>
        </w:rPr>
        <w:t xml:space="preserve"> with leading scientists in the Perelman School of Medicine at the University of Pennsylvania (Penn) focused on studying the pathological mechanisms of TDP-43 misfolding and aggregation</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Anticipated Near-Term Milestones</w:t>
      </w:r>
    </w:p>
    <w:p>
      <w:pPr>
        <w:spacing w:after="0" w:line="22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C00000"/>
        </w:rPr>
      </w:pPr>
      <w:r>
        <w:rPr>
          <w:rFonts w:ascii="Arial" w:cs="Arial" w:eastAsia="Arial" w:hAnsi="Arial"/>
          <w:sz w:val="18"/>
          <w:szCs w:val="18"/>
          <w:color w:val="auto"/>
        </w:rPr>
        <w:t>H2:2019: Proof-of-concept data from three NeuroOrphan indications from our SupraAntigen™ platform</w:t>
      </w:r>
    </w:p>
    <w:p>
      <w:pPr>
        <w:spacing w:after="0" w:line="9" w:lineRule="exact"/>
        <w:rPr>
          <w:rFonts w:ascii="Arial" w:cs="Arial" w:eastAsia="Arial" w:hAnsi="Arial"/>
          <w:sz w:val="18"/>
          <w:szCs w:val="18"/>
          <w:color w:val="C00000"/>
        </w:rPr>
      </w:pPr>
    </w:p>
    <w:p>
      <w:pPr>
        <w:ind w:left="660" w:hanging="328"/>
        <w:spacing w:after="0"/>
        <w:tabs>
          <w:tab w:leader="none" w:pos="660" w:val="left"/>
        </w:tabs>
        <w:numPr>
          <w:ilvl w:val="0"/>
          <w:numId w:val="19"/>
        </w:numPr>
        <w:rPr>
          <w:rFonts w:ascii="Arial" w:cs="Arial" w:eastAsia="Arial" w:hAnsi="Arial"/>
          <w:sz w:val="18"/>
          <w:szCs w:val="18"/>
          <w:color w:val="C00000"/>
        </w:rPr>
      </w:pPr>
      <w:r>
        <w:rPr>
          <w:rFonts w:ascii="Arial" w:cs="Arial" w:eastAsia="Arial" w:hAnsi="Arial"/>
          <w:sz w:val="18"/>
          <w:szCs w:val="18"/>
          <w:color w:val="auto"/>
        </w:rPr>
        <w:t>H2:2020: Read out from a Phase 2 clinical trial in prodromal/mild AD patients from the SupraAntigen™ platform</w:t>
      </w:r>
    </w:p>
    <w:p>
      <w:pPr>
        <w:spacing w:after="0" w:line="9" w:lineRule="exact"/>
        <w:rPr>
          <w:rFonts w:ascii="Arial" w:cs="Arial" w:eastAsia="Arial" w:hAnsi="Arial"/>
          <w:sz w:val="18"/>
          <w:szCs w:val="18"/>
          <w:color w:val="C00000"/>
        </w:rPr>
      </w:pPr>
    </w:p>
    <w:p>
      <w:pPr>
        <w:ind w:left="660" w:right="300" w:hanging="328"/>
        <w:spacing w:after="0" w:line="246" w:lineRule="auto"/>
        <w:tabs>
          <w:tab w:leader="none" w:pos="660" w:val="left"/>
        </w:tabs>
        <w:numPr>
          <w:ilvl w:val="0"/>
          <w:numId w:val="19"/>
        </w:numPr>
        <w:rPr>
          <w:rFonts w:ascii="Arial" w:cs="Arial" w:eastAsia="Arial" w:hAnsi="Arial"/>
          <w:sz w:val="18"/>
          <w:szCs w:val="18"/>
          <w:color w:val="C00000"/>
        </w:rPr>
      </w:pPr>
      <w:r>
        <w:rPr>
          <w:rFonts w:ascii="Arial" w:cs="Arial" w:eastAsia="Arial" w:hAnsi="Arial"/>
          <w:sz w:val="18"/>
          <w:szCs w:val="18"/>
          <w:color w:val="auto"/>
        </w:rPr>
        <w:t>Multiple clinical trial readouts from collaboration partners in 2020/2021 confirming Tau antibodies as a viable approach to halting the progression of AD and other neurodegenerative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Statements for the Three and Six Months Ended June 30, 2019</w:t>
      </w:r>
    </w:p>
    <w:p>
      <w:pPr>
        <w:spacing w:after="0" w:line="198" w:lineRule="exact"/>
        <w:rPr>
          <w:sz w:val="20"/>
          <w:szCs w:val="20"/>
          <w:color w:val="auto"/>
        </w:rPr>
      </w:pPr>
    </w:p>
    <w:p>
      <w:pPr>
        <w:jc w:val="both"/>
        <w:ind w:left="260" w:hanging="252"/>
        <w:spacing w:after="0" w:line="241" w:lineRule="auto"/>
        <w:tabs>
          <w:tab w:leader="none" w:pos="260" w:val="left"/>
        </w:tabs>
        <w:numPr>
          <w:ilvl w:val="0"/>
          <w:numId w:val="20"/>
        </w:numPr>
        <w:rPr>
          <w:rFonts w:ascii="Arial" w:cs="Arial" w:eastAsia="Arial" w:hAnsi="Arial"/>
          <w:sz w:val="18"/>
          <w:szCs w:val="18"/>
          <w:color w:val="C00000"/>
        </w:rPr>
      </w:pPr>
      <w:r>
        <w:rPr>
          <w:rFonts w:ascii="Arial" w:cs="Arial" w:eastAsia="Arial" w:hAnsi="Arial"/>
          <w:sz w:val="18"/>
          <w:szCs w:val="18"/>
          <w:b w:val="1"/>
          <w:bCs w:val="1"/>
          <w:color w:val="auto"/>
        </w:rPr>
        <w:t>Cash Position</w:t>
      </w:r>
      <w:r>
        <w:rPr>
          <w:rFonts w:ascii="Arial" w:cs="Arial" w:eastAsia="Arial" w:hAnsi="Arial"/>
          <w:sz w:val="18"/>
          <w:szCs w:val="18"/>
          <w:color w:val="auto"/>
        </w:rPr>
        <w:t>: The Company had a total cash balance of CHF 285.7 million, comprised of CHF 205.7 million in cash and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CHF 80.0 million in short-term financial assets. This compares to a total cash balance of CHF 186.5 million as of December 31, 2018. The increase of CHF 99.2 million is principally due to the CHF 80 million upfront payment and USD 50 million convertible equity note related to the agreement with Lilly. Further details are available in our Statements of Cash Flows in the accompanying Form 6-K.</w:t>
      </w:r>
    </w:p>
    <w:p>
      <w:pPr>
        <w:ind w:left="260" w:right="20"/>
        <w:spacing w:after="0" w:line="246" w:lineRule="auto"/>
        <w:rPr>
          <w:rFonts w:ascii="Arial" w:cs="Arial" w:eastAsia="Arial" w:hAnsi="Arial"/>
          <w:sz w:val="18"/>
          <w:szCs w:val="18"/>
          <w:color w:val="C00000"/>
        </w:rPr>
      </w:pPr>
      <w:r>
        <w:rPr>
          <w:rFonts w:ascii="Arial" w:cs="Arial" w:eastAsia="Arial" w:hAnsi="Arial"/>
          <w:sz w:val="18"/>
          <w:szCs w:val="18"/>
          <w:color w:val="auto"/>
        </w:rPr>
        <w:t>The total shareholders’ equity position increased from December 31, 2018 to CHF 273.3 million from CHF 177.6 million. Further details are available in our corresponding Financial Statements filed on the accompanying Form 6-K.</w:t>
      </w:r>
    </w:p>
    <w:p>
      <w:pPr>
        <w:spacing w:after="0" w:line="161" w:lineRule="exact"/>
        <w:rPr>
          <w:rFonts w:ascii="Arial" w:cs="Arial" w:eastAsia="Arial" w:hAnsi="Arial"/>
          <w:sz w:val="18"/>
          <w:szCs w:val="18"/>
          <w:color w:val="C00000"/>
        </w:rPr>
      </w:pPr>
    </w:p>
    <w:p>
      <w:pPr>
        <w:jc w:val="both"/>
        <w:ind w:left="260" w:hanging="252"/>
        <w:spacing w:after="0" w:line="239" w:lineRule="auto"/>
        <w:tabs>
          <w:tab w:leader="none" w:pos="260" w:val="left"/>
        </w:tabs>
        <w:numPr>
          <w:ilvl w:val="0"/>
          <w:numId w:val="20"/>
        </w:numPr>
        <w:rPr>
          <w:rFonts w:ascii="Arial" w:cs="Arial" w:eastAsia="Arial" w:hAnsi="Arial"/>
          <w:sz w:val="18"/>
          <w:szCs w:val="18"/>
          <w:color w:val="C00000"/>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for the three and six months ended June 30, 2019 totaled CHF 1.5 million and CHF 76.6 million, respectively. This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 decrease of CHF 0.5 million and increase of CHF 73.1 million compared to the respective periods in 2018. The decrease for the three-month period relates to 2018 Biogen revenues not repeated in 2019, as this contract concluded in April. The increase for the six-month period is driven by the recognition of CHF 74.3 million from the right-of-use license and research and development activities linked to the 2018 Lilly agreement. Revenues fluctuate as a result of payments associated with our collaborations with current and potential new partners, the timing of milestone achievements and the size of each milestone payment.</w:t>
      </w:r>
    </w:p>
    <w:p>
      <w:pPr>
        <w:jc w:val="both"/>
        <w:ind w:left="260" w:hanging="252"/>
        <w:spacing w:after="0" w:line="218" w:lineRule="auto"/>
        <w:tabs>
          <w:tab w:leader="none" w:pos="260" w:val="left"/>
        </w:tabs>
        <w:numPr>
          <w:ilvl w:val="0"/>
          <w:numId w:val="20"/>
        </w:numPr>
        <w:rPr>
          <w:rFonts w:ascii="Arial" w:cs="Arial" w:eastAsia="Arial" w:hAnsi="Arial"/>
          <w:sz w:val="18"/>
          <w:szCs w:val="18"/>
          <w:color w:val="C00000"/>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expenditures increased by CHF 2.2 million (+21%) and CHF 3.7 million (+18%) for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2019 compared to the comparable periods in 2018, respectively. The Company largely increased its investments in AD, non-AD and new discovery programs. For AD, the Company prepared activities for its Phase 1b/2a and Phase 2 studies for ACI-35 and ACI-24 AD, respectively. For non-AD, the Company increased investment in its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alpha-synuclein programs and continued to advance ACI-24 DS through clinical development. Finally, in new discovery, the Company continues to focus on its neuroinflammation discovery programs.</w:t>
      </w:r>
    </w:p>
    <w:p>
      <w:pPr>
        <w:spacing w:after="0" w:line="2" w:lineRule="exact"/>
        <w:rPr>
          <w:rFonts w:ascii="Arial" w:cs="Arial" w:eastAsia="Arial" w:hAnsi="Arial"/>
          <w:sz w:val="18"/>
          <w:szCs w:val="18"/>
          <w:color w:val="C00000"/>
        </w:rPr>
      </w:pPr>
    </w:p>
    <w:p>
      <w:pPr>
        <w:ind w:left="260" w:right="20" w:hanging="252"/>
        <w:spacing w:after="0" w:line="234" w:lineRule="auto"/>
        <w:tabs>
          <w:tab w:leader="none" w:pos="260" w:val="left"/>
        </w:tabs>
        <w:numPr>
          <w:ilvl w:val="0"/>
          <w:numId w:val="20"/>
        </w:numPr>
        <w:rPr>
          <w:rFonts w:ascii="Arial" w:cs="Arial" w:eastAsia="Arial" w:hAnsi="Arial"/>
          <w:sz w:val="18"/>
          <w:szCs w:val="18"/>
          <w:color w:val="C00000"/>
        </w:rPr>
      </w:pPr>
      <w:r>
        <w:rPr>
          <w:rFonts w:ascii="Arial" w:cs="Arial" w:eastAsia="Arial" w:hAnsi="Arial"/>
          <w:sz w:val="18"/>
          <w:szCs w:val="18"/>
          <w:b w:val="1"/>
          <w:bCs w:val="1"/>
          <w:color w:val="auto"/>
        </w:rPr>
        <w:t>G&amp;A Expenses</w:t>
      </w:r>
      <w:r>
        <w:rPr>
          <w:rFonts w:ascii="Arial" w:cs="Arial" w:eastAsia="Arial" w:hAnsi="Arial"/>
          <w:sz w:val="18"/>
          <w:szCs w:val="18"/>
          <w:color w:val="auto"/>
        </w:rPr>
        <w:t>: For the three and six months ended June 30, 2019, G&amp;A increased CHF 0.5 million (+17%) and CHF 1.1 million (+19%) to</w:t>
      </w:r>
      <w:r>
        <w:rPr>
          <w:rFonts w:ascii="Arial" w:cs="Arial" w:eastAsia="Arial" w:hAnsi="Arial"/>
          <w:sz w:val="18"/>
          <w:szCs w:val="18"/>
          <w:b w:val="1"/>
          <w:bCs w:val="1"/>
          <w:color w:val="auto"/>
        </w:rPr>
        <w:t xml:space="preserve"> </w:t>
      </w:r>
      <w:r>
        <w:rPr>
          <w:rFonts w:ascii="Arial" w:cs="Arial" w:eastAsia="Arial" w:hAnsi="Arial"/>
          <w:sz w:val="18"/>
          <w:szCs w:val="18"/>
          <w:color w:val="auto"/>
        </w:rPr>
        <w:t>CHF 3.6 million and CHF 6.9 million, respectively. Increases are driven by rental, personnel and IT expenses.</w:t>
      </w:r>
    </w:p>
    <w:p>
      <w:pPr>
        <w:spacing w:after="0" w:line="1" w:lineRule="exact"/>
        <w:rPr>
          <w:rFonts w:ascii="Arial" w:cs="Arial" w:eastAsia="Arial" w:hAnsi="Arial"/>
          <w:sz w:val="18"/>
          <w:szCs w:val="18"/>
          <w:color w:val="C00000"/>
        </w:rPr>
      </w:pPr>
    </w:p>
    <w:p>
      <w:pPr>
        <w:jc w:val="both"/>
        <w:ind w:left="260" w:hanging="252"/>
        <w:spacing w:after="0"/>
        <w:tabs>
          <w:tab w:leader="none" w:pos="260" w:val="left"/>
        </w:tabs>
        <w:numPr>
          <w:ilvl w:val="0"/>
          <w:numId w:val="20"/>
        </w:numPr>
        <w:rPr>
          <w:rFonts w:ascii="Arial" w:cs="Arial" w:eastAsia="Arial" w:hAnsi="Arial"/>
          <w:sz w:val="18"/>
          <w:szCs w:val="18"/>
          <w:color w:val="C00000"/>
        </w:rPr>
      </w:pPr>
      <w:r>
        <w:rPr>
          <w:rFonts w:ascii="Arial" w:cs="Arial" w:eastAsia="Arial" w:hAnsi="Arial"/>
          <w:sz w:val="18"/>
          <w:szCs w:val="18"/>
          <w:b w:val="1"/>
          <w:bCs w:val="1"/>
          <w:color w:val="auto"/>
        </w:rPr>
        <w:t xml:space="preserve">IFRS Income/(Loss) for the period: </w:t>
      </w:r>
      <w:r>
        <w:rPr>
          <w:rFonts w:ascii="Arial" w:cs="Arial" w:eastAsia="Arial" w:hAnsi="Arial"/>
          <w:sz w:val="18"/>
          <w:szCs w:val="18"/>
          <w:color w:val="auto"/>
        </w:rPr>
        <w:t>The Company incurred net loss and net income after taxes of CHF 16.9 million and CHF 46.7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and six months ended June 30, 2019, respectively, compared with net losses of CHF 11.1 million and CHF 22.8 million for the comparable periods in 2018.</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About AC Immune</w:t>
      </w:r>
    </w:p>
    <w:p>
      <w:pPr>
        <w:spacing w:after="0" w:line="18"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Lilly and Janssen Pharmaceuticals Inc.</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As a strategic leader in the field of neurodegenerative diseases, AC Immune has developed a five point </w:t>
      </w:r>
      <w:r>
        <w:rPr>
          <w:rFonts w:ascii="Arial" w:cs="Arial" w:eastAsia="Arial" w:hAnsi="Arial"/>
          <w:sz w:val="18"/>
          <w:szCs w:val="18"/>
          <w:i w:val="1"/>
          <w:iCs w:val="1"/>
          <w:color w:val="auto"/>
        </w:rPr>
        <w:t>Roadmap to Successful Therapies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Neurodegenerative Diseases </w:t>
      </w:r>
      <w:r>
        <w:rPr>
          <w:rFonts w:ascii="Arial" w:cs="Arial" w:eastAsia="Arial" w:hAnsi="Arial"/>
          <w:sz w:val="18"/>
          <w:szCs w:val="18"/>
          <w:color w:val="auto"/>
        </w:rPr>
        <w:t>that recognizes the importance of treating earlier, targeting Tau, focusing on more homogeneous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precision medicine and exploring neuroinflammation as a target.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420"/>
          </w:cols>
          <w:pgMar w:left="240" w:top="576"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Joshua Drumm, Ph.D.</w:t>
      </w:r>
    </w:p>
    <w:p>
      <w:pPr>
        <w:spacing w:after="0" w:line="234" w:lineRule="auto"/>
        <w:rPr>
          <w:sz w:val="20"/>
          <w:szCs w:val="20"/>
          <w:color w:val="auto"/>
        </w:rPr>
      </w:pPr>
      <w:r>
        <w:rPr>
          <w:rFonts w:ascii="Arial" w:cs="Arial" w:eastAsia="Arial" w:hAnsi="Arial"/>
          <w:sz w:val="18"/>
          <w:szCs w:val="18"/>
          <w:color w:val="auto"/>
        </w:rPr>
        <w:t>AC Immune Investor Relations</w:t>
      </w:r>
    </w:p>
    <w:p>
      <w:pPr>
        <w:spacing w:after="0" w:line="235" w:lineRule="auto"/>
        <w:rPr>
          <w:sz w:val="20"/>
          <w:szCs w:val="20"/>
          <w:color w:val="auto"/>
        </w:rPr>
      </w:pPr>
      <w:r>
        <w:rPr>
          <w:rFonts w:ascii="Arial" w:cs="Arial" w:eastAsia="Arial" w:hAnsi="Arial"/>
          <w:sz w:val="18"/>
          <w:szCs w:val="18"/>
          <w:color w:val="auto"/>
        </w:rPr>
        <w:t>Phone: +1 646 876 5538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joshua.drumm@acimmune.com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Katie Gallagher</w:t>
      </w:r>
    </w:p>
    <w:p>
      <w:pPr>
        <w:spacing w:after="0" w:line="234" w:lineRule="auto"/>
        <w:rPr>
          <w:sz w:val="20"/>
          <w:szCs w:val="20"/>
          <w:color w:val="auto"/>
        </w:rPr>
      </w:pPr>
      <w:r>
        <w:rPr>
          <w:rFonts w:ascii="Arial" w:cs="Arial" w:eastAsia="Arial" w:hAnsi="Arial"/>
          <w:sz w:val="18"/>
          <w:szCs w:val="18"/>
          <w:color w:val="auto"/>
        </w:rPr>
        <w:t>LaVoieHealthScience</w:t>
      </w:r>
    </w:p>
    <w:p>
      <w:pPr>
        <w:spacing w:after="0" w:line="235" w:lineRule="auto"/>
        <w:rPr>
          <w:sz w:val="20"/>
          <w:szCs w:val="20"/>
          <w:color w:val="auto"/>
        </w:rPr>
      </w:pPr>
      <w:r>
        <w:rPr>
          <w:rFonts w:ascii="Arial" w:cs="Arial" w:eastAsia="Arial" w:hAnsi="Arial"/>
          <w:sz w:val="18"/>
          <w:szCs w:val="18"/>
          <w:color w:val="auto"/>
        </w:rPr>
        <w:t>Phone: +1 617 792 3937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kgallagher@lavoiehealthscience.com</w:t>
      </w:r>
    </w:p>
    <w:p>
      <w:pPr>
        <w:spacing w:after="0" w:line="187" w:lineRule="exact"/>
        <w:rPr>
          <w:sz w:val="20"/>
          <w:szCs w:val="20"/>
          <w:color w:val="auto"/>
        </w:rPr>
      </w:pPr>
    </w:p>
    <w:p>
      <w:pPr>
        <w:sectPr>
          <w:pgSz w:w="11900" w:h="16838" w:orient="portrait"/>
          <w:cols w:equalWidth="0" w:num="2">
            <w:col w:w="4780" w:space="720"/>
            <w:col w:w="592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European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Judith Moore</w:t>
      </w:r>
    </w:p>
    <w:p>
      <w:pPr>
        <w:spacing w:after="0" w:line="234" w:lineRule="auto"/>
        <w:rPr>
          <w:sz w:val="20"/>
          <w:szCs w:val="20"/>
          <w:color w:val="auto"/>
        </w:rPr>
      </w:pPr>
      <w:r>
        <w:rPr>
          <w:rFonts w:ascii="Arial" w:cs="Arial" w:eastAsia="Arial" w:hAnsi="Arial"/>
          <w:sz w:val="18"/>
          <w:szCs w:val="18"/>
          <w:color w:val="auto"/>
        </w:rPr>
        <w:t>AC Immune Global Communication Lead</w:t>
      </w:r>
    </w:p>
    <w:p>
      <w:pPr>
        <w:spacing w:after="0" w:line="235" w:lineRule="auto"/>
        <w:rPr>
          <w:sz w:val="20"/>
          <w:szCs w:val="20"/>
          <w:color w:val="auto"/>
        </w:rPr>
      </w:pPr>
      <w:r>
        <w:rPr>
          <w:rFonts w:ascii="Arial" w:cs="Arial" w:eastAsia="Arial" w:hAnsi="Arial"/>
          <w:sz w:val="18"/>
          <w:szCs w:val="18"/>
          <w:color w:val="auto"/>
        </w:rPr>
        <w:t>Phone: +44 7932 053829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judith.moore@acimmune.com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European 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chris@lifesciadvisors.com</w:t>
      </w:r>
    </w:p>
    <w:p>
      <w:pPr>
        <w:spacing w:after="0" w:line="201" w:lineRule="exact"/>
        <w:rPr>
          <w:sz w:val="20"/>
          <w:szCs w:val="20"/>
          <w:color w:val="auto"/>
        </w:rPr>
      </w:pPr>
    </w:p>
    <w:p>
      <w:pPr>
        <w:sectPr>
          <w:pgSz w:w="11900" w:h="16838" w:orient="portrait"/>
          <w:cols w:equalWidth="0" w:num="2">
            <w:col w:w="4780" w:space="720"/>
            <w:col w:w="592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As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rPr>
                <w:sz w:val="17"/>
                <w:szCs w:val="17"/>
                <w:color w:val="auto"/>
              </w:rPr>
            </w:pPr>
          </w:p>
        </w:tc>
        <w:tc>
          <w:tcPr>
            <w:tcW w:w="12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June 30,</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in CHF thousands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173"/>
        </w:trPr>
        <w:tc>
          <w:tcPr>
            <w:tcW w:w="898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3,594</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1,978</w:t>
            </w:r>
          </w:p>
        </w:tc>
        <w:tc>
          <w:tcPr>
            <w:tcW w:w="1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financial assets</w:t>
            </w: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5,876</w:t>
            </w:r>
          </w:p>
        </w:tc>
        <w:tc>
          <w:tcPr>
            <w:tcW w:w="100" w:type="dxa"/>
            <w:vAlign w:val="bottom"/>
            <w:tcBorders>
              <w:bottom w:val="single" w:sz="8" w:color="D5EAEA"/>
            </w:tcBorders>
          </w:tcPr>
          <w:p>
            <w:pPr>
              <w:spacing w:after="0"/>
              <w:rPr>
                <w:sz w:val="17"/>
                <w:szCs w:val="17"/>
                <w:color w:val="auto"/>
              </w:rPr>
            </w:pP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3,628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9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Prepaid expenses</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2,917</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Finance receivable</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98</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Other current receivables</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1,049</w:t>
            </w:r>
          </w:p>
        </w:tc>
        <w:tc>
          <w:tcPr>
            <w:tcW w:w="1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financial assets</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80,000</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205,735</w:t>
            </w:r>
          </w:p>
        </w:tc>
        <w:tc>
          <w:tcPr>
            <w:tcW w:w="10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156,462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290,346</w:t>
            </w:r>
          </w:p>
        </w:tc>
        <w:tc>
          <w:tcPr>
            <w:tcW w:w="10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192,928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296,222</w:t>
            </w:r>
          </w:p>
        </w:tc>
        <w:tc>
          <w:tcPr>
            <w:tcW w:w="100" w:type="dxa"/>
            <w:vAlign w:val="bottom"/>
            <w:tcBorders>
              <w:bottom w:val="single" w:sz="8" w:color="D5EAEA"/>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196,556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960" w:type="dxa"/>
            <w:vAlign w:val="bottom"/>
            <w:shd w:val="clear" w:color="auto" w:fill="D5EAEA"/>
          </w:tcPr>
          <w:p>
            <w:pPr>
              <w:spacing w:after="0"/>
              <w:rPr>
                <w:sz w:val="15"/>
                <w:szCs w:val="15"/>
                <w:color w:val="auto"/>
              </w:rPr>
            </w:pPr>
          </w:p>
        </w:tc>
        <w:tc>
          <w:tcPr>
            <w:tcW w:w="112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22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capital</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1,436</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346,024</w:t>
            </w:r>
          </w:p>
        </w:tc>
        <w:tc>
          <w:tcPr>
            <w:tcW w:w="1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(74,170)</w:t>
            </w:r>
          </w:p>
        </w:tc>
        <w:tc>
          <w:tcPr>
            <w:tcW w:w="10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(121,877)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273,290</w:t>
            </w:r>
          </w:p>
        </w:tc>
        <w:tc>
          <w:tcPr>
            <w:tcW w:w="100" w:type="dxa"/>
            <w:vAlign w:val="bottom"/>
            <w:tcBorders>
              <w:bottom w:val="single" w:sz="8" w:color="D5EAEA"/>
            </w:tcBorders>
          </w:tcPr>
          <w:p>
            <w:pPr>
              <w:spacing w:after="0"/>
              <w:rPr>
                <w:sz w:val="17"/>
                <w:szCs w:val="17"/>
                <w:color w:val="auto"/>
              </w:rPr>
            </w:pP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177,623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96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Long-term financing obligation</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256</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1,559</w:t>
            </w:r>
          </w:p>
        </w:tc>
        <w:tc>
          <w:tcPr>
            <w:tcW w:w="1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Long-term deferred income</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1,903</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Net employee defined benefit liabilities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9,672</w:t>
            </w:r>
          </w:p>
        </w:tc>
        <w:tc>
          <w:tcPr>
            <w:tcW w:w="10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5,851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Accrued expenses</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8,414</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line="202" w:lineRule="exact"/>
              <w:rPr>
                <w:sz w:val="20"/>
                <w:szCs w:val="20"/>
                <w:color w:val="auto"/>
              </w:rPr>
            </w:pPr>
            <w:r>
              <w:rPr>
                <w:rFonts w:ascii="Arial" w:cs="Arial" w:eastAsia="Arial" w:hAnsi="Arial"/>
                <w:sz w:val="18"/>
                <w:szCs w:val="18"/>
                <w:color w:val="auto"/>
              </w:rPr>
              <w:t>Short-term deferred income</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3,941</w:t>
            </w:r>
          </w:p>
        </w:tc>
        <w:tc>
          <w:tcPr>
            <w:tcW w:w="10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debt obligation</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329</w:t>
            </w: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Short-term lease liabilities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D5EAEA"/>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13,260</w:t>
            </w:r>
          </w:p>
        </w:tc>
        <w:tc>
          <w:tcPr>
            <w:tcW w:w="100" w:type="dxa"/>
            <w:vAlign w:val="bottom"/>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13,082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22,932</w:t>
            </w:r>
          </w:p>
        </w:tc>
        <w:tc>
          <w:tcPr>
            <w:tcW w:w="100" w:type="dxa"/>
            <w:vAlign w:val="bottom"/>
            <w:tcBorders>
              <w:bottom w:val="single" w:sz="8" w:color="D5EAEA"/>
            </w:tcBorders>
          </w:tcPr>
          <w:p>
            <w:pPr>
              <w:spacing w:after="0"/>
              <w:rPr>
                <w:sz w:val="17"/>
                <w:szCs w:val="17"/>
                <w:color w:val="auto"/>
              </w:rPr>
            </w:pP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18,933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296,222</w:t>
            </w:r>
          </w:p>
        </w:tc>
        <w:tc>
          <w:tcPr>
            <w:tcW w:w="100" w:type="dxa"/>
            <w:vAlign w:val="bottom"/>
            <w:tcBorders>
              <w:bottom w:val="single" w:sz="8" w:color="D5EAEA"/>
            </w:tcBorders>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196,556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778"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Statements of Income/(Loss)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5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360" w:type="dxa"/>
            <w:vAlign w:val="bottom"/>
            <w:gridSpan w:val="4"/>
          </w:tcPr>
          <w:p>
            <w:pPr>
              <w:ind w:left="34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5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Ended June 30,</w:t>
            </w:r>
          </w:p>
        </w:tc>
        <w:tc>
          <w:tcPr>
            <w:tcW w:w="23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4880" w:type="dxa"/>
            <w:vAlign w:val="bottom"/>
            <w:gridSpan w:val="7"/>
          </w:tcPr>
          <w:p>
            <w:pPr>
              <w:jc w:val="right"/>
              <w:ind w:right="430"/>
              <w:spacing w:after="0"/>
              <w:rPr>
                <w:sz w:val="20"/>
                <w:szCs w:val="20"/>
                <w:color w:val="auto"/>
              </w:rPr>
            </w:pPr>
            <w:r>
              <w:rPr>
                <w:rFonts w:ascii="Arial" w:cs="Arial" w:eastAsia="Arial" w:hAnsi="Arial"/>
                <w:sz w:val="18"/>
                <w:szCs w:val="18"/>
                <w:b w:val="1"/>
                <w:bCs w:val="1"/>
                <w:color w:val="auto"/>
              </w:rPr>
              <w:t>(in CHF thousands except for per share data)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65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76,553</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1,511</w:t>
            </w:r>
          </w:p>
        </w:tc>
        <w:tc>
          <w:tcPr>
            <w:tcW w:w="120" w:type="dxa"/>
            <w:vAlign w:val="bottom"/>
            <w:tcBorders>
              <w:bottom w:val="single" w:sz="8" w:color="D5EAEA"/>
            </w:tcBorders>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2,028</w:t>
            </w:r>
          </w:p>
        </w:tc>
        <w:tc>
          <w:tcPr>
            <w:tcW w:w="12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76,553</w:t>
            </w:r>
          </w:p>
        </w:tc>
        <w:tc>
          <w:tcPr>
            <w:tcW w:w="10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Research &amp; development expenses</w:t>
            </w:r>
          </w:p>
        </w:tc>
        <w:tc>
          <w:tcPr>
            <w:tcW w:w="11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(12,700)</w:t>
            </w: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(10,533)</w:t>
            </w: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(24,293)</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(20,604)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General &amp; administrative expenses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11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(16,285)</w:t>
            </w:r>
          </w:p>
        </w:tc>
        <w:tc>
          <w:tcPr>
            <w:tcW w:w="120" w:type="dxa"/>
            <w:vAlign w:val="bottom"/>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(13,598)</w:t>
            </w:r>
          </w:p>
        </w:tc>
        <w:tc>
          <w:tcPr>
            <w:tcW w:w="12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(31,172)</w:t>
            </w:r>
          </w:p>
        </w:tc>
        <w:tc>
          <w:tcPr>
            <w:tcW w:w="10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(26,374)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income/(loss)</w:t>
            </w:r>
          </w:p>
        </w:tc>
        <w:tc>
          <w:tcPr>
            <w:tcW w:w="1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(14,774)</w:t>
            </w:r>
          </w:p>
        </w:tc>
        <w:tc>
          <w:tcPr>
            <w:tcW w:w="1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(11,570)</w:t>
            </w:r>
          </w:p>
        </w:tc>
        <w:tc>
          <w:tcPr>
            <w:tcW w:w="120" w:type="dxa"/>
            <w:vAlign w:val="bottom"/>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45,381</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Finance income / (expense), net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(1,732)</w:t>
            </w:r>
          </w:p>
        </w:tc>
        <w:tc>
          <w:tcPr>
            <w:tcW w:w="1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(1,812)</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Change in fair value of conversion feature</w:t>
            </w:r>
          </w:p>
        </w:tc>
        <w:tc>
          <w:tcPr>
            <w:tcW w:w="116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120" w:type="dxa"/>
            <w:vAlign w:val="bottom"/>
            <w:shd w:val="clear" w:color="auto" w:fill="D5EAEA"/>
          </w:tcPr>
          <w:p>
            <w:pPr>
              <w:spacing w:after="0"/>
              <w:rPr>
                <w:sz w:val="17"/>
                <w:szCs w:val="17"/>
                <w:color w:val="auto"/>
              </w:rPr>
            </w:pPr>
          </w:p>
        </w:tc>
        <w:tc>
          <w:tcPr>
            <w:tcW w:w="126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4,542</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D5EAEA"/>
          </w:tcPr>
          <w:p>
            <w:pPr>
              <w:spacing w:after="0"/>
              <w:rPr>
                <w:sz w:val="18"/>
                <w:szCs w:val="18"/>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Finance result, net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(2,125)</w:t>
            </w:r>
          </w:p>
        </w:tc>
        <w:tc>
          <w:tcPr>
            <w:tcW w:w="120" w:type="dxa"/>
            <w:vAlign w:val="bottom"/>
            <w:tcBorders>
              <w:bottom w:val="single" w:sz="8" w:color="D5EAEA"/>
            </w:tcBorders>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427</w:t>
            </w:r>
          </w:p>
        </w:tc>
        <w:tc>
          <w:tcPr>
            <w:tcW w:w="12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1,293</w:t>
            </w:r>
          </w:p>
        </w:tc>
        <w:tc>
          <w:tcPr>
            <w:tcW w:w="10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Income/(loss) before tax</w:t>
            </w:r>
          </w:p>
        </w:tc>
        <w:tc>
          <w:tcPr>
            <w:tcW w:w="11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(16,899)</w:t>
            </w:r>
          </w:p>
        </w:tc>
        <w:tc>
          <w:tcPr>
            <w:tcW w:w="120" w:type="dxa"/>
            <w:vAlign w:val="bottom"/>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(11,143)</w:t>
            </w:r>
          </w:p>
        </w:tc>
        <w:tc>
          <w:tcPr>
            <w:tcW w:w="12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46,674</w:t>
            </w:r>
          </w:p>
        </w:tc>
        <w:tc>
          <w:tcPr>
            <w:tcW w:w="10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(22,755)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Income tax expense</w:t>
            </w:r>
          </w:p>
        </w:tc>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Income/(loss) for the period</w:t>
            </w:r>
          </w:p>
        </w:tc>
        <w:tc>
          <w:tcPr>
            <w:tcW w:w="11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(16,899)</w:t>
            </w:r>
          </w:p>
        </w:tc>
        <w:tc>
          <w:tcPr>
            <w:tcW w:w="120" w:type="dxa"/>
            <w:vAlign w:val="bottom"/>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(11,143)</w:t>
            </w:r>
          </w:p>
        </w:tc>
        <w:tc>
          <w:tcPr>
            <w:tcW w:w="12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b w:val="1"/>
                <w:bCs w:val="1"/>
                <w:color w:val="auto"/>
              </w:rPr>
              <w:t>46,674</w:t>
            </w:r>
          </w:p>
        </w:tc>
        <w:tc>
          <w:tcPr>
            <w:tcW w:w="100" w:type="dxa"/>
            <w:vAlign w:val="bottom"/>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b w:val="1"/>
                <w:bCs w:val="1"/>
                <w:color w:val="auto"/>
              </w:rPr>
              <w:t>(22,755)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Income/(loss) per share (EPS):</w:t>
            </w: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Basic income/(loss) for the period attributable to equity holders</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1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Diluted income/(loss) for the period attributable to equity holders</w:t>
            </w:r>
          </w:p>
        </w:tc>
        <w:tc>
          <w:tcPr>
            <w:tcW w:w="11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(0.24)</w:t>
            </w: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(0.19)</w:t>
            </w: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0.67</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5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360" w:type="dxa"/>
            <w:vAlign w:val="bottom"/>
            <w:gridSpan w:val="4"/>
          </w:tcPr>
          <w:p>
            <w:pPr>
              <w:ind w:left="36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5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Ended June 30,</w:t>
            </w:r>
          </w:p>
        </w:tc>
        <w:tc>
          <w:tcPr>
            <w:tcW w:w="23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4"/>
          </w:tcPr>
          <w:p>
            <w:pPr>
              <w:ind w:left="320"/>
              <w:spacing w:after="0" w:line="196" w:lineRule="exact"/>
              <w:rPr>
                <w:sz w:val="20"/>
                <w:szCs w:val="20"/>
                <w:color w:val="auto"/>
              </w:rPr>
            </w:pPr>
            <w:r>
              <w:rPr>
                <w:rFonts w:ascii="Arial" w:cs="Arial" w:eastAsia="Arial" w:hAnsi="Arial"/>
                <w:sz w:val="18"/>
                <w:szCs w:val="18"/>
                <w:b w:val="1"/>
                <w:bCs w:val="1"/>
                <w:color w:val="auto"/>
              </w:rPr>
              <w:t>(in CHF thousands)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Income/(loss) for the period</w:t>
            </w:r>
          </w:p>
        </w:tc>
        <w:tc>
          <w:tcPr>
            <w:tcW w:w="116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(16,899)</w:t>
            </w: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(11,143)</w:t>
            </w: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jc w:val="right"/>
              <w:ind w:right="30"/>
              <w:spacing w:after="0" w:line="202" w:lineRule="exact"/>
              <w:rPr>
                <w:sz w:val="20"/>
                <w:szCs w:val="20"/>
                <w:color w:val="auto"/>
              </w:rPr>
            </w:pPr>
            <w:r>
              <w:rPr>
                <w:rFonts w:ascii="Arial" w:cs="Arial" w:eastAsia="Arial" w:hAnsi="Arial"/>
                <w:sz w:val="18"/>
                <w:szCs w:val="18"/>
                <w:color w:val="auto"/>
              </w:rPr>
              <w:t>46,674</w:t>
            </w: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(22,755)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line="201" w:lineRule="exact"/>
              <w:rPr>
                <w:sz w:val="20"/>
                <w:szCs w:val="20"/>
                <w:color w:val="auto"/>
              </w:rPr>
            </w:pPr>
            <w:r>
              <w:rPr>
                <w:rFonts w:ascii="Arial" w:cs="Arial" w:eastAsia="Arial" w:hAnsi="Arial"/>
                <w:sz w:val="18"/>
                <w:szCs w:val="18"/>
                <w:color w:val="auto"/>
              </w:rPr>
              <w:t>Other comprehensive income/(loss) not to be reclassified to income or loss in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160"/>
              <w:spacing w:after="0" w:line="203" w:lineRule="exact"/>
              <w:rPr>
                <w:sz w:val="20"/>
                <w:szCs w:val="20"/>
                <w:color w:val="auto"/>
              </w:rPr>
            </w:pPr>
            <w:r>
              <w:rPr>
                <w:rFonts w:ascii="Arial" w:cs="Arial" w:eastAsia="Arial" w:hAnsi="Arial"/>
                <w:sz w:val="18"/>
                <w:szCs w:val="18"/>
                <w:color w:val="auto"/>
              </w:rPr>
              <w:t>subsequent periods (net of tax):</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Re-measurement losses on defined benefit plans</w:t>
            </w:r>
          </w:p>
        </w:tc>
        <w:tc>
          <w:tcPr>
            <w:tcW w:w="1280" w:type="dxa"/>
            <w:vAlign w:val="bottom"/>
            <w:gridSpan w:val="2"/>
            <w:shd w:val="clear" w:color="auto" w:fill="D5EAEA"/>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 comprehensive income/(loss), net of tax</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(16,899)</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(11,143)</w:t>
            </w: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46,674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Earnings/(Loss) Per Share to Adjusted Earnings/(Loss) Per Share</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Non-cash share-based payments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Foreign currency losses (b)</w:t>
      </w:r>
    </w:p>
    <w:p>
      <w:pPr>
        <w:spacing w:after="0" w:line="235" w:lineRule="auto"/>
        <w:rPr>
          <w:sz w:val="20"/>
          <w:szCs w:val="20"/>
          <w:color w:val="auto"/>
        </w:rPr>
      </w:pPr>
      <w:r>
        <w:rPr>
          <w:rFonts w:ascii="Arial" w:cs="Arial" w:eastAsia="Arial" w:hAnsi="Arial"/>
          <w:sz w:val="18"/>
          <w:szCs w:val="18"/>
          <w:color w:val="auto"/>
        </w:rPr>
        <w:t>Effective interest expense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fair value of conversion feature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Weighted-average number of shares used to compute 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8"/>
          <w:szCs w:val="18"/>
          <w:color w:val="auto"/>
        </w:rPr>
        <w:t>Weighted-average number of shares used to compute Adjusted earnings/(loss) per share – diluted</w:t>
      </w:r>
    </w:p>
    <w:p>
      <w:pPr>
        <w:spacing w:after="0" w:line="233" w:lineRule="auto"/>
        <w:rPr>
          <w:sz w:val="20"/>
          <w:szCs w:val="20"/>
          <w:color w:val="auto"/>
        </w:rPr>
      </w:pPr>
      <w:r>
        <w:rPr>
          <w:rFonts w:ascii="Arial" w:cs="Arial" w:eastAsia="Arial" w:hAnsi="Arial"/>
          <w:sz w:val="22"/>
          <w:szCs w:val="22"/>
          <w:color w:val="auto"/>
        </w:rPr>
        <w:t>____________________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340" w:type="dxa"/>
            <w:vAlign w:val="bottom"/>
            <w:gridSpan w:val="2"/>
          </w:tcPr>
          <w:p>
            <w:pPr>
              <w:ind w:left="360"/>
              <w:spacing w:after="0"/>
              <w:rPr>
                <w:sz w:val="20"/>
                <w:szCs w:val="20"/>
                <w:color w:val="auto"/>
              </w:rPr>
            </w:pPr>
            <w:r>
              <w:rPr>
                <w:rFonts w:ascii="Arial" w:cs="Arial" w:eastAsia="Arial" w:hAnsi="Arial"/>
                <w:sz w:val="18"/>
                <w:szCs w:val="18"/>
                <w:b w:val="1"/>
                <w:bCs w:val="1"/>
                <w:color w:val="auto"/>
              </w:rPr>
              <w:t>For the Six Months</w:t>
            </w:r>
          </w:p>
        </w:tc>
      </w:tr>
      <w:tr>
        <w:trPr>
          <w:trHeight w:val="225"/>
        </w:trPr>
        <w:tc>
          <w:tcPr>
            <w:tcW w:w="25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Ended June 30,</w:t>
            </w:r>
          </w:p>
        </w:tc>
        <w:tc>
          <w:tcPr>
            <w:tcW w:w="2340" w:type="dxa"/>
            <w:vAlign w:val="bottom"/>
            <w:gridSpan w:val="2"/>
          </w:tcPr>
          <w:p>
            <w:pPr>
              <w:ind w:left="500"/>
              <w:spacing w:after="0"/>
              <w:rPr>
                <w:sz w:val="20"/>
                <w:szCs w:val="20"/>
                <w:color w:val="auto"/>
              </w:rPr>
            </w:pPr>
            <w:r>
              <w:rPr>
                <w:rFonts w:ascii="Arial" w:cs="Arial" w:eastAsia="Arial" w:hAnsi="Arial"/>
                <w:sz w:val="18"/>
                <w:szCs w:val="18"/>
                <w:b w:val="1"/>
                <w:bCs w:val="1"/>
                <w:color w:val="auto"/>
              </w:rPr>
              <w:t>Ended June 30,</w:t>
            </w:r>
          </w:p>
        </w:tc>
      </w:tr>
      <w:tr>
        <w:trPr>
          <w:trHeight w:val="222"/>
        </w:trPr>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16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2019</w:t>
            </w:r>
          </w:p>
        </w:tc>
        <w:tc>
          <w:tcPr>
            <w:tcW w:w="11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1045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9" w:lineRule="exact"/>
        <w:rPr>
          <w:sz w:val="20"/>
          <w:szCs w:val="20"/>
          <w:color w:val="auto"/>
        </w:rPr>
      </w:pPr>
    </w:p>
    <w:p>
      <w:pPr>
        <w:ind w:left="420"/>
        <w:spacing w:after="0"/>
        <w:tabs>
          <w:tab w:leader="none" w:pos="1680" w:val="left"/>
          <w:tab w:leader="none" w:pos="2980" w:val="left"/>
          <w:tab w:leader="none" w:pos="4140" w:val="left"/>
        </w:tabs>
        <w:rPr>
          <w:sz w:val="20"/>
          <w:szCs w:val="20"/>
          <w:color w:val="auto"/>
        </w:rPr>
      </w:pPr>
      <w:r>
        <w:rPr>
          <w:rFonts w:ascii="Arial" w:cs="Arial" w:eastAsia="Arial" w:hAnsi="Arial"/>
          <w:sz w:val="18"/>
          <w:szCs w:val="18"/>
          <w:b w:val="1"/>
          <w:bCs w:val="1"/>
          <w:color w:val="auto"/>
        </w:rPr>
        <w:t>(16,899)</w:t>
      </w:r>
      <w:r>
        <w:rPr>
          <w:sz w:val="20"/>
          <w:szCs w:val="20"/>
          <w:color w:val="auto"/>
        </w:rPr>
        <w:tab/>
      </w:r>
      <w:r>
        <w:rPr>
          <w:rFonts w:ascii="Arial" w:cs="Arial" w:eastAsia="Arial" w:hAnsi="Arial"/>
          <w:sz w:val="18"/>
          <w:szCs w:val="18"/>
          <w:b w:val="1"/>
          <w:bCs w:val="1"/>
          <w:color w:val="auto"/>
        </w:rPr>
        <w:t>(11,143)</w:t>
      </w:r>
      <w:r>
        <w:rPr>
          <w:sz w:val="20"/>
          <w:szCs w:val="20"/>
          <w:color w:val="auto"/>
        </w:rPr>
        <w:tab/>
      </w:r>
      <w:r>
        <w:rPr>
          <w:rFonts w:ascii="Arial" w:cs="Arial" w:eastAsia="Arial" w:hAnsi="Arial"/>
          <w:sz w:val="18"/>
          <w:szCs w:val="18"/>
          <w:b w:val="1"/>
          <w:bCs w:val="1"/>
          <w:color w:val="auto"/>
        </w:rPr>
        <w:t>46,674</w:t>
      </w:r>
      <w:r>
        <w:rPr>
          <w:sz w:val="20"/>
          <w:szCs w:val="20"/>
          <w:color w:val="auto"/>
        </w:rPr>
        <w:tab/>
      </w:r>
      <w:r>
        <w:rPr>
          <w:rFonts w:ascii="Arial" w:cs="Arial" w:eastAsia="Arial" w:hAnsi="Arial"/>
          <w:sz w:val="18"/>
          <w:szCs w:val="18"/>
          <w:b w:val="1"/>
          <w:bCs w:val="1"/>
          <w:color w:val="auto"/>
        </w:rPr>
        <w:t>(22,755)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1045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7"/>
                <w:szCs w:val="17"/>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7"/>
                <w:szCs w:val="17"/>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1,314</w:t>
            </w:r>
          </w:p>
        </w:tc>
      </w:tr>
      <w:tr>
        <w:trPr>
          <w:trHeight w:val="203"/>
        </w:trPr>
        <w:tc>
          <w:tcPr>
            <w:tcW w:w="11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513</w:t>
            </w: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558</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r>
      <w:tr>
        <w:trPr>
          <w:trHeight w:val="216"/>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(4,542)</w:t>
            </w:r>
          </w:p>
        </w:tc>
        <w:tc>
          <w:tcPr>
            <w:tcW w:w="100" w:type="dxa"/>
            <w:vAlign w:val="bottom"/>
          </w:tcPr>
          <w:p>
            <w:pPr>
              <w:spacing w:after="0"/>
              <w:rPr>
                <w:sz w:val="17"/>
                <w:szCs w:val="17"/>
                <w:color w:val="auto"/>
              </w:rPr>
            </w:pPr>
          </w:p>
        </w:tc>
        <w:tc>
          <w:tcPr>
            <w:tcW w:w="11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(15,497)</w:t>
            </w: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(10,828)</w:t>
            </w: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45,191</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(21,636)</w:t>
            </w:r>
          </w:p>
        </w:tc>
      </w:tr>
      <w:tr>
        <w:trPr>
          <w:trHeight w:val="412"/>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196"/>
        </w:trPr>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r>
      <w:tr>
        <w:trPr>
          <w:trHeight w:val="196"/>
        </w:trPr>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0.02</w:t>
            </w:r>
          </w:p>
        </w:tc>
      </w:tr>
      <w:tr>
        <w:trPr>
          <w:trHeight w:val="196"/>
        </w:trPr>
        <w:tc>
          <w:tcPr>
            <w:tcW w:w="11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0.02</w:t>
            </w:r>
          </w:p>
        </w:tc>
      </w:tr>
      <w:tr>
        <w:trPr>
          <w:trHeight w:val="196"/>
        </w:trPr>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(0.19)</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0.65</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(0.38)</w:t>
            </w:r>
          </w:p>
        </w:tc>
      </w:tr>
      <w:tr>
        <w:trPr>
          <w:trHeight w:val="196"/>
        </w:trPr>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(0.19)</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0.65</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(0.38)</w:t>
            </w:r>
          </w:p>
        </w:tc>
      </w:tr>
      <w:tr>
        <w:trPr>
          <w:trHeight w:val="399"/>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70,764,091</w:t>
            </w:r>
          </w:p>
        </w:tc>
        <w:tc>
          <w:tcPr>
            <w:tcW w:w="1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57,423,650</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69,351,363</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57,395,987</w:t>
            </w:r>
          </w:p>
        </w:tc>
      </w:tr>
      <w:tr>
        <w:trPr>
          <w:trHeight w:val="405"/>
        </w:trPr>
        <w:tc>
          <w:tcPr>
            <w:tcW w:w="1160" w:type="dxa"/>
            <w:vAlign w:val="bottom"/>
          </w:tcPr>
          <w:p>
            <w:pPr>
              <w:jc w:val="right"/>
              <w:ind w:right="30"/>
              <w:spacing w:after="0"/>
              <w:rPr>
                <w:sz w:val="20"/>
                <w:szCs w:val="20"/>
                <w:color w:val="auto"/>
              </w:rPr>
            </w:pPr>
            <w:r>
              <w:rPr>
                <w:rFonts w:ascii="Arial" w:cs="Arial" w:eastAsia="Arial" w:hAnsi="Arial"/>
                <w:sz w:val="18"/>
                <w:szCs w:val="18"/>
                <w:color w:val="auto"/>
              </w:rPr>
              <w:t>70,764,091</w:t>
            </w:r>
          </w:p>
        </w:tc>
        <w:tc>
          <w:tcPr>
            <w:tcW w:w="1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57,423,650</w:t>
            </w: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69,845,858</w:t>
            </w:r>
          </w:p>
        </w:tc>
        <w:tc>
          <w:tcPr>
            <w:tcW w:w="1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57,395,987</w:t>
            </w:r>
          </w:p>
        </w:tc>
      </w:tr>
    </w:tbl>
    <w:p>
      <w:pPr>
        <w:spacing w:after="0" w:line="228" w:lineRule="exact"/>
        <w:rPr>
          <w:sz w:val="20"/>
          <w:szCs w:val="20"/>
          <w:color w:val="auto"/>
        </w:rPr>
      </w:pPr>
    </w:p>
    <w:p>
      <w:pPr>
        <w:sectPr>
          <w:pgSz w:w="11900" w:h="16838" w:orient="portrait"/>
          <w:cols w:equalWidth="0" w:num="2">
            <w:col w:w="6280" w:space="260"/>
            <w:col w:w="4880"/>
          </w:cols>
          <w:pgMar w:left="240" w:top="576" w:right="239" w:bottom="1440" w:gutter="0" w:footer="0" w:header="0"/>
          <w:type w:val="continuous"/>
        </w:sectPr>
      </w:pPr>
    </w:p>
    <w:p>
      <w:pPr>
        <w:ind w:left="340" w:right="380" w:hanging="332"/>
        <w:spacing w:after="0" w:line="23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 w:lineRule="exact"/>
        <w:rPr>
          <w:rFonts w:ascii="Arial" w:cs="Arial" w:eastAsia="Arial" w:hAnsi="Arial"/>
          <w:sz w:val="18"/>
          <w:szCs w:val="18"/>
          <w:color w:val="auto"/>
        </w:rPr>
      </w:pPr>
    </w:p>
    <w:p>
      <w:pPr>
        <w:ind w:left="340" w:right="420" w:hanging="332"/>
        <w:spacing w:after="0" w:line="23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 w:lineRule="exact"/>
        <w:rPr>
          <w:rFonts w:ascii="Arial" w:cs="Arial" w:eastAsia="Arial" w:hAnsi="Arial"/>
          <w:sz w:val="18"/>
          <w:szCs w:val="18"/>
          <w:color w:val="auto"/>
        </w:rPr>
      </w:pPr>
    </w:p>
    <w:p>
      <w:pPr>
        <w:ind w:left="340" w:right="100" w:hanging="332"/>
        <w:spacing w:after="0" w:line="23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198"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For the three and six months ended June 30, 2019, adjustments decreased net loss and net income by CHF 1.4 million and CHF 1.5 million compared with decreases to the net losses by CHF 0.3 million and CHF 1.1 million for the comparable periods in 2018, respectively. The Company recorded CHF 0.6 million and CHF 1.1 million for the three and six months, respectively, for share-based compensation expenses. There were foreign currency remeasurement losses of CHF 0.5 million and 0.6 million, respectively, predominantly related to foreign currency fluctuations. The Company recorded CHF 0.4 million and CHF 1.4 million for amortization of effective interest for the three and six months ended June 30, 2019, respectively. Finally, the Company recognized less than a CHF 0.1 million and a CHF 4.5 million gain for the change in fair value of the liability related to the conversion feature.</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7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66"/>
    </w:lvl>
  </w:abstractNum>
  <w:abstractNum w:abstractNumId="4">
    <w:nsid w:val="3352255A"/>
    <w:multiLevelType w:val="hybridMultilevel"/>
    <w:lvl w:ilvl="0">
      <w:lvlJc w:val="left"/>
      <w:lvlText w:val="%1"/>
      <w:numFmt w:val="decimal"/>
      <w:start w:val="356"/>
    </w:lvl>
  </w:abstractNum>
  <w:abstractNum w:abstractNumId="5">
    <w:nsid w:val="109CF92E"/>
    <w:multiLevelType w:val="hybridMultilevel"/>
    <w:lvl w:ilvl="0">
      <w:lvlJc w:val="left"/>
      <w:lvlText w:val="%1"/>
      <w:numFmt w:val="upperLetter"/>
      <w:start w:val="61"/>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4"/>
    </w:lvl>
  </w:abstractNum>
  <w:abstractNum w:abstractNumId="8">
    <w:nsid w:val="1BEFD79F"/>
    <w:multiLevelType w:val="hybridMultilevel"/>
    <w:lvl w:ilvl="0">
      <w:lvlJc w:val="left"/>
      <w:lvlText w:val="%1."/>
      <w:numFmt w:val="decimal"/>
      <w:start w:val="5"/>
    </w:lvl>
  </w:abstractNum>
  <w:abstractNum w:abstractNumId="9">
    <w:nsid w:val="41A7C4C9"/>
    <w:multiLevelType w:val="hybridMultilevel"/>
    <w:lvl w:ilvl="0">
      <w:lvlJc w:val="left"/>
      <w:lvlText w:val="%1."/>
      <w:numFmt w:val="decimal"/>
      <w:start w:val="7"/>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decimal"/>
      <w:start w:val="197"/>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2019-11-30T00:36:00Z</dcterms:created>
  <dcterms:modified xsi:type="dcterms:W3CDTF">2019-11-30T00:36:00Z</dcterms:modified>
</cp:coreProperties>
</file>