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September, 2020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189865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207010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80"/>
          </w:cols>
          <w:pgMar w:left="460" w:top="630" w:right="459" w:bottom="1440" w:gutter="0" w:footer="0" w:header="0"/>
        </w:sectPr>
      </w:pPr>
    </w:p>
    <w:bookmarkStart w:id="1" w:name="page2"/>
    <w:bookmarkEnd w:id="1"/>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On September 8, 2020, AC Immune SA (the “Company”), entered into an Open Market Sales Agreement (the “Open Market Sales Agreement”) with Jefferies LLC (the “Agent”). Pursuant to the terms of the Open Market Sales Agreement, the Company may sell from time to time through or to the Agent, as the Company’s sales agent, shares of the Company’s common shares, nominal value CHF 0.02, having an aggregate offering price of up to $80,000,000 (the “Shares”). The sales, if any, of the Shares under the Open Market Sales Agreement will be made by any method permitted by law deemed to be an “at the market offering” as defined in Rule 415 promulgated under the Securities Act of 1933, as amended (the “Securities Act”).</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sales of Shares through the Agent, as the Company’s sales agent, the Company will pay the Agent a commission at a mutually agreed rate of 3.0% of the gross sales price per Share. In addition, the Company has agreed to pay certain expenses incurred by the Agent in connection with the offering. The Company may also sell Shares to the Agent as principal for such Agent’s own account at a price agreed upon at the time of sale. The Company has no obligation to sell any shares under the Open Market Sales Agreement, and may at any time suspend the offering of shares under the Open Market Sales Agreement.</w:t>
      </w:r>
    </w:p>
    <w:p>
      <w:pPr>
        <w:spacing w:after="0" w:line="183"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7"/>
          <w:szCs w:val="17"/>
          <w:color w:val="auto"/>
        </w:rPr>
        <w:t>The Open Market Sales Agreement contains customary representations and warranties of the parties and indemnification and contribution provisions under which the Company and the Agent have agreed to indemnify each other against certain liabilities, including liabilities under the Securities Act. The Company expects to use the net proceeds from sales, if any, under the Open Market Sales Agreement of the Shares, for research and clinical development of current and/or additional pipeline candidates, our technology platforms, working capital, capital expenditures and general corporate purposes.</w:t>
      </w:r>
    </w:p>
    <w:p>
      <w:pPr>
        <w:spacing w:after="0" w:line="16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Open Market Sales Agreement were made only for purposes of that agreement and as of specific dates, were solely for the benefit of the parties to the Open Market Sales Agreement and may be subject to limitations agreed upon by the parties, including being qualified by confidential disclosures made by each contracting party to the other as a way of allocating contractual risk between them that differ from those applicable to investors. Moreover, the subject matter of the representations and warranties are subject to more recent developments. Accordingly, investors should be aware that these representations, warranties and covenants or any description thereof alone may not describe the actual state of affairs of the Company or its subsidiaries, affiliates, businesses or shareholders as of the date they were made or at any other time.</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Shares will be issued pursuant to the Company’s shelf registration statement on Form F-3 (File No. 333-224694). The Company filed a prospectus supplement, dated September 8, 2020, with the Securities and Exchange Commission in connection with the offer and sale of the Shares pursuant to the Open Market Sales Agreement.</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Open Market Sales Agreement is not complete and is qualified in its entirety by reference to the full text of such agreement, a copy of which is filed herewith as Exhibit 1.1 to this Current Report on Form 6-K and is incorporated herein by reference.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legal opinion of Bär &amp; Karrer Ltd. relating to the common shares being offered is filed as Exhibit 5.1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99" w:lineRule="exact"/>
        <w:rPr>
          <w:sz w:val="20"/>
          <w:szCs w:val="20"/>
          <w:color w:val="auto"/>
        </w:rPr>
      </w:pPr>
    </w:p>
    <w:p>
      <w:pPr>
        <w:ind w:left="7320"/>
        <w:spacing w:after="0"/>
        <w:tabs>
          <w:tab w:leader="none" w:pos="7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17145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320"/>
        <w:spacing w:after="0"/>
        <w:tabs>
          <w:tab w:leader="none" w:pos="7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17145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September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0" w:type="dxa"/>
            <w:vAlign w:val="bottom"/>
          </w:tcPr>
          <w:p>
            <w:pPr>
              <w:spacing w:after="0"/>
              <w:rPr>
                <w:sz w:val="20"/>
                <w:szCs w:val="20"/>
                <w:color w:val="auto"/>
              </w:rPr>
            </w:pPr>
          </w:p>
        </w:tc>
      </w:tr>
      <w:tr>
        <w:trPr>
          <w:trHeight w:val="477"/>
        </w:trPr>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010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r>
      <w:tr>
        <w:trPr>
          <w:trHeight w:val="344"/>
        </w:trPr>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Open Market Sales Agreement, dated as of September 8, 2020, between AC Immune SA and Jefferies LLC.</w:t>
            </w:r>
          </w:p>
        </w:tc>
        <w:tc>
          <w:tcPr>
            <w:tcW w:w="60" w:type="dxa"/>
            <w:vAlign w:val="bottom"/>
          </w:tcPr>
          <w:p>
            <w:pPr>
              <w:spacing w:after="0"/>
              <w:rPr>
                <w:sz w:val="24"/>
                <w:szCs w:val="24"/>
                <w:color w:val="auto"/>
              </w:rPr>
            </w:pPr>
          </w:p>
        </w:tc>
      </w:tr>
      <w:tr>
        <w:trPr>
          <w:trHeight w:val="729"/>
        </w:trPr>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Opinion of Bär &amp; Karrer Ltd.</w:t>
            </w:r>
          </w:p>
        </w:tc>
        <w:tc>
          <w:tcPr>
            <w:tcW w:w="60" w:type="dxa"/>
            <w:vAlign w:val="bottom"/>
          </w:tcPr>
          <w:p>
            <w:pPr>
              <w:spacing w:after="0"/>
              <w:rPr>
                <w:sz w:val="24"/>
                <w:szCs w:val="24"/>
                <w:color w:val="auto"/>
              </w:rPr>
            </w:pPr>
          </w:p>
        </w:tc>
      </w:tr>
      <w:tr>
        <w:trPr>
          <w:trHeight w:val="729"/>
        </w:trPr>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Consent of Bär &amp; Karrer Ltd. (included in Exhibit 5.1).</w:t>
            </w:r>
          </w:p>
        </w:tc>
        <w:tc>
          <w:tcPr>
            <w:tcW w:w="60" w:type="dxa"/>
            <w:vAlign w:val="bottom"/>
          </w:tcPr>
          <w:p>
            <w:pPr>
              <w:spacing w:after="0"/>
              <w:rPr>
                <w:sz w:val="24"/>
                <w:szCs w:val="24"/>
                <w:color w:val="auto"/>
              </w:rPr>
            </w:pPr>
          </w:p>
        </w:tc>
      </w:tr>
      <w:tr>
        <w:trPr>
          <w:trHeight w:val="904"/>
        </w:trPr>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OPEN MARKET SALE AGREEMENT</w:t>
      </w:r>
      <w:r>
        <w:rPr>
          <w:rFonts w:ascii="Times New Roman" w:cs="Times New Roman" w:eastAsia="Times New Roman" w:hAnsi="Times New Roman"/>
          <w:sz w:val="29"/>
          <w:szCs w:val="29"/>
          <w:b w:val="1"/>
          <w:bCs w:val="1"/>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 Immune SA,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with registered seat in Ecublens (VD),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conditions stated herein, to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the Company’s common shares, nominal value CHF 0.02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having an aggregate offering price of up to $80.0 million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9" w:lineRule="exact"/>
        <w:rPr>
          <w:sz w:val="20"/>
          <w:szCs w:val="20"/>
          <w:color w:val="auto"/>
        </w:rPr>
      </w:pPr>
    </w:p>
    <w:p>
      <w:pPr>
        <w:ind w:firstLine="656"/>
        <w:spacing w:after="0" w:line="282" w:lineRule="auto"/>
        <w:tabs>
          <w:tab w:leader="none" w:pos="12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Period</w:t>
      </w:r>
      <w:r>
        <w:rPr>
          <w:rFonts w:ascii="Times New Roman" w:cs="Times New Roman" w:eastAsia="Times New Roman" w:hAnsi="Times New Roman"/>
          <w:sz w:val="18"/>
          <w:szCs w:val="18"/>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Fiduciary</w:t>
      </w:r>
      <w:r>
        <w:rPr>
          <w:rFonts w:ascii="Times New Roman" w:cs="Times New Roman" w:eastAsia="Times New Roman" w:hAnsi="Times New Roman"/>
          <w:sz w:val="18"/>
          <w:szCs w:val="18"/>
          <w:color w:val="auto"/>
        </w:rPr>
        <w:t>” means Treuco AG, Claridenstrasse 25, 8002 Zurich, Switzerland.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Notice by delivering written notice of such change to the Agent and which in no event shall be less than $1.00 without the prior written consent of the Agent, which may be withheld in the Agent’s sole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is executed by its Chief Executive Officer </w:t>
      </w:r>
      <w:r>
        <w:rPr>
          <w:rFonts w:ascii="Times New Roman" w:cs="Times New Roman" w:eastAsia="Times New Roman" w:hAnsi="Times New Roman"/>
          <w:sz w:val="18"/>
          <w:szCs w:val="18"/>
          <w:u w:val="single" w:color="auto"/>
          <w:color w:val="auto"/>
        </w:rPr>
        <w:t>or Chief Financial Officer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w:t>
      </w:r>
      <w:r>
        <w:rPr>
          <w:rFonts w:ascii="Times New Roman" w:cs="Times New Roman" w:eastAsia="Times New Roman" w:hAnsi="Times New Roman"/>
          <w:sz w:val="18"/>
          <w:szCs w:val="18"/>
          <w:u w:val="single" w:color="auto"/>
          <w:color w:val="auto"/>
        </w:rPr>
        <w:t>delivered</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the Sales Price less the Selling Commission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share capital), (c) the number or dollar amount of Common Shares permitted to be sold under Form F-3 (including General Instruction I.B.5 thereof, if applicable), or (d) the number or dollar amount of Common Shares for which the Company has filed a Prospectus (defined below).</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Market or such other national securities exchange on which the Common Shares, including any Shares, are then listed.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up to three percent (3%) of the gross proceeds of Shares sold pursuant to this Agreement, or as otherwise agreed between the Company and the Agent with respect to any Shares sold pursuant to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second business day following each Trading Day during the period set forth in the Issuance Notice on which Shares are sold pursuant to this Agreement, when the Company or any third party designated by the Company shall deliver to the Agent the amount of Shares sold on such Trading Day and the Agent shall deliver to the Company the Issuance Price received on such sales.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Company’s Common Shares to be delivered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represents and warrants to, and agrees with, the Agent that as of (1) the date of this Agreement, (2) each Issuance Notice Date, (3) each Settlement Date, (4) each Triggering Event Date and (5) as of each Time of Sale (as defined below)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w:t>
      </w:r>
    </w:p>
    <w:p>
      <w:pPr>
        <w:spacing w:after="0" w:line="180" w:lineRule="exact"/>
        <w:rPr>
          <w:sz w:val="20"/>
          <w:szCs w:val="20"/>
          <w:color w:val="auto"/>
        </w:rPr>
      </w:pPr>
    </w:p>
    <w:p>
      <w:pPr>
        <w:jc w:val="both"/>
        <w:ind w:firstLine="656"/>
        <w:spacing w:after="0" w:line="252" w:lineRule="auto"/>
        <w:tabs>
          <w:tab w:leader="none" w:pos="13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Commission a shelf registration statement on Form F-3 (File No. 333-224694)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6 of Form F-3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6 of Form F-3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the Registration Statement was or will be originally declared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the Company will meet the then-applicable requirements for use of Form F-3 under the Securities Act.</w:t>
      </w:r>
    </w:p>
    <w:p>
      <w:pPr>
        <w:spacing w:after="0" w:line="180" w:lineRule="exact"/>
        <w:rPr>
          <w:sz w:val="20"/>
          <w:szCs w:val="20"/>
          <w:color w:val="auto"/>
        </w:rPr>
      </w:pPr>
    </w:p>
    <w:p>
      <w:pPr>
        <w:jc w:val="both"/>
        <w:ind w:firstLine="656"/>
        <w:spacing w:after="0" w:line="258" w:lineRule="auto"/>
        <w:tabs>
          <w:tab w:leader="none" w:pos="12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Prospectus when filed complied in all material respects with the Securities Act and, if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as may be permitted by Regulation S-T under the Securities Act), was identical to the copy thereof delivered to the Agent for use in connection with the sale of the Shares at each Settlement Date. Each of the Registration Statement, any Rule 462(b)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656"/>
        <w:spacing w:after="0" w:line="253" w:lineRule="auto"/>
        <w:tabs>
          <w:tab w:leader="none" w:pos="1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Settlement Date,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or any Free Writing Prospectus.</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1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Company has sufficient authorized capital to issue shares to fulfill its delivery obligations under this Agreement and the Shares, when an Issuance Notice is delivered to the Agent, will have been duly authorized for sale pursuant to this Agreement and, when registered with the Commercial Register and issued and delivered by the Company or any third party designated by the Company against payment therefor pursuant to this Agreement, will be validly issued, fully paid and nonassessable, and, other than as expressly set forth in this Agreement or the Prospectus, the issuance and sale of the Shares is not subject to any preemptive rights, rights of first refusal or other similar rights to subscribe for or purchase the Shares that will not have been validly waived or excluded.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56"/>
        <w:spacing w:after="0" w:line="258" w:lineRule="auto"/>
        <w:tabs>
          <w:tab w:leader="none" w:pos="13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Rights or Similar Rights</w:t>
      </w:r>
      <w:r>
        <w:rPr>
          <w:rFonts w:ascii="Times New Roman" w:cs="Times New Roman" w:eastAsia="Times New Roman" w:hAnsi="Times New Roman"/>
          <w:sz w:val="18"/>
          <w:szCs w:val="18"/>
          <w:color w:val="auto"/>
        </w:rPr>
        <w:t>. Except as disclosed in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disclosed in the Registration Statement and the Prospectus, since the end of the period covered by the latest audited financial statements included in the Registration Statement and the Prospectus,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share capital and (iii) there has been no material adverse change in the share capital, short-term indebtedness, long-term indebtedness, net current assets or net assets of the Company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Each of Ernst &amp; Young AG and PricewaterhouseCoopers SA, which has each expressed its opinion with respect to certain financial statements (which term as used in this Agreement includes the related notes thereto) filed with the Commission as a part of the Registration Statement and the Prospectus, was, at the time of expressing such opinion, (i) an independent registered public accounting firm as required by the Securities Act, the Exchange Act, and the rules of the Public Company Accounting Oversight Board (“PCAOB”), (ii) in compliance with the applicable requirements relating to the qualification of accountants under Rule 2-01 of Regulation S-X under the Securities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CO, the Swiss Audit Supervision Act (</w:t>
      </w:r>
      <w:r>
        <w:rPr>
          <w:rFonts w:ascii="Times New Roman" w:cs="Times New Roman" w:eastAsia="Times New Roman" w:hAnsi="Times New Roman"/>
          <w:sz w:val="18"/>
          <w:szCs w:val="18"/>
          <w:i w:val="1"/>
          <w:iCs w:val="1"/>
          <w:color w:val="auto"/>
        </w:rPr>
        <w:t>Revisionsaufsichtsgesetz</w:t>
      </w:r>
      <w:r>
        <w:rPr>
          <w:rFonts w:ascii="Times New Roman" w:cs="Times New Roman" w:eastAsia="Times New Roman" w:hAnsi="Times New Roman"/>
          <w:sz w:val="18"/>
          <w:szCs w:val="18"/>
          <w:color w:val="auto"/>
        </w:rPr>
        <w:t>) and any ordinances promulgated thereunder.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or incorporated by reference in each Registration Statement and the Prospectus (including the statutory financial statements of the Company included or incorporated by reference in the Prospectus)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(the “</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applied on a consistent basis, or in the case of the statutory financial statement of the Company, have been prepared in accordance with Swiss law, and the schedules included in each of the Registration Statement and the Prospectus present fairly in all material respects the information required to be stated therein.</w:t>
      </w:r>
    </w:p>
    <w:p>
      <w:pPr>
        <w:spacing w:after="0" w:line="184" w:lineRule="exact"/>
        <w:rPr>
          <w:rFonts w:ascii="Times New Roman" w:cs="Times New Roman" w:eastAsia="Times New Roman" w:hAnsi="Times New Roman"/>
          <w:sz w:val="18"/>
          <w:szCs w:val="18"/>
          <w:color w:val="auto"/>
        </w:rPr>
      </w:pPr>
    </w:p>
    <w:p>
      <w:pPr>
        <w:jc w:val="both"/>
        <w:ind w:firstLine="656"/>
        <w:spacing w:after="0" w:line="262" w:lineRule="auto"/>
        <w:tabs>
          <w:tab w:leader="none" w:pos="11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Except as set forth in the Prospectus, the Company and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the applicable provisions of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and the Exchange Act. The Company maintains a system of internal controls, including, but not limited to, disclosure controls and procedures, internal controls over accounting matters and financial reporting, 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internal audit function and legal and 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IFRS as issued by the ISAB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the eXtensible Business Reporting Language included or incorporated by reference in the Registration Statement and the Prospectus fairly presents the information called for in all material respects and is prepared in accordance with the Commission’s rules and guidelines thereto. The Internal Controls are, or upon consummation of the offering of the Shares will be, overseen by the Audit &amp; Finance Committee (the “</w:t>
      </w:r>
      <w:r>
        <w:rPr>
          <w:rFonts w:ascii="Times New Roman" w:cs="Times New Roman" w:eastAsia="Times New Roman" w:hAnsi="Times New Roman"/>
          <w:sz w:val="18"/>
          <w:szCs w:val="18"/>
          <w:b w:val="1"/>
          <w:bCs w:val="1"/>
          <w:color w:val="auto"/>
        </w:rPr>
        <w:t>Audit &amp; Finance Committee</w:t>
      </w:r>
      <w:r>
        <w:rPr>
          <w:rFonts w:ascii="Times New Roman" w:cs="Times New Roman" w:eastAsia="Times New Roman" w:hAnsi="Times New Roman"/>
          <w:sz w:val="18"/>
          <w:szCs w:val="18"/>
          <w:color w:val="auto"/>
        </w:rPr>
        <w:t>”) of the Board in accordance with Exchange Act. Except as disclosed in the Prospectus, the 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any violation of, or failure to comply with, Sarbanes-Oxley, the Exchange Act and the rules of the Principal Market, or any matter which, if determined adversely, would have a Material Adverse Change.</w:t>
      </w:r>
    </w:p>
    <w:p>
      <w:pPr>
        <w:spacing w:after="0" w:line="189" w:lineRule="exact"/>
        <w:rPr>
          <w:sz w:val="20"/>
          <w:szCs w:val="20"/>
          <w:color w:val="auto"/>
        </w:rPr>
      </w:pPr>
    </w:p>
    <w:p>
      <w:pPr>
        <w:jc w:val="both"/>
        <w:ind w:firstLine="656"/>
        <w:spacing w:after="0" w:line="267" w:lineRule="auto"/>
        <w:tabs>
          <w:tab w:leader="none" w:pos="12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been duly incorporated and is duly organized and validly existing under the laws of Switzerland, with full power and authority (corporate and other) to own its properties and conduct its business as described in the Registration Statement and the Prospectus.</w:t>
      </w:r>
    </w:p>
    <w:p>
      <w:pPr>
        <w:spacing w:after="0" w:line="17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Company has no subsidiaries (as defined in Rule 405 under the Securities Act).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issued and outstanding share capital and the authorized share capital as well as the conditional share capital of the Company are as set forth in the Registration Statement and the Prospectus under the caption “Description of Share Capital and Articles of Incorporation” (other than for subsequent issuances, if any, pursuant to employee benefit plans,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and the CO.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or other rights convertible into or exchangeable or exercisable for, any capital stock of the Company other than those described in the Registration Statement and the Prospectus. The descriptions of the Company’s stock option, stock bonus and other stock plans or similar arrangements, and the options or other rights granted thereunder, set forth in the Registration Statement and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Prospectus accurately and fairly presents the information required to be shown with respect to such plans, arrangements, options and rights.</w:t>
      </w:r>
    </w:p>
    <w:p>
      <w:pPr>
        <w:spacing w:after="0" w:line="225" w:lineRule="exact"/>
        <w:rPr>
          <w:sz w:val="20"/>
          <w:szCs w:val="20"/>
          <w:color w:val="auto"/>
        </w:rPr>
      </w:pPr>
    </w:p>
    <w:p>
      <w:pPr>
        <w:jc w:val="both"/>
        <w:ind w:firstLine="656"/>
        <w:spacing w:after="0" w:line="258" w:lineRule="auto"/>
        <w:tabs>
          <w:tab w:leader="none" w:pos="12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Other than (a) the issuance of the Shares to the Fiduciary in one or more installments and the registration of the Shares with the commercial register of the Canton of Vaud, the registration of the Fiduciary in the Company’s book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as first holder of the Shares and in the Company's share register and the subsequent assignment and transfer of the Shares from the Fiduciary to the Agent and the registration of the Agent in the Company’s share register, and (b) the implementing and declaratory resolutions (</w:t>
      </w:r>
      <w:r>
        <w:rPr>
          <w:rFonts w:ascii="Times New Roman" w:cs="Times New Roman" w:eastAsia="Times New Roman" w:hAnsi="Times New Roman"/>
          <w:sz w:val="18"/>
          <w:szCs w:val="18"/>
          <w:i w:val="1"/>
          <w:iCs w:val="1"/>
          <w:color w:val="auto"/>
        </w:rPr>
        <w:t>Durchführungs- und Feststellungsbeschlüsse</w:t>
      </w:r>
      <w:r>
        <w:rPr>
          <w:rFonts w:ascii="Times New Roman" w:cs="Times New Roman" w:eastAsia="Times New Roman" w:hAnsi="Times New Roman"/>
          <w:sz w:val="18"/>
          <w:szCs w:val="18"/>
          <w:color w:val="auto"/>
        </w:rPr>
        <w:t>) of the Board required in connection with the authorized capital increase(s) of the Company in order to create the Shares, no consent, approval, authorization, or order of, or filing or registration with, any person (including any governmental agency or body or any court) is required for the consummation of the transactions contemplated by this Agreement in connection with the offering, issuance and sale of the Shares by the Company, except such as have been obtained or made or will be obtained or made at the Settlement Date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1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w:t>
      </w:r>
      <w:r>
        <w:rPr>
          <w:rFonts w:ascii="Times New Roman" w:cs="Times New Roman" w:eastAsia="Times New Roman" w:hAnsi="Times New Roman"/>
          <w:sz w:val="18"/>
          <w:szCs w:val="18"/>
          <w:color w:val="auto"/>
        </w:rPr>
        <w:t>. 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pursuant to, (i) the Articles of Association of the Company, (ii) the terms of any indenture, contract, lease, mortgage, deed of trust, note agreement, loan agreement or other agreement, obligation, condition, covenant or instrument to which the Company is a party or bound or to which its property is subject, or (iii) any statute, rule, regulation or order of any governmental agency or body or any court, domestic or foreign, having jurisdiction over the Company or any of its properties, except in the cases of clauses (ii) and (iii) for such breach, violation or imposition as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Existing Defaults and Conflicts</w:t>
      </w:r>
      <w:r>
        <w:rPr>
          <w:rFonts w:ascii="Times New Roman" w:cs="Times New Roman" w:eastAsia="Times New Roman" w:hAnsi="Times New Roman"/>
          <w:sz w:val="18"/>
          <w:szCs w:val="18"/>
          <w:color w:val="auto"/>
        </w:rPr>
        <w:t>. The Company is not in violation of its articles of association or similar organizational documents 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firstLine="656"/>
        <w:spacing w:after="0" w:line="282" w:lineRule="auto"/>
        <w:tabs>
          <w:tab w:leader="none" w:pos="11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has been and is in compliance with all applicable laws, rules and regulations, except where failure to be so in compliance could not be expected, individually or in the aggregate,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Registration Statement or the Prospectus,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1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Disputes</w:t>
      </w:r>
      <w:r>
        <w:rPr>
          <w:rFonts w:ascii="Times New Roman" w:cs="Times New Roman" w:eastAsia="Times New Roman" w:hAnsi="Times New Roman"/>
          <w:sz w:val="18"/>
          <w:szCs w:val="18"/>
          <w:color w:val="auto"/>
        </w:rPr>
        <w:t>. No labor dispute with the employees of the Company exists or, to the knowledge of the Company, is imminent that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owns, possesses or can acquire on reasonable terms all trademarks, trade names, patent rights, copyrights, domain names, licenses, trade secrets, inventions, technology, know-how and other intellectual property and similar proprietary rights, including registrations and applications for registration thereof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described in the Prospectus and, to the knowledge of the Company and except as disclosed in the Prospectus, owns all Intellectual Property Rights necessary or material to the conduct of the business now conducted or proposed in the Prospectus to be conducted by it. Except as disclosed in the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 (iii) 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(i)–(iv) as would not, individually or in the aggregate, reasonably be expected to have a Material Adverse Effect.</w:t>
      </w:r>
    </w:p>
    <w:p>
      <w:pPr>
        <w:spacing w:after="0" w:line="195" w:lineRule="exact"/>
        <w:rPr>
          <w:rFonts w:ascii="Times New Roman" w:cs="Times New Roman" w:eastAsia="Times New Roman" w:hAnsi="Times New Roman"/>
          <w:sz w:val="18"/>
          <w:szCs w:val="18"/>
          <w:color w:val="auto"/>
        </w:rPr>
      </w:pPr>
    </w:p>
    <w:p>
      <w:pPr>
        <w:ind w:firstLine="656"/>
        <w:spacing w:after="0" w:line="282"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possesses, and is in compliance with the terms of, all adequate certificates, authorizations, franchises, licenses and permits, including, without limitation,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equivalent foreign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18"/>
          <w:szCs w:val="18"/>
          <w:color w:val="auto"/>
        </w:rPr>
        <w:t>regulatory authorities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necessary or material to the conduct of the business now conducted or proposed in the Registration Statement or the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175" w:lineRule="exact"/>
        <w:rPr>
          <w:sz w:val="20"/>
          <w:szCs w:val="20"/>
          <w:color w:val="auto"/>
        </w:rPr>
      </w:pPr>
    </w:p>
    <w:p>
      <w:pPr>
        <w:jc w:val="both"/>
        <w:ind w:firstLine="656"/>
        <w:spacing w:after="0" w:line="258"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The Company does not own any real property. Except as disclosed in the Registration Statement or the Prospectus, the Company has good and marketable title to all other material properties and assets owned by it, in each case free from liens, charges, encumbrances and defects that would reasonably be expected to have a Material Adverse Effect and, except as disclosed in the Registration Statement or the Prospectus, the Company holds any leased real or personal property under valid and enforceable leases with no terms or provisions that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The Company has filed all federal, state, local and non-U.S. tax returns that are required to be filed by it or has requested extensions thereof (except in any case in which the failure so to file would not have a Material Adverse Effect); and except as disclosed in the Prospectus, the Company has paid all taxes (including any assessments, fines or penalties) shown as due thereon, except for any such taxes, assessments, fines or penalties currently being contested in good faith or as would not, individually or in the aggregate, have a Material Adverse Effect.</w:t>
      </w:r>
    </w:p>
    <w:p>
      <w:pPr>
        <w:spacing w:after="0" w:line="180" w:lineRule="exact"/>
        <w:rPr>
          <w:sz w:val="20"/>
          <w:szCs w:val="20"/>
          <w:color w:val="auto"/>
        </w:rPr>
      </w:pPr>
    </w:p>
    <w:p>
      <w:pPr>
        <w:jc w:val="both"/>
        <w:ind w:firstLine="656"/>
        <w:spacing w:after="0" w:line="254" w:lineRule="auto"/>
        <w:tabs>
          <w:tab w:leader="none" w:pos="11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is insured by insurers with appropriately rated claims paying abilities against such losses and risks and in such 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Prospectus.</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disclosed in the Prospectus, 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firstLine="656"/>
        <w:spacing w:after="0" w:line="266" w:lineRule="auto"/>
        <w:tabs>
          <w:tab w:leader="none" w:pos="12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is not and, after giving effect to the offering and sale of the Shares and the application of the proceeds thereof as described in the Registration Statement or the Prospectus, will not be an “investment company” as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1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Market Abuse</w:t>
      </w:r>
      <w:r>
        <w:rPr>
          <w:rFonts w:ascii="Times New Roman" w:cs="Times New Roman" w:eastAsia="Times New Roman" w:hAnsi="Times New Roman"/>
          <w:sz w:val="18"/>
          <w:szCs w:val="18"/>
          <w:color w:val="auto"/>
        </w:rPr>
        <w:t>. The Company has not taken, directly or indirectly, in relation to the offering of the Shares or otherwise, any action or engaged in any course of conduct in breach of, and has taken adequate measures and has adequate procedures in place in order to ensure compliance with, and none of the issue of the Share, the sale of the Shares and the consummation of the transactions contemplated by this Agreement will constitute a violation by the Company of, any applicable European Union, Swiss, United States or any other relevant jurisdiction “insider dealing,” “insider trading” or similar legislation and, so far as the Company is aware, no person acting on its behalf has breached or is in breach of any relevant market abuse or insider trading law or regulation, including any reporting obligations to the Commission or any other authority. Neither the Company nor any person acting on its or their behalf (which, for the avoidance of doubt, shall not include the Agent or its affiliates or persons acting on their behalf, as to whom no representation, warranty or undertaking is given), has taken or omitted to take any action nor will take any action or omit to take any action which may result in the loss by any of the Agent of the ability to rely on any stabilization safe harbor with regard to regulatory technical standards for the conditions applicable to buy-back programmes and stabilization measures.</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11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other person required to be described in the Registration Statement or the Prospectus which have not been described as required.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1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Agent or to counsel for the Agent by the Company and, to the Company’s knowledge, its counsel,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or NASD Conduct Rules is true, complete and correct.</w:t>
      </w:r>
    </w:p>
    <w:p>
      <w:pPr>
        <w:spacing w:after="0" w:line="210" w:lineRule="exact"/>
        <w:rPr>
          <w:rFonts w:ascii="Times New Roman" w:cs="Times New Roman" w:eastAsia="Times New Roman" w:hAnsi="Times New Roman"/>
          <w:sz w:val="18"/>
          <w:szCs w:val="18"/>
          <w:color w:val="auto"/>
        </w:rPr>
      </w:pPr>
    </w:p>
    <w:p>
      <w:pPr>
        <w:ind w:firstLine="656"/>
        <w:spacing w:after="0" w:line="282" w:lineRule="auto"/>
        <w:tabs>
          <w:tab w:leader="none" w:pos="11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 Related Data</w:t>
      </w:r>
      <w:r>
        <w:rPr>
          <w:rFonts w:ascii="Times New Roman" w:cs="Times New Roman" w:eastAsia="Times New Roman" w:hAnsi="Times New Roman"/>
          <w:sz w:val="18"/>
          <w:szCs w:val="18"/>
          <w:color w:val="auto"/>
        </w:rPr>
        <w:t>. Any third-party statistical and market-related data included in the Registration Statement or the Prospectus or any written testing-the-waters communication are based on or derived from sources that the Company believes to be reliable and accurate.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Neither the Company nor, to the best of the Company’s knowledge, any employee or agent of the Company, has made any contribution or other payment to any official of, or candidate for, any federal, state or foreign office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 violation of any law or of the character required to be disclosed in the Registration Statement or the Prospectus.</w:t>
      </w:r>
    </w:p>
    <w:p>
      <w:pPr>
        <w:spacing w:after="0" w:line="225" w:lineRule="exact"/>
        <w:rPr>
          <w:sz w:val="20"/>
          <w:szCs w:val="20"/>
          <w:color w:val="auto"/>
        </w:rPr>
      </w:pPr>
    </w:p>
    <w:p>
      <w:pPr>
        <w:jc w:val="both"/>
        <w:ind w:firstLine="656"/>
        <w:spacing w:after="0" w:line="253" w:lineRule="auto"/>
        <w:tabs>
          <w:tab w:leader="none" w:pos="11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to the knowledge of the Company, any director, officer, agent, employee, affiliate or other person acting on behalf of the Company (which, for the avoidance of doubt, shall not include the Agent or its affiliates or persons acting on their behalf, as to whom no representation, warranty or undertaking is given) has, in the course of its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Company nor, to the knowledge of the Company, after due inquiry,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disclosed in the Registration Statement or the Prospectus, there are no contracts, agreements or understandings between the Company and any person that would give rise to a valid claim against the Company or the Agent for a brokerage commission, finder’s fee or other like payment as a result of any transactions contemplated by this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firstLine="656"/>
        <w:spacing w:after="0" w:line="282" w:lineRule="auto"/>
        <w:tabs>
          <w:tab w:leader="none" w:pos="10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From the time of initial filing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10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PFIC Status</w:t>
      </w:r>
      <w:r>
        <w:rPr>
          <w:rFonts w:ascii="Times New Roman" w:cs="Times New Roman" w:eastAsia="Times New Roman" w:hAnsi="Times New Roman"/>
          <w:sz w:val="18"/>
          <w:szCs w:val="18"/>
          <w:color w:val="auto"/>
        </w:rPr>
        <w:t>. The Company believes it is likely that it was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as defined in Section 1297 of the United States Internal Revenue Code of 1986, as amended, for its most recently completed taxable year and the Company may also be classified as a PFIC in its current taxable year or one or more future taxable years.</w:t>
      </w:r>
    </w:p>
    <w:p>
      <w:pPr>
        <w:spacing w:after="0" w:line="174"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 The preclinical and clinical studies conducted by the Company, and to the knowledge of the Company, the preclinical and clinical studies conducted on behalf of or sponsored by the Company, that are described in, or the results of which are referred to in, the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Prospectus; the Company has not received any notices or other correspondence from the FDA or any committee thereof or from any other U.S. or foreign government or regulatory authority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requiring the termination, suspension or material modification of any preclinical or clinical studies that are described or referred to in the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Overindebtedness or Capital Loss</w:t>
      </w:r>
      <w:r>
        <w:rPr>
          <w:rFonts w:ascii="Times New Roman" w:cs="Times New Roman" w:eastAsia="Times New Roman" w:hAnsi="Times New Roman"/>
          <w:sz w:val="18"/>
          <w:szCs w:val="18"/>
          <w:color w:val="auto"/>
        </w:rPr>
        <w:t>. The Company is not overindebted within the meaning of article 725 para 2 CO. The Company is not suffering from capital loss within the meaning of article 725 para 1 CO.</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Registry</w:t>
      </w:r>
      <w:r>
        <w:rPr>
          <w:rFonts w:ascii="Times New Roman" w:cs="Times New Roman" w:eastAsia="Times New Roman" w:hAnsi="Times New Roman"/>
          <w:sz w:val="18"/>
          <w:szCs w:val="18"/>
          <w:color w:val="auto"/>
        </w:rPr>
        <w:t>. On the date hereof, the Commercial Register has not been blocked and no challenge of the resolutions of the Company’s Board of Directors and no other action, complaint or dispute (each,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is pending and, to the best of the Company's knowledge, no Action has been publicly announced or credibly threatened, in each case against or in connection with the transactions contemplated under this Agreement or their consummation; and no laws or regulations and no decision, order, injunction or decree of any court, arbitral tribunal, authority or administrative or regulatory body or commission or exchange exists that has or may have the effect of making illegal or otherwise preventing or prohibiting, or that seeks to enjoin, restrain, impede or levy a substantial difficulty on the transactions contemplated under this Agreement or their consummation.</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xml:space="preserve"> No stamp or other issuance or transfer taxes or duties are payable by the Agent in the United States or any political subdivision or taxing authority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thereof or therein in connection with the execution, delivery or performance of this Agreement by the Company or the sale and delivery by the Company of the Shares.</w:t>
      </w:r>
    </w:p>
    <w:p>
      <w:pPr>
        <w:spacing w:after="0" w:line="162" w:lineRule="exact"/>
        <w:rPr>
          <w:sz w:val="20"/>
          <w:szCs w:val="20"/>
          <w:color w:val="auto"/>
        </w:rPr>
      </w:pPr>
    </w:p>
    <w:p>
      <w:pPr>
        <w:jc w:val="both"/>
        <w:ind w:firstLine="656"/>
        <w:spacing w:after="0" w:line="25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reasonably be expected to have a Material Adverse Effect: (i) the Company’s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respects as required in connection with the operation of the business of the Company as currently conducted, free and clear of all bugs, errors, defects, Trojan horses, time bombs, malware and other corruptants; (ii) the Company has implemented and maintained commercially reasonable physical, technical and administrative controls, policies, procedures, and safeguards to maintain and protect their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2016/679; or (D) any information which would qualify as “protected health information” under the Health Insurance Portability and Accountability Act of 1996, as amended by the Health Information Technology for Economic and Clinical Health Act; and (E) any other piece of information that allows the identification of such natural person, including an identified person’s health or sexual orientation); (iii) there have been no breaches, violations, outages or unauthorized uses of or accesses to same, except for those that have been remedied without cost or liability or the duty to notify any other person, nor any incidents under internal review or investigations relating to the same; and (iv) the Company is presently in compliance with all applicable laws or statutes, including all applicable state and federal data privacy and security laws and regulations,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Underwriting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and delivered to the Agent or counsel for the Agent in connection with the sale of Shares shall be deemed a representation and warranty by the Company to the Agent as to the matters covered thereby on the date of such certificate.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the Agent and, for purposes of the opinions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hereof, counsel to the Company and counsel to the Agent, will rely upon the accuracy and truthfulness of the foregoing representations and hereby consents to such reliance.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61" w:lineRule="auto"/>
        <w:tabs>
          <w:tab w:leader="none" w:pos="1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9"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have been satisfied, the Company may exercise its right to request a delivery of Shares by delivering to the Agent an Issuance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no event may the Company deliver an Issuance Notice to the extent that (I) the sum of (x) the aggregate Sales Price of the requested Issuance Amount, plus (y) the aggregate Sales Price of all Shares delivered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3"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privately negotiated transactions with the consent of the Company;</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to the Company</w:t>
      </w:r>
      <w:r>
        <w:rPr>
          <w:rFonts w:ascii="Times New Roman" w:cs="Times New Roman" w:eastAsia="Times New Roman" w:hAnsi="Times New Roman"/>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shares sold on such Trading Day, the corresponding Sales Price and the Issuance Price payable to the Company in respect thereof.</w:t>
      </w:r>
    </w:p>
    <w:p>
      <w:pPr>
        <w:spacing w:after="0" w:line="225" w:lineRule="exact"/>
        <w:rPr>
          <w:sz w:val="20"/>
          <w:szCs w:val="20"/>
          <w:color w:val="auto"/>
        </w:rPr>
      </w:pPr>
    </w:p>
    <w:p>
      <w:pPr>
        <w:jc w:val="both"/>
        <w:ind w:firstLine="656"/>
        <w:spacing w:after="0" w:line="256" w:lineRule="auto"/>
        <w:tabs>
          <w:tab w:leader="none" w:pos="12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Each delivery of Shares will be settled on the applicable Settlement Date for such Shares and, subject to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on or before each Settlement Date, the Company will cause the Fiduciary to assign and transfer the Shares being sold to the Agent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2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set forth in Schedule A 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6" w:lineRule="exact"/>
        <w:rPr>
          <w:sz w:val="20"/>
          <w:szCs w:val="20"/>
          <w:color w:val="auto"/>
        </w:rPr>
      </w:pPr>
    </w:p>
    <w:p>
      <w:pPr>
        <w:ind w:firstLine="656"/>
        <w:spacing w:after="0" w:line="282" w:lineRule="auto"/>
        <w:tabs>
          <w:tab w:leader="none" w:pos="1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As compensation for services rendered, the Company shall pay to the Agent, on the applicable Settlement Date, the Selling Commission for the applicable Issuance Amount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 xml:space="preserve">(including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xml:space="preserve"> by the Agent deducting the Selling Commission from the applicable Issuance Amount.</w:t>
      </w:r>
    </w:p>
    <w:p>
      <w:pPr>
        <w:spacing w:after="0" w:line="162" w:lineRule="exact"/>
        <w:rPr>
          <w:sz w:val="20"/>
          <w:szCs w:val="20"/>
          <w:color w:val="auto"/>
        </w:rPr>
      </w:pPr>
    </w:p>
    <w:p>
      <w:pPr>
        <w:jc w:val="both"/>
        <w:ind w:firstLine="656"/>
        <w:spacing w:after="0" w:line="266" w:lineRule="auto"/>
        <w:tabs>
          <w:tab w:leader="none" w:pos="137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7"/>
          <w:szCs w:val="17"/>
          <w:b w:val="1"/>
          <w:bCs w:val="1"/>
          <w:color w:val="auto"/>
        </w:rPr>
        <w:t>Blue Sky Survey</w:t>
      </w:r>
      <w:r>
        <w:rPr>
          <w:rFonts w:ascii="Times New Roman" w:cs="Times New Roman" w:eastAsia="Times New Roman" w:hAnsi="Times New Roman"/>
          <w:sz w:val="17"/>
          <w:szCs w:val="17"/>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w:t>
      </w:r>
    </w:p>
    <w:p>
      <w:pPr>
        <w:spacing w:after="0" w:line="9" w:lineRule="exact"/>
        <w:rPr>
          <w:rFonts w:ascii="Times New Roman" w:cs="Times New Roman" w:eastAsia="Times New Roman" w:hAnsi="Times New Roman"/>
          <w:sz w:val="17"/>
          <w:szCs w:val="17"/>
          <w:color w:val="auto"/>
        </w:rPr>
      </w:pPr>
    </w:p>
    <w:p>
      <w:pPr>
        <w:jc w:val="both"/>
        <w:ind w:firstLine="8"/>
        <w:spacing w:after="0" w:line="251" w:lineRule="auto"/>
        <w:tabs>
          <w:tab w:leader="none" w:pos="3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$50,000 in connection with the first Issuance Notice and (B) $15,000 in connection with each Triggering Event Date (as defined below) on which the Company is required to provide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656"/>
        <w:spacing w:after="0" w:line="261"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financial statements on Form 6-K and its annual reports on Form 20-F, a summary detailing, for the relevant reporting period, (1)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8"/>
          <w:szCs w:val="18"/>
          <w:b w:val="1"/>
          <w:bCs w:val="1"/>
          <w:color w:val="auto"/>
        </w:rPr>
        <w:t>Interim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such summary information and, at least once a quarter and subject to this Section 4, file such Interim Prospectus Supplement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424(b) under the Securities Act (and within the time periods required by Rule 424(b) and Rule 430B under the Securities Act).</w:t>
      </w:r>
    </w:p>
    <w:p>
      <w:pPr>
        <w:spacing w:after="0" w:line="180" w:lineRule="exact"/>
        <w:rPr>
          <w:sz w:val="20"/>
          <w:szCs w:val="20"/>
          <w:color w:val="auto"/>
        </w:rPr>
      </w:pPr>
    </w:p>
    <w:p>
      <w:pPr>
        <w:jc w:val="both"/>
        <w:ind w:firstLine="656"/>
        <w:spacing w:after="0" w:line="253"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only remedy the Agent shall have with respect to the failure by the Company to make such filing (other than the Agent’s rights under Section 3(d) or Section 6 hereof) shall be to cease making sales under this Agreement until such amendment or supplement is filed. Notwithstanding the foregoing, the Company shall not be required to file such amendment or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supplement if there is no pending Issuance Notice and the Company believes that it is in its best interest not to file such amendment or supplement.</w:t>
      </w:r>
    </w:p>
    <w:p>
      <w:pPr>
        <w:spacing w:after="0" w:line="225" w:lineRule="exact"/>
        <w:rPr>
          <w:sz w:val="20"/>
          <w:szCs w:val="20"/>
          <w:color w:val="auto"/>
        </w:rPr>
      </w:pPr>
    </w:p>
    <w:p>
      <w:pPr>
        <w:jc w:val="both"/>
        <w:ind w:firstLine="656"/>
        <w:spacing w:after="0" w:line="255" w:lineRule="auto"/>
        <w:tabs>
          <w:tab w:leader="none" w:pos="11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During any period in which an Issuance Notice is pending,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or the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1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During any period in which an Issuance Notice is pending,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amendment or supplement relates to the Shares or the transactions contemplated hereby,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insofar as such proposed amendment or supplement relates to the Shares or the transactions contemplated hereby,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Agent for review, a reasonable amount of time prior to the proposed time of filing or use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thereof, a copy of such proposed amended or supplemented free writing prospectus and the Company shall not file, use or refer to any such amended or supplemented free writing prospectus without the Agent’s consent.</w:t>
      </w:r>
    </w:p>
    <w:p>
      <w:pPr>
        <w:spacing w:after="0" w:line="162" w:lineRule="exact"/>
        <w:rPr>
          <w:sz w:val="20"/>
          <w:szCs w:val="20"/>
          <w:color w:val="auto"/>
        </w:rPr>
      </w:pPr>
    </w:p>
    <w:p>
      <w:pPr>
        <w:jc w:val="both"/>
        <w:ind w:firstLine="656"/>
        <w:spacing w:after="0" w:line="266" w:lineRule="auto"/>
        <w:tabs>
          <w:tab w:leader="none" w:pos="12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1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Registration Statement and Prospectus</w:t>
      </w:r>
      <w:r>
        <w:rPr>
          <w:rFonts w:ascii="Times New Roman" w:cs="Times New Roman" w:eastAsia="Times New Roman" w:hAnsi="Times New Roman"/>
          <w:sz w:val="18"/>
          <w:szCs w:val="18"/>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9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suspending such qualification, registration or exemption, the Company shall use its commercially reasonable efforts to obtain the withdrawal thereof as soon as practicable.</w:t>
      </w:r>
    </w:p>
    <w:p>
      <w:pPr>
        <w:spacing w:after="0" w:line="162" w:lineRule="exact"/>
        <w:rPr>
          <w:sz w:val="20"/>
          <w:szCs w:val="20"/>
          <w:color w:val="auto"/>
        </w:rPr>
      </w:pPr>
    </w:p>
    <w:p>
      <w:pPr>
        <w:jc w:val="both"/>
        <w:ind w:firstLine="656"/>
        <w:spacing w:after="0" w:line="266" w:lineRule="auto"/>
        <w:tabs>
          <w:tab w:leader="none" w:pos="11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will maintain the listing of the Shares on the Principal Market; and (b) the Company will at the time of each Issuance Notice, directly or through a fiduciary, keep available at all times Shares for the purpose of enabling the Company to satisfy its obligations under this Agreement.</w:t>
      </w:r>
    </w:p>
    <w:p>
      <w:pPr>
        <w:spacing w:after="0" w:line="17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2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xml:space="preserve"> The Company agrees that on or prior to the date of the first Issuance Notice and, during the term of this Agreement after the date of the first Issuance Notice, upon: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an annual report on Form 20-F or a quarterly report on Form 6-K (including any Form 20-F/A or Form 6-K/A containing amended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financial information or a material amendment to the previously filed annual report on Form 20-F or quarterly report on Form 6-K), in each case, of the Company; or</w:t>
      </w:r>
    </w:p>
    <w:p>
      <w:pPr>
        <w:spacing w:after="0" w:line="162" w:lineRule="exact"/>
        <w:rPr>
          <w:sz w:val="20"/>
          <w:szCs w:val="20"/>
          <w:color w:val="auto"/>
        </w:rPr>
      </w:pPr>
    </w:p>
    <w:p>
      <w:pPr>
        <w:jc w:val="both"/>
        <w:ind w:firstLine="1304"/>
        <w:spacing w:after="0" w:line="252" w:lineRule="auto"/>
        <w:tabs>
          <w:tab w:leader="none" w:pos="190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Form 6-K of the Company containing amended financial information that is material to the offering of securities of the Company in the Agent’s reasonable discretion; (any such event, a “Triggering Event Date”), the Company shall furnish the Agent (but in the case of clause (C) above only if the Agent reasonably determines that the information contained in such Form 6-K of the Company is material to a holder of Common Shares and the Agent requests such certification after the filing of such amendment or Form 6-K with the Commission)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Section 5(a)(iii) hereof, and (C) containing any other certification that the Agent shall reasonably request. The requirement to provide a certificate under this Section 4(o)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1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(i) a negative assurances letter and the written legal opinion of Davis Polk &amp; Wardwell LLP, U.S. counsel to the Company, (ii) a capacity opinion of Bär &amp; Karrer, Swiss counsel to the Company, regarding, inter alia, the execution of this agreement and a technical legal opinion confirming, inter alia, the valid issuance of a certain number of new shares required for such Issuance Notice, (iii) the written legal opinion of each of McNeill Baur PLLC, Johnson, Marcou &amp; Isaacs LLP, Ice Miller LLP and Vossius &amp; Partner Patentanwaelte Rechtsanwaelte mbB, each intellectual property counsel to the Company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assurances letter and the written legal opinion of Goodwin Procter LLP, US counsel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(except that statements in such prior opinion shall be deemed to relate to the Registration Statement and the Prospectus as amended or supplemented as of such Triggering Event Date).</w:t>
      </w:r>
    </w:p>
    <w:p>
      <w:pPr>
        <w:spacing w:after="0" w:line="162" w:lineRule="exact"/>
        <w:rPr>
          <w:sz w:val="20"/>
          <w:szCs w:val="20"/>
          <w:color w:val="auto"/>
        </w:rPr>
      </w:pPr>
    </w:p>
    <w:p>
      <w:pPr>
        <w:jc w:val="both"/>
        <w:ind w:firstLine="656"/>
        <w:spacing w:after="0" w:line="253" w:lineRule="auto"/>
        <w:tabs>
          <w:tab w:leader="none" w:pos="11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PricewaterhouseCoopers SA,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Form 6-K containing material amended financial information of the Company, including the restatement of the Company’s financial statements. The Company shall be required to furnish no more than one comfort letter hereunder per calendar quarter.</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On or prior to the date of the first Issuance Notice and on or prior to each Triggering Event Date, the Company shall furnish the Agent a certificate executed by the Chief Financial Officer of the Company, signing in such capacity, dated the date of delivery, with respect to certain financial data contained in the Registration Statement and the Prospectus, providing “management comfort” with respect to such information, in form and substance reasonably satisfactory to the Agent.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Own Account; Clients’ Account</w:t>
      </w:r>
      <w:r>
        <w:rPr>
          <w:rFonts w:ascii="Times New Roman" w:cs="Times New Roman" w:eastAsia="Times New Roman" w:hAnsi="Times New Roman"/>
          <w:sz w:val="18"/>
          <w:szCs w:val="18"/>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56"/>
        <w:spacing w:after="0" w:line="255"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2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if no Shares were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as in effect on the date of this Agreement,</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of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provided that the aggregate number of shares issued pursuant to clause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not exceed 5.0% of the total number of outstanding shares of Common Shares immediately following the issuance and sale of the Common Shares issued pursuant to clause (iv).</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61" w:lineRule="auto"/>
        <w:tabs>
          <w:tab w:leader="none" w:pos="11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80" w:lineRule="exact"/>
        <w:rPr>
          <w:sz w:val="20"/>
          <w:szCs w:val="20"/>
          <w:color w:val="auto"/>
        </w:rPr>
      </w:pPr>
    </w:p>
    <w:p>
      <w:pPr>
        <w:jc w:val="both"/>
        <w:ind w:left="1300" w:hanging="644"/>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 Other Events</w:t>
      </w:r>
      <w:r>
        <w:rPr>
          <w:rFonts w:ascii="Times New Roman" w:cs="Times New Roman" w:eastAsia="Times New Roman" w:hAnsi="Times New Roman"/>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or by the Principal Market or trading in securities generally on either the Principal Market shall have been suspended or limited, or minimum or maximum prices shall have been generally established on any of such stock exchanges by the Commission or the FINRA;</w:t>
      </w:r>
    </w:p>
    <w:p>
      <w:pPr>
        <w:jc w:val="both"/>
        <w:ind w:left="1300" w:firstLine="4"/>
        <w:spacing w:after="0" w:line="252" w:lineRule="auto"/>
        <w:tabs>
          <w:tab w:leader="none" w:pos="157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53" w:lineRule="auto"/>
        <w:tabs>
          <w:tab w:leader="none" w:pos="11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Company agrees to indemnify and hold harmless the Agent, its affiliates, directors, officers, employees and agents, and each person, if any, who controls the Agent within the meaning of the Securities Act or the Exchange Act against any loss, claim, damage, liability or expense, as incurred, to which the Agent or such affiliate, director, officer, employee, agent or controlling person may become subject, under the Securities Act, the Exchange Act, other federal or state statutory law or regulation, or the laws or regulations of Switzerland or of foreign jurisdictions where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(ii) any untrue statement or alleged untrue statement of a material fact included in the Prospectus or any free writing prospectus that the Company has used, referred to or filed, or is required to file, pursuant to Rule 433(d) of the Securities Act (or any amendment or supplement to the foregoing), (iii) 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act or failure to act or any alleged act or failure to act by the Agent in connection with, or relating in any manner to, the Shares or the offering contemplated hereby, and which is included as part of or referred to in any loss, claim, damage, liability or action arising out of or based upon any matter covered by clause (i) or (ii) above; or the omission or alleged omission to state therein a material fact necessary in order to make the statements, in the light of the circumstances under which they were made, not misleading; and to reimburse the Agent and its affiliates, directors, officers, employees, agents and controlling persons for any and all reasonable expenses (including the reasonable fees and disbursements of counsel) as such expenses are incurred by the Agent or any of its affiliates, directors, officers, employees, agents or controlling persons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the Agent furnished to representatives of the Company in writing expressly for use in the Registration Statement, the Prospectus or any such free writing prospectus (or any amendment or supplement thereto), it being understood and agreed that the only such information consists of the information described in Section 6(b) below. The indemnity agreement and the obligations and liabilities of the Company set forth in this Section 6(a) shall be in addition to any liabilities that the Company may otherwise have.</w:t>
      </w:r>
    </w:p>
    <w:p>
      <w:pPr>
        <w:spacing w:after="0" w:line="187" w:lineRule="exact"/>
        <w:rPr>
          <w:sz w:val="20"/>
          <w:szCs w:val="20"/>
          <w:color w:val="auto"/>
        </w:rPr>
      </w:pPr>
    </w:p>
    <w:p>
      <w:pPr>
        <w:jc w:val="both"/>
        <w:ind w:firstLine="656"/>
        <w:spacing w:after="0" w:line="25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 its Directors and Officers</w:t>
      </w:r>
      <w:r>
        <w:rPr>
          <w:rFonts w:ascii="Times New Roman" w:cs="Times New Roman" w:eastAsia="Times New Roman" w:hAnsi="Times New Roman"/>
          <w:sz w:val="18"/>
          <w:szCs w:val="18"/>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the Agent),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the Prospectus or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the Prospectus, or such free writing prospectus (or any such amendment or supplement), in reliance upon and in conformity with information relating to the Agent furnished to the Company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hereby acknowledges that the only information that the Agent has furnished to the Company expressly for use in the Registration Statement, Prospectus, or any free writing prospectus that the Company has filed, or is required to file, pursuant to Rule 433(d) of the Securities Act (or any amendment or supplement to the foregoing) are set forth in the tenth paragraph under the caption “Plan of Distribution”. The indemnity agreement set forth in this Section 6(b) shall be in addition to any liabilities that the Agent may otherwise have.</w:t>
      </w:r>
    </w:p>
    <w:p>
      <w:pPr>
        <w:spacing w:after="0" w:line="180" w:lineRule="exact"/>
        <w:rPr>
          <w:sz w:val="20"/>
          <w:szCs w:val="20"/>
          <w:color w:val="auto"/>
        </w:rPr>
      </w:pPr>
    </w:p>
    <w:p>
      <w:pPr>
        <w:jc w:val="both"/>
        <w:ind w:firstLine="656"/>
        <w:spacing w:after="0" w:line="251" w:lineRule="auto"/>
        <w:tabs>
          <w:tab w:leader="none" w:pos="12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or by the Company (in the case of counsel for the indemnified parties referred 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expenses of counsel shall be at the expense of the indemnifying party and shall be paid as they are incurred.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656"/>
        <w:spacing w:after="0" w:line="254" w:lineRule="auto"/>
        <w:tabs>
          <w:tab w:leader="none" w:pos="12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Settlements</w:t>
      </w:r>
      <w:r>
        <w:rPr>
          <w:rFonts w:ascii="Times New Roman" w:cs="Times New Roman" w:eastAsia="Times New Roman" w:hAnsi="Times New Roman"/>
          <w:sz w:val="18"/>
          <w:szCs w:val="18"/>
          <w:color w:val="auto"/>
        </w:rPr>
        <w:t xml:space="preserve">. The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proceeds from the offering of the Shares pursuant to this Agreement (before deducting expenses) received by the Company, and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any reasonable and properly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provided, however,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-308610</wp:posOffset>
            </wp:positionV>
            <wp:extent cx="581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025"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pro rata allocation or by any other method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xml:space="preserve">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6(e),</w:t>
      </w:r>
      <w:r>
        <w:rPr>
          <w:rFonts w:ascii="Times New Roman" w:cs="Times New Roman" w:eastAsia="Times New Roman" w:hAnsi="Times New Roman"/>
          <w:sz w:val="18"/>
          <w:szCs w:val="18"/>
          <w:color w:val="auto"/>
        </w:rPr>
        <w:t xml:space="preserv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229" w:lineRule="exact"/>
        <w:rPr>
          <w:sz w:val="20"/>
          <w:szCs w:val="20"/>
          <w:color w:val="auto"/>
        </w:rPr>
      </w:pPr>
    </w:p>
    <w:p>
      <w:pPr>
        <w:ind w:firstLine="656"/>
        <w:spacing w:after="0" w:line="282" w:lineRule="auto"/>
        <w:tabs>
          <w:tab w:leader="none" w:pos="11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Section 7, the term of this Agreement shall continue from the date of this Agreement until the end of the Agency Period, unless earlier terminated by the parties to this Agreement pursuant to this Section 7.</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Section 7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83" w:lineRule="exact"/>
        <w:rPr>
          <w:rFonts w:ascii="Times New Roman" w:cs="Times New Roman" w:eastAsia="Times New Roman" w:hAnsi="Times New Roman"/>
          <w:sz w:val="18"/>
          <w:szCs w:val="18"/>
          <w:color w:val="auto"/>
        </w:rPr>
      </w:pPr>
    </w:p>
    <w:p>
      <w:pPr>
        <w:ind w:left="1300" w:right="80" w:hanging="320"/>
        <w:spacing w:after="0" w:line="258"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229" w:lineRule="exact"/>
        <w:rPr>
          <w:sz w:val="20"/>
          <w:szCs w:val="20"/>
          <w:color w:val="auto"/>
        </w:rPr>
      </w:pPr>
    </w:p>
    <w:p>
      <w:pPr>
        <w:jc w:val="both"/>
        <w:ind w:firstLine="656"/>
        <w:spacing w:after="0" w:line="261" w:lineRule="auto"/>
        <w:tabs>
          <w:tab w:leader="none" w:pos="12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on Form 6-K, with this Agreement attached as an exhibit thereto, describing the material terms of the transactions contemplated hereby, and the Company shall consult with the Agent prior to making such disclosures, and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16" w:lineRule="exact"/>
        <w:rPr>
          <w:sz w:val="20"/>
          <w:szCs w:val="20"/>
          <w:color w:val="auto"/>
        </w:rPr>
      </w:pPr>
    </w:p>
    <w:p>
      <w:pPr>
        <w:jc w:val="both"/>
        <w:ind w:firstLine="656"/>
        <w:spacing w:after="0" w:line="254" w:lineRule="auto"/>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 hereto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Agent:</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98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Goodwin Procter LLP</w:t>
      </w:r>
    </w:p>
    <w:p>
      <w:pPr>
        <w:ind w:left="660"/>
        <w:spacing w:after="0" w:line="205" w:lineRule="auto"/>
        <w:rPr>
          <w:sz w:val="20"/>
          <w:szCs w:val="20"/>
          <w:color w:val="auto"/>
        </w:rPr>
      </w:pPr>
      <w:r>
        <w:rPr>
          <w:rFonts w:ascii="Times New Roman" w:cs="Times New Roman" w:eastAsia="Times New Roman" w:hAnsi="Times New Roman"/>
          <w:sz w:val="18"/>
          <w:szCs w:val="18"/>
          <w:color w:val="auto"/>
        </w:rPr>
        <w:t>620 8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Seo Salimi</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Homburger AG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Prime Tower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Hardstrasse 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CH-8005 Zurich, Switzerland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+41 (0)43 222 15 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Dr. iur. Dieter Gericke and Dr. iur. Benjamin Leisinger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EPFL Innovation Park Building B</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1050 Lausanne, Switzerland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+41 21 345 91 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Bär &amp; Karrer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Brandschenkestrasse 90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CH-8027 Zurich, Switzerland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+41 58 261 50 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Prof. Dr. iur. Rolf Watter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(212) 701-5322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Derek Dostal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1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and in each case their respective successors, and no other person will have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any right or obligation hereunder. The term “successors” shall not include any purchaser of the Shares as such from the Agent merely by reason of such purchase.</w:t>
      </w:r>
    </w:p>
    <w:p>
      <w:pPr>
        <w:spacing w:after="0" w:line="162" w:lineRule="exact"/>
        <w:rPr>
          <w:sz w:val="20"/>
          <w:szCs w:val="20"/>
          <w:color w:val="auto"/>
        </w:rPr>
      </w:pPr>
    </w:p>
    <w:p>
      <w:pPr>
        <w:jc w:val="both"/>
        <w:ind w:firstLine="656"/>
        <w:spacing w:after="0" w:line="261" w:lineRule="auto"/>
        <w:tabs>
          <w:tab w:leader="none" w:pos="1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2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191"/>
        </w:trPr>
        <w:tc>
          <w:tcPr>
            <w:tcW w:w="440" w:type="dxa"/>
            <w:vAlign w:val="bottom"/>
          </w:tcPr>
          <w:p>
            <w:pPr>
              <w:spacing w:after="0"/>
              <w:rPr>
                <w:sz w:val="16"/>
                <w:szCs w:val="16"/>
                <w:color w:val="auto"/>
              </w:rPr>
            </w:pPr>
          </w:p>
        </w:tc>
        <w:tc>
          <w:tcPr>
            <w:tcW w:w="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Andrea Pfeifer</w:t>
            </w:r>
          </w:p>
        </w:tc>
      </w:tr>
      <w:tr>
        <w:trPr>
          <w:trHeight w:val="234"/>
        </w:trPr>
        <w:tc>
          <w:tcPr>
            <w:tcW w:w="44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Joerg Hornstein</w:t>
            </w:r>
          </w:p>
        </w:tc>
      </w:tr>
      <w:tr>
        <w:trPr>
          <w:trHeight w:val="191"/>
        </w:trPr>
        <w:tc>
          <w:tcPr>
            <w:tcW w:w="440" w:type="dxa"/>
            <w:vAlign w:val="bottom"/>
          </w:tcPr>
          <w:p>
            <w:pPr>
              <w:spacing w:after="0"/>
              <w:rPr>
                <w:sz w:val="16"/>
                <w:szCs w:val="16"/>
                <w:color w:val="auto"/>
              </w:rPr>
            </w:pPr>
          </w:p>
        </w:tc>
        <w:tc>
          <w:tcPr>
            <w:tcW w:w="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Joerg Hornstein</w:t>
            </w:r>
          </w:p>
        </w:tc>
      </w:tr>
      <w:tr>
        <w:trPr>
          <w:trHeight w:val="234"/>
        </w:trPr>
        <w:tc>
          <w:tcPr>
            <w:tcW w:w="44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237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Magarro</w:t>
      </w:r>
    </w:p>
    <w:p>
      <w:pPr>
        <w:spacing w:after="0" w:line="23"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Reference is made to the Open Market Sale Agreement between AC Immune SA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September [●], 2020. The Company confirms that all conditions to the delivery of this Issuance Notice are satisfied as of the date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(equal to the total Sales Price for such Shares):</w:t>
      </w:r>
    </w:p>
    <w:p>
      <w:pPr>
        <w:spacing w:after="0" w:line="1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60325</wp:posOffset>
            </wp:positionV>
            <wp:extent cx="1062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68580</wp:posOffset>
            </wp:positionV>
            <wp:extent cx="1062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68580</wp:posOffset>
            </wp:positionV>
            <wp:extent cx="1062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68580</wp:posOffset>
            </wp:positionV>
            <wp:extent cx="1062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283210</wp:posOffset>
            </wp:positionV>
            <wp:extent cx="10629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Agent, which consent may be withheld in the Agent’s sole discretion): $ ____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300355</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202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Pfeifer (andrea.pfeifer@acimmune.com)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Joerg Hornstein (joerg.hornstein@acimmune.com)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Magarro (mmagarro@jefferies.com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Fabbri (jfabbri@jefferies.com)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 Dr. Rolf Watter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Rechtsanwalt, LL.M.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+41 58 261 52 80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rolf.watter@baerkarrer.ch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Postfach 1548 | CH-8002 Zürich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bâtiment B</w:t>
      </w:r>
    </w:p>
    <w:p>
      <w:pPr>
        <w:spacing w:after="0" w:line="234"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Zurich, 8 September 2020</w:t>
      </w: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 Immune SA - Registration Statement on Form F-3</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Gentlemen</w:t>
      </w:r>
    </w:p>
    <w:p>
      <w:pPr>
        <w:spacing w:after="0" w:line="196"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We have acted as Swiss legal counsel to AC Immune SA, Ecublens (VD) (the "</w:t>
      </w:r>
      <w:r>
        <w:rPr>
          <w:rFonts w:ascii="Arial" w:cs="Arial" w:eastAsia="Arial" w:hAnsi="Arial"/>
          <w:sz w:val="18"/>
          <w:szCs w:val="18"/>
          <w:b w:val="1"/>
          <w:bCs w:val="1"/>
          <w:color w:val="auto"/>
        </w:rPr>
        <w:t>Issuer</w:t>
      </w:r>
      <w:r>
        <w:rPr>
          <w:rFonts w:ascii="Arial" w:cs="Arial" w:eastAsia="Arial" w:hAnsi="Arial"/>
          <w:sz w:val="18"/>
          <w:szCs w:val="18"/>
          <w:color w:val="auto"/>
        </w:rPr>
        <w:t>") in connection with a prospectus supplement dated 8 September 2020 (the "</w:t>
      </w:r>
      <w:r>
        <w:rPr>
          <w:rFonts w:ascii="Arial" w:cs="Arial" w:eastAsia="Arial" w:hAnsi="Arial"/>
          <w:sz w:val="18"/>
          <w:szCs w:val="18"/>
          <w:b w:val="1"/>
          <w:bCs w:val="1"/>
          <w:color w:val="auto"/>
        </w:rPr>
        <w:t>Prospectus</w:t>
      </w:r>
      <w:r>
        <w:rPr>
          <w:rFonts w:ascii="Arial" w:cs="Arial" w:eastAsia="Arial" w:hAnsi="Arial"/>
          <w:sz w:val="18"/>
          <w:szCs w:val="18"/>
          <w:color w:val="auto"/>
        </w:rPr>
        <w:t>") to a Registration Statement on Form F-3 (File No. 333-224694) filed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relating to the sale by the Issuer of common shares, each with a nominal value of CHF 0.02, of the Issuer having an aggregate offering price of up to USD 80,000,000 (the "</w:t>
      </w:r>
      <w:r>
        <w:rPr>
          <w:rFonts w:ascii="Arial" w:cs="Arial" w:eastAsia="Arial" w:hAnsi="Arial"/>
          <w:sz w:val="18"/>
          <w:szCs w:val="18"/>
          <w:b w:val="1"/>
          <w:bCs w:val="1"/>
          <w:color w:val="auto"/>
        </w:rPr>
        <w:t>Offered Shares</w:t>
      </w:r>
      <w:r>
        <w:rPr>
          <w:rFonts w:ascii="Arial" w:cs="Arial" w:eastAsia="Arial" w:hAnsi="Arial"/>
          <w:sz w:val="18"/>
          <w:szCs w:val="18"/>
          <w:color w:val="auto"/>
        </w:rPr>
        <w:t>") in</w:t>
      </w:r>
    </w:p>
    <w:p>
      <w:pPr>
        <w:spacing w:after="0" w:line="3" w:lineRule="exact"/>
        <w:rPr>
          <w:sz w:val="20"/>
          <w:szCs w:val="20"/>
          <w:color w:val="auto"/>
        </w:rPr>
      </w:pPr>
    </w:p>
    <w:p>
      <w:pPr>
        <w:jc w:val="both"/>
        <w:ind w:left="340"/>
        <w:spacing w:after="0" w:line="205" w:lineRule="auto"/>
        <w:rPr>
          <w:sz w:val="20"/>
          <w:szCs w:val="20"/>
          <w:color w:val="auto"/>
        </w:rPr>
      </w:pPr>
      <w:r>
        <w:rPr>
          <w:rFonts w:ascii="Arial" w:cs="Arial" w:eastAsia="Arial" w:hAnsi="Arial"/>
          <w:sz w:val="18"/>
          <w:szCs w:val="18"/>
          <w:color w:val="auto"/>
        </w:rPr>
        <w:t>accordance with a certain Open Market Sale Agreement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dated 8 September 2020 between the Issuer and Jefferies LLC. As such counsel, we have been requested to give our opinion as to certain legal matters of Swiss law.</w:t>
      </w:r>
    </w:p>
    <w:p>
      <w:pPr>
        <w:spacing w:after="0" w:line="16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Scope and Limitation of Opinion</w:t>
      </w:r>
    </w:p>
    <w:p>
      <w:pPr>
        <w:spacing w:after="0" w:line="200"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Our opinion only speaks as of the date hereof and is strictly confined to matters of Swiss law as in force at the date hereof. Such law and its interpretation are subject to change. In the absence of explicit statutory law, we base our opinion solely on our independent professional judgment. Our opinion is strictly limited to the Documents (as defined below) and the matters stated herein and is not to be read as extending, by implication or otherwise, to any agreement or document referred to in any of the Documents or any other matter. For purposes of this opinion, we have not conducted any due diligence or similar investigation or verification as to any matters stated herein. In this opinion, Swiss legal concepts are expressed in English terms and not in their original language. These concepts may not be identical to the concepts described by the same English language terms as they exist under the laws of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247650</wp:posOffset>
            </wp:positionV>
            <wp:extent cx="6831965" cy="814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81407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Bär &amp; Karrer   8 September 2020</w:t>
            </w:r>
          </w:p>
        </w:tc>
        <w:tc>
          <w:tcPr>
            <w:tcW w:w="43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0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200" w:lineRule="exact"/>
        <w:rPr>
          <w:rFonts w:ascii="Arial" w:cs="Arial" w:eastAsia="Arial" w:hAnsi="Arial"/>
          <w:sz w:val="18"/>
          <w:szCs w:val="18"/>
          <w:b w:val="1"/>
          <w:bCs w:val="1"/>
          <w:color w:val="auto"/>
        </w:rPr>
      </w:pPr>
    </w:p>
    <w:p>
      <w:pPr>
        <w:ind w:left="340" w:right="20"/>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3 below, we have exclusively examined and relied on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15" w:lineRule="exact"/>
        <w:rPr>
          <w:rFonts w:ascii="Arial" w:cs="Arial" w:eastAsia="Arial" w:hAnsi="Arial"/>
          <w:sz w:val="18"/>
          <w:szCs w:val="18"/>
          <w:b w:val="1"/>
          <w:bCs w:val="1"/>
          <w:color w:val="auto"/>
        </w:rPr>
      </w:pP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pdf copy of the Prospectus;</w:t>
      </w:r>
    </w:p>
    <w:p>
      <w:pPr>
        <w:spacing w:after="0" w:line="198" w:lineRule="exact"/>
        <w:rPr>
          <w:rFonts w:ascii="Arial" w:cs="Arial" w:eastAsia="Arial" w:hAnsi="Arial"/>
          <w:sz w:val="18"/>
          <w:szCs w:val="18"/>
          <w:color w:val="auto"/>
        </w:rPr>
      </w:pPr>
    </w:p>
    <w:p>
      <w:pPr>
        <w:ind w:left="660" w:right="220" w:hanging="328"/>
        <w:spacing w:after="0" w:line="285"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pdf copy of an extract from the Commercial Register of the Canton of Vaud in respect of the Issuer, certified by such Commercial Register as of 3 September 2020 (the "</w:t>
      </w:r>
      <w:r>
        <w:rPr>
          <w:rFonts w:ascii="Arial" w:cs="Arial" w:eastAsia="Arial" w:hAnsi="Arial"/>
          <w:sz w:val="18"/>
          <w:szCs w:val="18"/>
          <w:b w:val="1"/>
          <w:bCs w:val="1"/>
          <w:color w:val="auto"/>
        </w:rPr>
        <w:t>Extract</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660" w:right="260" w:hanging="328"/>
        <w:spacing w:after="0" w:line="285"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pdf copy of the certified articles of association of the Issuer dated 26 June 2020, to correspond to the latest version filed with the Commercial Register of the Canton of Vaud (the "</w:t>
      </w:r>
      <w:r>
        <w:rPr>
          <w:rFonts w:ascii="Arial" w:cs="Arial" w:eastAsia="Arial" w:hAnsi="Arial"/>
          <w:sz w:val="18"/>
          <w:szCs w:val="18"/>
          <w:b w:val="1"/>
          <w:bCs w:val="1"/>
          <w:color w:val="auto"/>
        </w:rPr>
        <w:t>Articles</w:t>
      </w:r>
      <w:r>
        <w:rPr>
          <w:rFonts w:ascii="Arial" w:cs="Arial" w:eastAsia="Arial" w:hAnsi="Arial"/>
          <w:sz w:val="18"/>
          <w:szCs w:val="18"/>
          <w:color w:val="auto"/>
        </w:rPr>
        <w:t>"); and</w:t>
      </w:r>
    </w:p>
    <w:p>
      <w:pPr>
        <w:spacing w:after="0" w:line="113" w:lineRule="exact"/>
        <w:rPr>
          <w:rFonts w:ascii="Arial" w:cs="Arial" w:eastAsia="Arial" w:hAnsi="Arial"/>
          <w:sz w:val="18"/>
          <w:szCs w:val="18"/>
          <w:color w:val="auto"/>
        </w:rPr>
      </w:pPr>
    </w:p>
    <w:p>
      <w:pPr>
        <w:ind w:left="660" w:right="580" w:hanging="328"/>
        <w:spacing w:after="0" w:line="28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pdf copy of the organizational regulations of the Issuer's board of directors, dated as of 19 March 2020 (the "</w:t>
      </w:r>
      <w:r>
        <w:rPr>
          <w:rFonts w:ascii="Arial" w:cs="Arial" w:eastAsia="Arial" w:hAnsi="Arial"/>
          <w:sz w:val="18"/>
          <w:szCs w:val="18"/>
          <w:b w:val="1"/>
          <w:bCs w:val="1"/>
          <w:color w:val="auto"/>
        </w:rPr>
        <w:t>Organizational</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as available on the website of the Issuer.</w:t>
      </w:r>
    </w:p>
    <w:p>
      <w:pPr>
        <w:spacing w:after="0" w:line="11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0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3 below, we have assumed (without verification) each of the following:</w:t>
      </w:r>
    </w:p>
    <w:p>
      <w:pPr>
        <w:spacing w:after="0" w:line="198" w:lineRule="exact"/>
        <w:rPr>
          <w:rFonts w:ascii="Arial" w:cs="Arial" w:eastAsia="Arial" w:hAnsi="Arial"/>
          <w:sz w:val="18"/>
          <w:szCs w:val="18"/>
          <w:b w:val="1"/>
          <w:bCs w:val="1"/>
          <w:color w:val="auto"/>
        </w:rPr>
      </w:pPr>
    </w:p>
    <w:p>
      <w:pPr>
        <w:ind w:left="660" w:hanging="328"/>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all documents submitted to us in a form other than an original conform to authentic and complete originals;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all signatures on documents examined are genuine;</w:t>
      </w:r>
    </w:p>
    <w:p>
      <w:pPr>
        <w:spacing w:after="0" w:line="198" w:lineRule="exact"/>
        <w:rPr>
          <w:rFonts w:ascii="Arial" w:cs="Arial" w:eastAsia="Arial" w:hAnsi="Arial"/>
          <w:sz w:val="18"/>
          <w:szCs w:val="18"/>
          <w:color w:val="auto"/>
        </w:rPr>
      </w:pPr>
    </w:p>
    <w:p>
      <w:pPr>
        <w:ind w:left="660" w:right="240" w:hanging="328"/>
        <w:spacing w:after="0" w:line="276"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any and all information contained in the Documents is and will be true, complete and accurate at all relevant times;</w:t>
      </w:r>
    </w:p>
    <w:p>
      <w:pPr>
        <w:spacing w:after="0" w:line="131" w:lineRule="exact"/>
        <w:rPr>
          <w:rFonts w:ascii="Arial" w:cs="Arial" w:eastAsia="Arial" w:hAnsi="Arial"/>
          <w:sz w:val="18"/>
          <w:szCs w:val="18"/>
          <w:color w:val="auto"/>
        </w:rPr>
      </w:pPr>
    </w:p>
    <w:p>
      <w:pPr>
        <w:ind w:left="660" w:right="160" w:hanging="328"/>
        <w:spacing w:after="0" w:line="276"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the Extract, the Articles and the Organizational Regulations are unchanged, correct, up-to-date and in full force and effect as of the date hereof and no changes have been made in such documents;</w:t>
      </w:r>
    </w:p>
    <w:p>
      <w:pPr>
        <w:spacing w:after="0" w:line="131" w:lineRule="exact"/>
        <w:rPr>
          <w:rFonts w:ascii="Arial" w:cs="Arial" w:eastAsia="Arial" w:hAnsi="Arial"/>
          <w:sz w:val="18"/>
          <w:szCs w:val="18"/>
          <w:color w:val="auto"/>
        </w:rPr>
      </w:pPr>
    </w:p>
    <w:p>
      <w:pPr>
        <w:ind w:left="660" w:hanging="328"/>
        <w:spacing w:after="0" w:line="24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the Issuer, as of the date hereof and until the issuance of all Offered Shares, is, and will be, neither insolvent or over-indebted (in the sense of article 725 of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 has not passed and will not pass a resolution for its dissolution, winding-up or liquidation, no petition has been or will be presented or order made by a court or other competent authority for the dissolution, winding-up, liquidation, bankruptcy, moratorium, composition with creditors or administration of any party and no receiver, trustee in bankruptcy, administrator or similar officer has been or will be appointed in relation to any of the parties or any of their assets or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Bär &amp; Karrer   8 September 2020</w:t>
            </w:r>
          </w:p>
        </w:tc>
        <w:tc>
          <w:tcPr>
            <w:tcW w:w="43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11" w:lineRule="exact"/>
        <w:rPr>
          <w:sz w:val="20"/>
          <w:szCs w:val="20"/>
          <w:color w:val="auto"/>
        </w:rPr>
      </w:pPr>
    </w:p>
    <w:p>
      <w:pPr>
        <w:jc w:val="both"/>
        <w:ind w:left="660" w:right="200" w:hanging="328"/>
        <w:spacing w:after="0" w:line="26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that all authorizations, consents, licenses, exemptions, notices, filings, publications or registrations which may be necessary under any applicable laws or regulations, other than the laws of Switzerland, in connection the issuance of the Offered Shares have been or will be duly obtained or made in time, remain in full force and effect at the date of this letter and, where relevant, will be obtained and maintained in the future, and that any related conditions have been fulfilled and any related covenants will be complied with;</w:t>
      </w:r>
    </w:p>
    <w:p>
      <w:pPr>
        <w:spacing w:after="0" w:line="139"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Prospectus has been or will be duly filed by the Issuer;</w:t>
      </w:r>
    </w:p>
    <w:p>
      <w:pPr>
        <w:spacing w:after="0" w:line="198" w:lineRule="exact"/>
        <w:rPr>
          <w:rFonts w:ascii="Arial" w:cs="Arial" w:eastAsia="Arial" w:hAnsi="Arial"/>
          <w:sz w:val="18"/>
          <w:szCs w:val="18"/>
          <w:color w:val="auto"/>
        </w:rPr>
      </w:pPr>
    </w:p>
    <w:p>
      <w:pPr>
        <w:ind w:left="660" w:right="300" w:hanging="328"/>
        <w:spacing w:after="0" w:line="27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has not entered and will not enter into any transaction which could be construed as repayment of share capital and has not undertaken and will not undertake an acquisition in kind or intended acquisition in kind;</w:t>
      </w:r>
    </w:p>
    <w:p>
      <w:pPr>
        <w:spacing w:after="0" w:line="13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(i) the number of Offered Shares will not exceed the number of shares that may be issued under the Articles and the Prospectus, (ii) the Prospectus will continue to be effective, (iii) the consideration received by the Issuer for the issuance of the Offered Shares will be fully paid and will not be less than the nominal value of such Offered Shares;</w:t>
      </w:r>
    </w:p>
    <w:p>
      <w:pPr>
        <w:spacing w:after="0" w:line="150" w:lineRule="exact"/>
        <w:rPr>
          <w:rFonts w:ascii="Arial" w:cs="Arial" w:eastAsia="Arial" w:hAnsi="Arial"/>
          <w:sz w:val="18"/>
          <w:szCs w:val="18"/>
          <w:color w:val="auto"/>
        </w:rPr>
      </w:pPr>
    </w:p>
    <w:p>
      <w:pPr>
        <w:ind w:left="660" w:right="20" w:hanging="328"/>
        <w:spacing w:after="0" w:line="24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the issuance and delivery of any Offered Shares, the board of directors of the Issuer will have duly authorized the issuance of, and will have validly excluded the pre-emptive rights of the existing shareholders with respect to, such Offered Shares in accordance with the Articles, and such authorization and/or exclusion shall not have been amended, challenged or rescinded, and all necessary corporate actions of the Issuer to approve the issuance of the Offered Shares will have been performed in accordance with such resolution and the Articles; and</w:t>
      </w:r>
    </w:p>
    <w:p>
      <w:pPr>
        <w:spacing w:after="0" w:line="158" w:lineRule="exact"/>
        <w:rPr>
          <w:rFonts w:ascii="Arial" w:cs="Arial" w:eastAsia="Arial" w:hAnsi="Arial"/>
          <w:sz w:val="18"/>
          <w:szCs w:val="18"/>
          <w:color w:val="auto"/>
        </w:rPr>
      </w:pPr>
    </w:p>
    <w:p>
      <w:pPr>
        <w:ind w:left="660" w:right="540" w:hanging="328"/>
        <w:spacing w:after="0" w:line="27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any Swiss federal stamp duties due in connection with the issuance of the Offered Shares will be remitted to the Swiss tax authorities.</w:t>
      </w:r>
    </w:p>
    <w:p>
      <w:pPr>
        <w:spacing w:after="0" w:line="12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00"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Based upon and subject to the foregoing assumptions, and subject to the qualifications and limitations set out below, we are of the opinion that the Offered Shares, when issued and paid for pursuant to the Articles and Swiss law, in particular upon registration of the corresponding share capital increase into the Commercial Register of the Canton of Vaud, and entered into the Issuer's book of uncertificated securities, will be validly issued, fully paid as to their nominal value and non-assessable.</w:t>
      </w:r>
    </w:p>
    <w:p>
      <w:pPr>
        <w:spacing w:after="0" w:line="15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and Limitations</w:t>
      </w:r>
    </w:p>
    <w:p>
      <w:pPr>
        <w:spacing w:after="0" w:line="200" w:lineRule="exact"/>
        <w:rPr>
          <w:rFonts w:ascii="Arial" w:cs="Arial" w:eastAsia="Arial" w:hAnsi="Arial"/>
          <w:sz w:val="18"/>
          <w:szCs w:val="18"/>
          <w:b w:val="1"/>
          <w:bCs w:val="1"/>
          <w:color w:val="auto"/>
        </w:rPr>
      </w:pPr>
    </w:p>
    <w:p>
      <w:pPr>
        <w:ind w:left="34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opinions expressed herein are limited to questions arising under the laws of Switzerland, and we express no opinion as to the laws of any other jurisdiction. We express no opinion herein as to any matter of accounting or taxation, or as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tabs>
          <w:tab w:leader="none" w:pos="1240" w:val="left"/>
          <w:tab w:leader="none" w:pos="11120" w:val="left"/>
        </w:tabs>
        <w:rPr>
          <w:sz w:val="20"/>
          <w:szCs w:val="20"/>
          <w:color w:val="auto"/>
        </w:rPr>
      </w:pPr>
      <w:r>
        <w:rPr>
          <w:rFonts w:ascii="Arial" w:cs="Arial" w:eastAsia="Arial" w:hAnsi="Arial"/>
          <w:sz w:val="18"/>
          <w:szCs w:val="18"/>
          <w:color w:val="auto"/>
        </w:rPr>
        <w:t>Bär &amp; Karrer</w:t>
        <w:tab/>
        <w:t>8 September 2020</w:t>
      </w:r>
      <w:r>
        <w:rPr>
          <w:sz w:val="20"/>
          <w:szCs w:val="20"/>
          <w:color w:val="auto"/>
        </w:rPr>
        <w:tab/>
      </w:r>
      <w:r>
        <w:rPr>
          <w:rFonts w:ascii="Arial" w:cs="Arial" w:eastAsia="Arial" w:hAnsi="Arial"/>
          <w:sz w:val="17"/>
          <w:szCs w:val="17"/>
          <w:color w:val="auto"/>
        </w:rPr>
        <w:t>4</w:t>
      </w:r>
    </w:p>
    <w:p>
      <w:pPr>
        <w:sectPr>
          <w:pgSz w:w="11900" w:h="16838" w:orient="portrait"/>
          <w:cols w:equalWidth="0" w:num="1">
            <w:col w:w="11240"/>
          </w:cols>
          <w:pgMar w:left="320" w:top="225" w:right="339" w:bottom="1440" w:gutter="0" w:footer="0" w:header="0"/>
        </w:sectPr>
      </w:pPr>
    </w:p>
    <w:p>
      <w:pPr>
        <w:spacing w:after="0" w:line="306" w:lineRule="exact"/>
        <w:rPr>
          <w:sz w:val="20"/>
          <w:szCs w:val="20"/>
          <w:color w:val="auto"/>
        </w:rPr>
      </w:pPr>
    </w:p>
    <w:p>
      <w:pPr>
        <w:ind w:left="340"/>
        <w:spacing w:after="0" w:line="276" w:lineRule="auto"/>
        <w:rPr>
          <w:sz w:val="20"/>
          <w:szCs w:val="20"/>
          <w:color w:val="auto"/>
        </w:rPr>
      </w:pPr>
      <w:r>
        <w:rPr>
          <w:rFonts w:ascii="Arial" w:cs="Arial" w:eastAsia="Arial" w:hAnsi="Arial"/>
          <w:sz w:val="18"/>
          <w:szCs w:val="18"/>
          <w:color w:val="auto"/>
        </w:rPr>
        <w:t>regulatory or commercial matter. Our opinions expressed in Section 4 above are further subject to the following qualifications and limitations:</w:t>
      </w:r>
    </w:p>
    <w:p>
      <w:pPr>
        <w:spacing w:after="0" w:line="131" w:lineRule="exact"/>
        <w:rPr>
          <w:sz w:val="20"/>
          <w:szCs w:val="20"/>
          <w:color w:val="auto"/>
        </w:rPr>
      </w:pPr>
    </w:p>
    <w:p>
      <w:pPr>
        <w:ind w:left="660" w:right="20" w:hanging="328"/>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Offered Shares is only permissible after registration in the Issuer's share register as a shareholder with voting rights in accordance with the provisions of, and subject to the limitations provided in, the Articles;</w:t>
      </w:r>
    </w:p>
    <w:p>
      <w:pPr>
        <w:spacing w:after="0" w:line="150" w:lineRule="exact"/>
        <w:rPr>
          <w:rFonts w:ascii="Arial" w:cs="Arial" w:eastAsia="Arial" w:hAnsi="Arial"/>
          <w:sz w:val="18"/>
          <w:szCs w:val="18"/>
          <w:color w:val="auto"/>
        </w:rPr>
      </w:pPr>
    </w:p>
    <w:p>
      <w:pPr>
        <w:ind w:left="660" w:right="240" w:hanging="328"/>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express no opinion on the accuracy, correctness or completeness of the Prospectus; in particular, we express no opinion on whether the Prospectus provides sufficient information for knowledgeable investors to reach an informed assessment of the Issuer and its securities;</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express no opinion as regards the preservation of shareholders' subscription rights (</w:t>
      </w:r>
      <w:r>
        <w:rPr>
          <w:rFonts w:ascii="Arial" w:cs="Arial" w:eastAsia="Arial" w:hAnsi="Arial"/>
          <w:sz w:val="18"/>
          <w:szCs w:val="18"/>
          <w:i w:val="1"/>
          <w:iCs w:val="1"/>
          <w:color w:val="auto"/>
        </w:rPr>
        <w:t>Bezugsrechte</w:t>
      </w:r>
      <w:r>
        <w:rPr>
          <w:rFonts w:ascii="Arial" w:cs="Arial" w:eastAsia="Arial" w:hAnsi="Arial"/>
          <w:sz w:val="18"/>
          <w:szCs w:val="18"/>
          <w:color w:val="auto"/>
        </w:rPr>
        <w:t>).</w:t>
      </w:r>
    </w:p>
    <w:p>
      <w:pPr>
        <w:spacing w:after="0" w:line="198" w:lineRule="exact"/>
        <w:rPr>
          <w:sz w:val="20"/>
          <w:szCs w:val="20"/>
          <w:color w:val="auto"/>
        </w:rPr>
      </w:pPr>
    </w:p>
    <w:p>
      <w:pPr>
        <w:jc w:val="both"/>
        <w:ind w:left="340"/>
        <w:spacing w:after="0" w:line="276" w:lineRule="auto"/>
        <w:rPr>
          <w:sz w:val="20"/>
          <w:szCs w:val="20"/>
          <w:color w:val="auto"/>
        </w:rPr>
      </w:pPr>
      <w:r>
        <w:rPr>
          <w:rFonts w:ascii="Arial" w:cs="Arial" w:eastAsia="Arial" w:hAnsi="Arial"/>
          <w:sz w:val="18"/>
          <w:szCs w:val="18"/>
          <w:color w:val="auto"/>
        </w:rPr>
        <w:t>We hereby consent to the filing of this opinion as an exhibit to the Prospectus. In giving such consent, we do not thereby admit that we are in the category of persons whose consent is required under Section 7 of the Securities Act.</w:t>
      </w:r>
    </w:p>
    <w:p>
      <w:pPr>
        <w:spacing w:after="0" w:line="13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This opinion and all matters relating to this opinion are governed by and shall be construed in accordance with the substantive laws of Switzerland. We confirm our understanding that all disputes arising out of or in connection with this opinion shall be subject to the exclusive jurisdiction of the courts of the Canton of Zurich, Switzerland, venue being city of Zurich.</w:t>
      </w: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Bär &amp; Karrer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lowerLetter"/>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2"/>
    </w:lvl>
  </w:abstractNum>
  <w:abstractNum w:abstractNumId="3">
    <w:nsid w:val="2901D82"/>
    <w:multiLevelType w:val="hybridMultilevel"/>
    <w:lvl w:ilvl="0">
      <w:lvlJc w:val="left"/>
      <w:lvlText w:val="(%1)"/>
      <w:numFmt w:val="lowerLetter"/>
      <w:start w:val="3"/>
    </w:lvl>
  </w:abstractNum>
  <w:abstractNum w:abstractNumId="4">
    <w:nsid w:val="3A95F874"/>
    <w:multiLevelType w:val="hybridMultilevel"/>
    <w:lvl w:ilvl="0">
      <w:lvlJc w:val="left"/>
      <w:lvlText w:val="(%1)"/>
      <w:numFmt w:val="lowerLetter"/>
      <w:start w:val="8"/>
    </w:lvl>
  </w:abstractNum>
  <w:abstractNum w:abstractNumId="5">
    <w:nsid w:val="8138641"/>
    <w:multiLevelType w:val="hybridMultilevel"/>
    <w:lvl w:ilvl="0">
      <w:lvlJc w:val="left"/>
      <w:lvlText w:val="(%1)"/>
      <w:numFmt w:val="lowerLetter"/>
      <w:start w:val="13"/>
    </w:lvl>
  </w:abstractNum>
  <w:abstractNum w:abstractNumId="6">
    <w:nsid w:val="1E7FF521"/>
    <w:multiLevelType w:val="hybridMultilevel"/>
    <w:lvl w:ilvl="0">
      <w:lvlJc w:val="left"/>
      <w:lvlText w:val="(%1)"/>
      <w:numFmt w:val="lowerLetter"/>
      <w:start w:val="16"/>
    </w:lvl>
  </w:abstractNum>
  <w:abstractNum w:abstractNumId="7">
    <w:nsid w:val="7C3DBD3D"/>
    <w:multiLevelType w:val="hybridMultilevel"/>
    <w:lvl w:ilvl="0">
      <w:lvlJc w:val="left"/>
      <w:lvlText w:val="(%1)"/>
      <w:numFmt w:val="lowerLetter"/>
      <w:start w:val="20"/>
    </w:lvl>
  </w:abstractNum>
  <w:abstractNum w:abstractNumId="8">
    <w:nsid w:val="737B8DDC"/>
    <w:multiLevelType w:val="hybridMultilevel"/>
    <w:lvl w:ilvl="0">
      <w:lvlJc w:val="left"/>
      <w:lvlText w:val="(%1)"/>
      <w:numFmt w:val="lowerLetter"/>
      <w:start w:val="25"/>
    </w:lvl>
  </w:abstractNum>
  <w:abstractNum w:abstractNumId="9">
    <w:nsid w:val="6CEAF087"/>
    <w:multiLevelType w:val="hybridMultilevel"/>
    <w:lvl w:ilvl="0">
      <w:lvlJc w:val="left"/>
      <w:lvlText w:val="(%1)"/>
      <w:numFmt w:val="lowerLetter"/>
      <w:start w:val="27"/>
    </w:lvl>
  </w:abstractNum>
  <w:abstractNum w:abstractNumId="10">
    <w:nsid w:val="22221A70"/>
    <w:multiLevelType w:val="hybridMultilevel"/>
    <w:lvl w:ilvl="0">
      <w:lvlJc w:val="left"/>
      <w:lvlText w:val="(%1)"/>
      <w:numFmt w:val="lowerLetter"/>
      <w:start w:val="29"/>
    </w:lvl>
  </w:abstractNum>
  <w:abstractNum w:abstractNumId="11">
    <w:nsid w:val="4516DDE9"/>
    <w:multiLevelType w:val="hybridMultilevel"/>
    <w:lvl w:ilvl="0">
      <w:lvlJc w:val="left"/>
      <w:lvlText w:val="(%1)"/>
      <w:numFmt w:val="lowerLetter"/>
      <w:start w:val="36"/>
    </w:lvl>
  </w:abstractNum>
  <w:abstractNum w:abstractNumId="12">
    <w:nsid w:val="3006C83E"/>
    <w:multiLevelType w:val="hybridMultilevel"/>
    <w:lvl w:ilvl="0">
      <w:lvlJc w:val="left"/>
      <w:lvlText w:val="(%1)"/>
      <w:numFmt w:val="lowerLetter"/>
      <w:start w:val="40"/>
    </w:lvl>
  </w:abstractNum>
  <w:abstractNum w:abstractNumId="13">
    <w:nsid w:val="614FD4A1"/>
    <w:multiLevelType w:val="hybridMultilevel"/>
    <w:lvl w:ilvl="0">
      <w:lvlJc w:val="left"/>
      <w:lvlText w:val="(%1)"/>
      <w:numFmt w:val="lowerLetter"/>
      <w:start w:val="46"/>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upperLetter"/>
      <w:start w:val="1"/>
    </w:lvl>
    <w:lvl w:ilvl="1">
      <w:lvlJc w:val="left"/>
      <w:lvlText w:val="(%2)"/>
      <w:numFmt w:val="lowerRoman"/>
      <w:start w:val="1"/>
    </w:lvl>
  </w:abstractNum>
  <w:abstractNum w:abstractNumId="16">
    <w:nsid w:val="440BADFC"/>
    <w:multiLevelType w:val="hybridMultilevel"/>
    <w:lvl w:ilvl="0">
      <w:lvlJc w:val="left"/>
      <w:lvlText w:val="(%1)"/>
      <w:numFmt w:val="upperLetter"/>
      <w:start w:val="2"/>
    </w:lvl>
    <w:lvl w:ilvl="1">
      <w:lvlJc w:val="left"/>
      <w:lvlText w:val="(%2)"/>
      <w:numFmt w:val="lowerRoman"/>
      <w:start w:val="4"/>
    </w:lvl>
  </w:abstractNum>
  <w:abstractNum w:abstractNumId="17">
    <w:nsid w:val="5072367"/>
    <w:multiLevelType w:val="hybridMultilevel"/>
    <w:lvl w:ilvl="0">
      <w:lvlJc w:val="left"/>
      <w:lvlText w:val="(%1)"/>
      <w:numFmt w:val="lowerRoman"/>
      <w:start w:val="5"/>
    </w:lvl>
  </w:abstractNum>
  <w:abstractNum w:abstractNumId="18">
    <w:nsid w:val="3804823E"/>
    <w:multiLevelType w:val="hybridMultilevel"/>
    <w:lvl w:ilvl="0">
      <w:lvlJc w:val="left"/>
      <w:lvlText w:val="(%1)"/>
      <w:numFmt w:val="lowerLetter"/>
      <w:start w:val="3"/>
    </w:lvl>
  </w:abstractNum>
  <w:abstractNum w:abstractNumId="19">
    <w:nsid w:val="77465F01"/>
    <w:multiLevelType w:val="hybridMultilevel"/>
    <w:lvl w:ilvl="0">
      <w:lvlJc w:val="left"/>
      <w:lvlText w:val="%1"/>
      <w:numFmt w:val="lowerRoman"/>
      <w:start w:val="1"/>
    </w:lvl>
    <w:lvl w:ilvl="1">
      <w:lvlJc w:val="left"/>
      <w:lvlText w:val="(%2)"/>
      <w:numFmt w:val="lowerLetter"/>
      <w:start w:val="4"/>
    </w:lvl>
  </w:abstractNum>
  <w:abstractNum w:abstractNumId="20">
    <w:nsid w:val="7724C67E"/>
    <w:multiLevelType w:val="hybridMultilevel"/>
    <w:lvl w:ilvl="0">
      <w:lvlJc w:val="left"/>
      <w:lvlText w:val="(%1)"/>
      <w:numFmt w:val="lowerRoman"/>
      <w:start w:val="9"/>
    </w:lvl>
    <w:lvl w:ilvl="1">
      <w:lvlJc w:val="left"/>
      <w:lvlText w:val="%2"/>
      <w:numFmt w:val="lowerLetter"/>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2"/>
    </w:lvl>
  </w:abstractNum>
  <w:abstractNum w:abstractNumId="23">
    <w:nsid w:val="5E884ADC"/>
    <w:multiLevelType w:val="hybridMultilevel"/>
    <w:lvl w:ilvl="0">
      <w:lvlJc w:val="left"/>
      <w:lvlText w:val="(%1)"/>
      <w:numFmt w:val="lowerLetter"/>
      <w:start w:val="4"/>
    </w:lvl>
  </w:abstractNum>
  <w:abstractNum w:abstractNumId="24">
    <w:nsid w:val="51EAD36B"/>
    <w:multiLevelType w:val="hybridMultilevel"/>
    <w:lvl w:ilvl="0">
      <w:lvlJc w:val="left"/>
      <w:lvlText w:val="(%1)"/>
      <w:numFmt w:val="lowerLetter"/>
      <w:start w:val="7"/>
    </w:lvl>
  </w:abstractNum>
  <w:abstractNum w:abstractNumId="25">
    <w:nsid w:val="2D517796"/>
    <w:multiLevelType w:val="hybridMultilevel"/>
    <w:lvl w:ilvl="0">
      <w:lvlJc w:val="left"/>
      <w:lvlText w:val="%1"/>
      <w:numFmt w:val="lowerLetter"/>
      <w:start w:val="1"/>
    </w:lvl>
    <w:lvl w:ilvl="1">
      <w:lvlJc w:val="left"/>
      <w:lvlText w:val="(%2)"/>
      <w:numFmt w:val="lowerLetter"/>
      <w:start w:val="10"/>
    </w:lvl>
    <w:lvl w:ilvl="2">
      <w:lvlJc w:val="left"/>
      <w:lvlText w:val="%3"/>
      <w:numFmt w:val="upperLetter"/>
      <w:start w:val="1"/>
    </w:lvl>
  </w:abstractNum>
  <w:abstractNum w:abstractNumId="26">
    <w:nsid w:val="580BD78F"/>
    <w:multiLevelType w:val="hybridMultilevel"/>
    <w:lvl w:ilvl="0">
      <w:lvlJc w:val="left"/>
      <w:lvlText w:val="(%1)"/>
      <w:numFmt w:val="lowerLetter"/>
      <w:start w:val="35"/>
    </w:lvl>
    <w:lvl w:ilvl="1">
      <w:lvlJc w:val="left"/>
      <w:lvlText w:val="(%2)"/>
      <w:numFmt w:val="lowerLetter"/>
      <w:start w:val="15"/>
    </w:lvl>
    <w:lvl w:ilvl="2">
      <w:lvlJc w:val="left"/>
      <w:lvlText w:val="(%3)"/>
      <w:numFmt w:val="upperLetter"/>
      <w:start w:val="1"/>
    </w:lvl>
  </w:abstractNum>
  <w:abstractNum w:abstractNumId="27">
    <w:nsid w:val="153EA438"/>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28">
    <w:nsid w:val="3855585C"/>
    <w:multiLevelType w:val="hybridMultilevel"/>
    <w:lvl w:ilvl="0">
      <w:lvlJc w:val="left"/>
      <w:lvlText w:val="%1"/>
      <w:numFmt w:val="lowerRoman"/>
      <w:start w:val="1"/>
    </w:lvl>
    <w:lvl w:ilvl="1">
      <w:lvlJc w:val="left"/>
      <w:lvlText w:val="(%2)"/>
      <w:numFmt w:val="lowerLetter"/>
      <w:start w:val="16"/>
    </w:lvl>
    <w:lvl w:ilvl="2">
      <w:lvlJc w:val="left"/>
      <w:lvlText w:val="%3"/>
      <w:numFmt w:val="upperLetter"/>
      <w:start w:val="1"/>
    </w:lvl>
  </w:abstractNum>
  <w:abstractNum w:abstractNumId="29">
    <w:nsid w:val="70A64E2A"/>
    <w:multiLevelType w:val="hybridMultilevel"/>
    <w:lvl w:ilvl="0">
      <w:lvlJc w:val="left"/>
      <w:lvlText w:val="(%1)"/>
      <w:numFmt w:val="lowerRoman"/>
      <w:start w:val="4"/>
    </w:lvl>
    <w:lvl w:ilvl="1">
      <w:lvlJc w:val="left"/>
      <w:lvlText w:val="%2"/>
      <w:numFmt w:val="lowerLetter"/>
      <w:start w:val="1"/>
    </w:lvl>
    <w:lvl w:ilvl="2">
      <w:lvlJc w:val="left"/>
      <w:lvlText w:val="%3"/>
      <w:numFmt w:val="upperLetter"/>
      <w:start w:val="1"/>
    </w:lvl>
  </w:abstractNum>
  <w:abstractNum w:abstractNumId="30">
    <w:nsid w:val="6A2342EC"/>
    <w:multiLevelType w:val="hybridMultilevel"/>
    <w:lvl w:ilvl="0">
      <w:lvlJc w:val="left"/>
      <w:lvlText w:val="(%1)"/>
      <w:numFmt w:val="lowerLetter"/>
      <w:start w:val="17"/>
    </w:lvl>
  </w:abstractNum>
  <w:abstractNum w:abstractNumId="31">
    <w:nsid w:val="2A487CB0"/>
    <w:multiLevelType w:val="hybridMultilevel"/>
    <w:lvl w:ilvl="0">
      <w:lvlJc w:val="left"/>
      <w:lvlText w:val="%1"/>
      <w:numFmt w:val="lowerRoman"/>
      <w:start w:val="1"/>
    </w:lvl>
    <w:lvl w:ilvl="1">
      <w:lvlJc w:val="left"/>
      <w:lvlText w:val="(%2)"/>
      <w:numFmt w:val="lowerLetter"/>
      <w:start w:val="22"/>
    </w:lvl>
  </w:abstractNum>
  <w:abstractNum w:abstractNumId="32">
    <w:nsid w:val="1D4ED43B"/>
    <w:multiLevelType w:val="hybridMultilevel"/>
    <w:lvl w:ilvl="0">
      <w:lvlJc w:val="left"/>
      <w:lvlText w:val="(%1)"/>
      <w:numFmt w:val="lowerRoman"/>
      <w:start w:val="2"/>
    </w:lvl>
    <w:lvl w:ilvl="1">
      <w:lvlJc w:val="left"/>
      <w:lvlText w:val="%2"/>
      <w:numFmt w:val="lowerLetter"/>
      <w:start w:val="1"/>
    </w:lvl>
  </w:abstractNum>
  <w:abstractNum w:abstractNumId="33">
    <w:nsid w:val="725A06FB"/>
    <w:multiLevelType w:val="hybridMultilevel"/>
    <w:lvl w:ilvl="0">
      <w:lvlJc w:val="left"/>
      <w:lvlText w:val="(%1)"/>
      <w:numFmt w:val="lowerRoman"/>
      <w:start w:val="4"/>
    </w:lvl>
    <w:lvl w:ilvl="1">
      <w:lvlJc w:val="left"/>
      <w:lvlText w:val="%2"/>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Roman"/>
      <w:start w:val="1"/>
    </w:lvl>
  </w:abstractNum>
  <w:abstractNum w:abstractNumId="36">
    <w:nsid w:val="7A6D8D3C"/>
    <w:multiLevelType w:val="hybridMultilevel"/>
    <w:lvl w:ilvl="0">
      <w:lvlJc w:val="left"/>
      <w:lvlText w:val="%1"/>
      <w:numFmt w:val="lowerLetter"/>
      <w:start w:val="1"/>
    </w:lvl>
    <w:lvl w:ilvl="1">
      <w:lvlJc w:val="left"/>
      <w:lvlText w:val="(%2)"/>
      <w:numFmt w:val="lowerLetter"/>
      <w:start w:val="35"/>
    </w:lvl>
  </w:abstractNum>
  <w:abstractNum w:abstractNumId="37">
    <w:nsid w:val="4B588F54"/>
    <w:multiLevelType w:val="hybridMultilevel"/>
    <w:lvl w:ilvl="0">
      <w:lvlJc w:val="left"/>
      <w:lvlText w:val="(%1)"/>
      <w:numFmt w:val="lowerLetter"/>
      <w:start w:val="2"/>
    </w:lvl>
    <w:lvl w:ilvl="1">
      <w:lvlJc w:val="left"/>
      <w:lvlText w:val="%2"/>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lowerLetter"/>
      <w:start w:val="3"/>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Letter"/>
      <w:start w:val="1"/>
    </w:lvl>
    <w:lvl w:ilvl="1">
      <w:lvlJc w:val="left"/>
      <w:lvlText w:val="(%2)"/>
      <w:numFmt w:val="lowerRoman"/>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2"/>
    </w:lvl>
  </w:abstractNum>
  <w:abstractNum w:abstractNumId="45">
    <w:nsid w:val="749ABB43"/>
    <w:multiLevelType w:val="hybridMultilevel"/>
    <w:lvl w:ilvl="0">
      <w:lvlJc w:val="left"/>
      <w:lvlText w:val="(%1)"/>
      <w:numFmt w:val="lowerLetter"/>
      <w:start w:val="5"/>
    </w:lvl>
  </w:abstractNum>
  <w:abstractNum w:abstractNumId="46">
    <w:nsid w:val="3DC240FB"/>
    <w:multiLevelType w:val="hybridMultilevel"/>
    <w:lvl w:ilvl="0">
      <w:lvlJc w:val="left"/>
      <w:lvlText w:val="(%1)"/>
      <w:numFmt w:val="lowerLetter"/>
      <w:start w:val="6"/>
    </w:lvl>
  </w:abstractNum>
  <w:abstractNum w:abstractNumId="47">
    <w:nsid w:val="1BA026FA"/>
    <w:multiLevelType w:val="hybridMultilevel"/>
    <w:lvl w:ilvl="0">
      <w:lvlJc w:val="left"/>
      <w:lvlText w:val="1"/>
      <w:numFmt w:val="bullet"/>
      <w:start w:val="1"/>
    </w:lvl>
  </w:abstractNum>
  <w:abstractNum w:abstractNumId="48">
    <w:nsid w:val="79A1DEAA"/>
    <w:multiLevelType w:val="hybridMultilevel"/>
    <w:lvl w:ilvl="0">
      <w:lvlJc w:val="left"/>
      <w:lvlText w:val="2"/>
      <w:numFmt w:val="bullet"/>
      <w:start w:val="1"/>
    </w:lvl>
    <w:lvl w:ilvl="1">
      <w:lvlJc w:val="left"/>
      <w:lvlText w:val="%2)"/>
      <w:numFmt w:val="lowerLetter"/>
      <w:start w:val="1"/>
    </w:lvl>
  </w:abstractNum>
  <w:abstractNum w:abstractNumId="49">
    <w:nsid w:val="75C6C33A"/>
    <w:multiLevelType w:val="hybridMultilevel"/>
    <w:lvl w:ilvl="0">
      <w:lvlJc w:val="left"/>
      <w:lvlText w:val="3"/>
      <w:numFmt w:val="bullet"/>
      <w:start w:val="1"/>
    </w:lvl>
    <w:lvl w:ilvl="1">
      <w:lvlJc w:val="left"/>
      <w:lvlText w:val="%2)"/>
      <w:numFmt w:val="lowerLetter"/>
      <w:start w:val="1"/>
    </w:lvl>
  </w:abstractNum>
  <w:abstractNum w:abstractNumId="50">
    <w:nsid w:val="12E685FB"/>
    <w:multiLevelType w:val="hybridMultilevel"/>
    <w:lvl w:ilvl="0">
      <w:lvlJc w:val="left"/>
      <w:lvlText w:val="%1)"/>
      <w:numFmt w:val="lowerLetter"/>
      <w:start w:val="6"/>
    </w:lvl>
  </w:abstractNum>
  <w:abstractNum w:abstractNumId="51">
    <w:nsid w:val="70C6A529"/>
    <w:multiLevelType w:val="hybridMultilevel"/>
    <w:lvl w:ilvl="0">
      <w:lvlJc w:val="left"/>
      <w:lvlText w:val="4"/>
      <w:numFmt w:val="bullet"/>
      <w:start w:val="1"/>
    </w:lvl>
  </w:abstractNum>
  <w:abstractNum w:abstractNumId="52">
    <w:nsid w:val="520EEDD1"/>
    <w:multiLevelType w:val="hybridMultilevel"/>
    <w:lvl w:ilvl="0">
      <w:lvlJc w:val="left"/>
      <w:lvlText w:val="5"/>
      <w:numFmt w:val="bullet"/>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2020-09-08T16:20:59Z</dcterms:created>
  <dcterms:modified xsi:type="dcterms:W3CDTF">2020-09-08T16:20:59Z</dcterms:modified>
</cp:coreProperties>
</file>