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March,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4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6350</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366395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6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Joerg Hornstein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6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796"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tcPr>
          <w:p>
            <w:pPr>
              <w:spacing w:after="0"/>
              <w:rPr>
                <w:sz w:val="24"/>
                <w:szCs w:val="24"/>
                <w:color w:val="auto"/>
              </w:rPr>
            </w:pPr>
          </w:p>
        </w:tc>
        <w:tc>
          <w:tcPr>
            <w:tcW w:w="10180" w:type="dxa"/>
            <w:vAlign w:val="bottom"/>
          </w:tcPr>
          <w:p>
            <w:pPr>
              <w:spacing w:after="0"/>
              <w:rPr>
                <w:sz w:val="24"/>
                <w:szCs w:val="24"/>
                <w:color w:val="auto"/>
              </w:rPr>
            </w:pP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1018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bl>
    <w:p>
      <w:pPr>
        <w:spacing w:after="0" w:line="5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20, 2018</w:t>
      </w:r>
    </w:p>
    <w:p>
      <w:pPr>
        <w:spacing w:after="0" w:line="7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2017 Statutory Annual Report</w:t>
      </w:r>
    </w:p>
    <w:p>
      <w:pPr>
        <w:spacing w:after="0" w:line="7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2017 Compensation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580"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979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full-year 2017 financial results – successful first year as a public company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March 20, 2018 </w:t>
      </w:r>
      <w:r>
        <w:rPr>
          <w:rFonts w:ascii="Arial" w:cs="Arial" w:eastAsia="Arial" w:hAnsi="Arial"/>
          <w:sz w:val="18"/>
          <w:szCs w:val="18"/>
          <w:color w:val="auto"/>
        </w:rPr>
        <w:t>– AC Immune SA (NASDAQ: ACIU), a Swiss-based, clinical 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pipeline focused on neurodegenerative diseases, today announced financial results and provided a corporate overview for the year ended December 31, 2017, its first full year as a public company.</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Prof. Andrea Pfeifer, CEO of AC Immune, </w:t>
      </w:r>
      <w:r>
        <w:rPr>
          <w:rFonts w:ascii="Arial" w:cs="Arial" w:eastAsia="Arial" w:hAnsi="Arial"/>
          <w:sz w:val="18"/>
          <w:szCs w:val="18"/>
          <w:color w:val="auto"/>
        </w:rPr>
        <w:t>commented: “AC Immune made significant progress in 2017 – our first full year as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Our lead asset, crenezumab, entered a second pivotal Phase 3 trial in Alzheimer’s disease with our partner Genentech. There were important developments with our other assets, and a new collaboration with Essex Biotechnology in Asia. We continue to invest in each of the company’s three strategic pillars – Alzheimer’s disease, neuro-orphan indications and diagnostics – and we believe that precision medicine will significantly improve patients’ lives. During 2017 we were pleased to strengthen our relationships with the investment community. We look forward to sharing some key value inflection points in 2018, like for example the recently announced development of potentially the first selective alpha-synuclein PET tracer for earlier and more accurate diagnosis of Parkinson’s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2017</w:t>
      </w:r>
    </w:p>
    <w:p>
      <w:pPr>
        <w:spacing w:after="0" w:line="220" w:lineRule="exact"/>
        <w:rPr>
          <w:sz w:val="20"/>
          <w:szCs w:val="20"/>
          <w:color w:val="auto"/>
        </w:rPr>
      </w:pPr>
    </w:p>
    <w:p>
      <w:pPr>
        <w:jc w:val="both"/>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Strategic R&amp;D expenditures rose by CHF 6.9 million (+27%) supporting an ongoing ramp-up in R&amp;D activities primarily driven by investments in our Diagnostics and New Discovery programs and pipeline advancements in our proprietary and partnered key vaccine programs</w:t>
      </w:r>
    </w:p>
    <w:p>
      <w:pPr>
        <w:spacing w:after="0" w:line="189"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Ongoing strong financial position with CHF 124.4 million in cash, allowing the company to be fully financed through Q2 2019, excluding potential incoming milestones</w:t>
      </w:r>
    </w:p>
    <w:p>
      <w:pPr>
        <w:spacing w:after="0" w:line="183"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Increase in property and equipment to enhance our research facilities by CHF 1.8 million (+55%), as well as increase in R&amp;D personnel expenses of CHF 1.8 million with increase of 15 FTEs (+28%) in 2017</w:t>
      </w:r>
    </w:p>
    <w:p>
      <w:pPr>
        <w:spacing w:after="0" w:line="153"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36"/>
          <w:szCs w:val="36"/>
          <w:color w:val="C00000"/>
          <w:vertAlign w:val="superscript"/>
        </w:rPr>
      </w:pPr>
      <w:r>
        <w:rPr>
          <w:rFonts w:ascii="Arial" w:cs="Arial" w:eastAsia="Arial" w:hAnsi="Arial"/>
          <w:sz w:val="18"/>
          <w:szCs w:val="18"/>
          <w:color w:val="auto"/>
        </w:rPr>
        <w:t>IFRS net operating loss of CHF 26.4 million and adjusted (Non-IFRS) loss of CHF 20.6 million</w:t>
      </w:r>
      <w:r>
        <w:rPr>
          <w:rFonts w:ascii="Arial" w:cs="Arial" w:eastAsia="Arial" w:hAnsi="Arial"/>
          <w:sz w:val="30"/>
          <w:szCs w:val="30"/>
          <w:color w:val="auto"/>
          <w:vertAlign w:val="superscript"/>
        </w:rPr>
        <w:t>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517640" cy="2229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222948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60" w:type="dxa"/>
            <w:vAlign w:val="bottom"/>
            <w:tcBorders>
              <w:top w:val="single" w:sz="8" w:color="auto"/>
            </w:tcBorders>
            <w:gridSpan w:val="3"/>
          </w:tcPr>
          <w:p>
            <w:pPr>
              <w:jc w:val="center"/>
              <w:ind w:left="6071"/>
              <w:spacing w:after="0" w:line="194" w:lineRule="exact"/>
              <w:rPr>
                <w:sz w:val="20"/>
                <w:szCs w:val="20"/>
                <w:color w:val="auto"/>
              </w:rPr>
            </w:pPr>
            <w:r>
              <w:rPr>
                <w:rFonts w:ascii="Arial" w:cs="Arial" w:eastAsia="Arial" w:hAnsi="Arial"/>
                <w:sz w:val="18"/>
                <w:szCs w:val="18"/>
                <w:b w:val="1"/>
                <w:bCs w:val="1"/>
                <w:color w:val="auto"/>
                <w:w w:val="99"/>
              </w:rPr>
              <w:t>For the year ended</w:t>
            </w:r>
          </w:p>
        </w:tc>
        <w:tc>
          <w:tcPr>
            <w:tcW w:w="7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25"/>
        </w:trPr>
        <w:tc>
          <w:tcPr>
            <w:tcW w:w="8160" w:type="dxa"/>
            <w:vAlign w:val="bottom"/>
            <w:tcBorders>
              <w:bottom w:val="single" w:sz="8" w:color="auto"/>
            </w:tcBorders>
            <w:gridSpan w:val="3"/>
          </w:tcPr>
          <w:p>
            <w:pPr>
              <w:jc w:val="center"/>
              <w:ind w:left="6071"/>
              <w:spacing w:after="0"/>
              <w:rPr>
                <w:sz w:val="20"/>
                <w:szCs w:val="20"/>
                <w:color w:val="auto"/>
              </w:rPr>
            </w:pPr>
            <w:r>
              <w:rPr>
                <w:rFonts w:ascii="Arial" w:cs="Arial" w:eastAsia="Arial" w:hAnsi="Arial"/>
                <w:sz w:val="18"/>
                <w:szCs w:val="18"/>
                <w:b w:val="1"/>
                <w:bCs w:val="1"/>
                <w:color w:val="auto"/>
                <w:w w:val="99"/>
              </w:rPr>
              <w:t>December 31,</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6"/>
        </w:trPr>
        <w:tc>
          <w:tcPr>
            <w:tcW w:w="6620" w:type="dxa"/>
            <w:vAlign w:val="bottom"/>
            <w:tcBorders>
              <w:bottom w:val="single" w:sz="8" w:color="auto"/>
            </w:tcBorders>
          </w:tcPr>
          <w:p>
            <w:pPr>
              <w:ind w:left="6200"/>
              <w:spacing w:after="0" w:line="196" w:lineRule="exact"/>
              <w:rPr>
                <w:sz w:val="20"/>
                <w:szCs w:val="20"/>
                <w:color w:val="auto"/>
              </w:rPr>
            </w:pPr>
            <w:r>
              <w:rPr>
                <w:rFonts w:ascii="Arial" w:cs="Arial" w:eastAsia="Arial" w:hAnsi="Arial"/>
                <w:sz w:val="18"/>
                <w:szCs w:val="18"/>
                <w:b w:val="1"/>
                <w:bCs w:val="1"/>
                <w:color w:val="auto"/>
                <w:w w:val="99"/>
              </w:rPr>
              <w:t>2017</w:t>
            </w:r>
          </w:p>
        </w:tc>
        <w:tc>
          <w:tcPr>
            <w:tcW w:w="6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Change</w:t>
            </w:r>
          </w:p>
        </w:tc>
      </w:tr>
      <w:tr>
        <w:trPr>
          <w:trHeight w:val="210"/>
        </w:trPr>
        <w:tc>
          <w:tcPr>
            <w:tcW w:w="8160" w:type="dxa"/>
            <w:vAlign w:val="bottom"/>
            <w:gridSpan w:val="3"/>
          </w:tcPr>
          <w:p>
            <w:pPr>
              <w:jc w:val="center"/>
              <w:ind w:left="6091"/>
              <w:spacing w:after="0"/>
              <w:rPr>
                <w:sz w:val="20"/>
                <w:szCs w:val="20"/>
                <w:color w:val="auto"/>
              </w:rPr>
            </w:pPr>
            <w:r>
              <w:rPr>
                <w:rFonts w:ascii="Arial" w:cs="Arial" w:eastAsia="Arial" w:hAnsi="Arial"/>
                <w:sz w:val="18"/>
                <w:szCs w:val="18"/>
                <w:color w:val="auto"/>
                <w:w w:val="99"/>
              </w:rPr>
              <w:t>(in CHF million</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1"/>
        </w:trPr>
        <w:tc>
          <w:tcPr>
            <w:tcW w:w="8160" w:type="dxa"/>
            <w:vAlign w:val="bottom"/>
            <w:tcBorders>
              <w:bottom w:val="single" w:sz="8" w:color="auto"/>
            </w:tcBorders>
            <w:gridSpan w:val="3"/>
          </w:tcPr>
          <w:p>
            <w:pPr>
              <w:jc w:val="center"/>
              <w:ind w:left="6071"/>
              <w:spacing w:after="0"/>
              <w:rPr>
                <w:sz w:val="20"/>
                <w:szCs w:val="20"/>
                <w:color w:val="auto"/>
              </w:rPr>
            </w:pPr>
            <w:r>
              <w:rPr>
                <w:rFonts w:ascii="Arial" w:cs="Arial" w:eastAsia="Arial" w:hAnsi="Arial"/>
                <w:sz w:val="18"/>
                <w:szCs w:val="18"/>
                <w:color w:val="auto"/>
                <w:w w:val="99"/>
              </w:rPr>
              <w:t>except per share data)</w:t>
            </w:r>
          </w:p>
        </w:tc>
        <w:tc>
          <w:tcPr>
            <w:tcW w:w="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6"/>
        </w:trPr>
        <w:tc>
          <w:tcPr>
            <w:tcW w:w="6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Contract revenue</w:t>
            </w: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20.3</w:t>
            </w: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23.2</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w:t>
            </w:r>
          </w:p>
        </w:tc>
      </w:tr>
      <w:tr>
        <w:trPr>
          <w:trHeight w:val="196"/>
        </w:trPr>
        <w:tc>
          <w:tcPr>
            <w:tcW w:w="6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6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R&amp;D expenses</w:t>
            </w: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(32.7)</w:t>
            </w: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(25.8)</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w:t>
            </w:r>
          </w:p>
        </w:tc>
      </w:tr>
      <w:tr>
        <w:trPr>
          <w:trHeight w:val="196"/>
        </w:trPr>
        <w:tc>
          <w:tcPr>
            <w:tcW w:w="6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G&amp;A expenses</w:t>
            </w: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w:t>
            </w: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(7.9)</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w:t>
            </w:r>
          </w:p>
        </w:tc>
      </w:tr>
      <w:tr>
        <w:trPr>
          <w:trHeight w:val="196"/>
        </w:trPr>
        <w:tc>
          <w:tcPr>
            <w:tcW w:w="6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6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IFRS (Loss) for the period</w:t>
            </w: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(26.4)</w:t>
            </w: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(7.1)</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(19.3)</w:t>
            </w:r>
          </w:p>
        </w:tc>
      </w:tr>
      <w:tr>
        <w:trPr>
          <w:trHeight w:val="196"/>
        </w:trPr>
        <w:tc>
          <w:tcPr>
            <w:tcW w:w="6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IFRS EPS – basic and diluted</w:t>
            </w: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(0.46)</w:t>
            </w: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(0.14)</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(0.32)</w:t>
            </w:r>
          </w:p>
        </w:tc>
      </w:tr>
      <w:tr>
        <w:trPr>
          <w:trHeight w:val="196"/>
        </w:trPr>
        <w:tc>
          <w:tcPr>
            <w:tcW w:w="6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37"/>
        </w:trPr>
        <w:tc>
          <w:tcPr>
            <w:tcW w:w="662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7"/>
                <w:szCs w:val="17"/>
                <w:color w:val="auto"/>
              </w:rPr>
              <w:t>Non-IFRS (Loss) for the period</w:t>
            </w:r>
            <w:r>
              <w:rPr>
                <w:rFonts w:ascii="Arial" w:cs="Arial" w:eastAsia="Arial" w:hAnsi="Arial"/>
                <w:sz w:val="27"/>
                <w:szCs w:val="27"/>
                <w:color w:val="auto"/>
                <w:vertAlign w:val="superscript"/>
              </w:rPr>
              <w:t>1</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49"/>
        </w:trPr>
        <w:tc>
          <w:tcPr>
            <w:tcW w:w="6620" w:type="dxa"/>
            <w:vAlign w:val="bottom"/>
          </w:tcPr>
          <w:p>
            <w:pPr>
              <w:ind w:left="60"/>
              <w:spacing w:after="0" w:line="249" w:lineRule="exact"/>
              <w:rPr>
                <w:sz w:val="20"/>
                <w:szCs w:val="20"/>
                <w:color w:val="auto"/>
              </w:rPr>
            </w:pPr>
            <w:r>
              <w:rPr>
                <w:rFonts w:ascii="Arial" w:cs="Arial" w:eastAsia="Arial" w:hAnsi="Arial"/>
                <w:sz w:val="17"/>
                <w:szCs w:val="17"/>
                <w:color w:val="auto"/>
              </w:rPr>
              <w:t>Non-IFRS EPS – basic and diluted</w:t>
            </w:r>
            <w:r>
              <w:rPr>
                <w:rFonts w:ascii="Arial" w:cs="Arial" w:eastAsia="Arial" w:hAnsi="Arial"/>
                <w:sz w:val="28"/>
                <w:szCs w:val="28"/>
                <w:color w:val="auto"/>
                <w:vertAlign w:val="superscript"/>
              </w:rPr>
              <w:t>1</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94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(0.18)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(0.18)</w:t>
            </w:r>
          </w:p>
        </w:tc>
      </w:tr>
    </w:tbl>
    <w:p>
      <w:pPr>
        <w:ind w:left="120" w:hanging="112"/>
        <w:spacing w:after="0" w:line="183" w:lineRule="auto"/>
        <w:tabs>
          <w:tab w:leader="none" w:pos="12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Adjusted (Loss) and Adjusted EPS are non-IFRS measures. See “Non-IFRS Financial Measures” below for further information.</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93"/>
        </w:trPr>
        <w:tc>
          <w:tcPr>
            <w:tcW w:w="5680" w:type="dxa"/>
            <w:vAlign w:val="bottom"/>
            <w:tcBorders>
              <w:top w:val="single" w:sz="8" w:color="auto"/>
              <w:left w:val="single" w:sz="8" w:color="auto"/>
              <w:right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410"/>
              <w:spacing w:after="0" w:line="194" w:lineRule="exact"/>
              <w:rPr>
                <w:sz w:val="20"/>
                <w:szCs w:val="20"/>
                <w:color w:val="auto"/>
              </w:rPr>
            </w:pPr>
            <w:r>
              <w:rPr>
                <w:rFonts w:ascii="Arial" w:cs="Arial" w:eastAsia="Arial" w:hAnsi="Arial"/>
                <w:sz w:val="18"/>
                <w:szCs w:val="18"/>
                <w:b w:val="1"/>
                <w:bCs w:val="1"/>
                <w:color w:val="auto"/>
                <w:w w:val="97"/>
              </w:rPr>
              <w:t>As of</w:t>
            </w:r>
          </w:p>
        </w:tc>
        <w:tc>
          <w:tcPr>
            <w:tcW w:w="58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r>
      <w:tr>
        <w:trPr>
          <w:trHeight w:val="225"/>
        </w:trPr>
        <w:tc>
          <w:tcPr>
            <w:tcW w:w="568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9"/>
              </w:rPr>
              <w:t>December 31,</w:t>
            </w:r>
          </w:p>
        </w:tc>
        <w:tc>
          <w:tcPr>
            <w:tcW w:w="5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196"/>
        </w:trPr>
        <w:tc>
          <w:tcPr>
            <w:tcW w:w="568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Change</w:t>
            </w:r>
          </w:p>
        </w:tc>
      </w:tr>
      <w:tr>
        <w:trPr>
          <w:trHeight w:val="196"/>
        </w:trPr>
        <w:tc>
          <w:tcPr>
            <w:tcW w:w="5680" w:type="dxa"/>
            <w:vAlign w:val="bottom"/>
            <w:tcBorders>
              <w:left w:val="single" w:sz="8" w:color="auto"/>
              <w:bottom w:val="single" w:sz="8" w:color="auto"/>
              <w:right w:val="single" w:sz="8" w:color="auto"/>
            </w:tcBorders>
          </w:tcPr>
          <w:p>
            <w:pPr>
              <w:spacing w:after="0"/>
              <w:rPr>
                <w:sz w:val="17"/>
                <w:szCs w:val="17"/>
                <w:color w:val="auto"/>
              </w:rPr>
            </w:pPr>
          </w:p>
        </w:tc>
        <w:tc>
          <w:tcPr>
            <w:tcW w:w="2500" w:type="dxa"/>
            <w:vAlign w:val="bottom"/>
            <w:tcBorders>
              <w:bottom w:val="single" w:sz="8" w:color="auto"/>
            </w:tcBorders>
            <w:gridSpan w:val="3"/>
          </w:tcPr>
          <w:p>
            <w:pPr>
              <w:jc w:val="center"/>
              <w:ind w:left="370"/>
              <w:spacing w:after="0" w:line="196" w:lineRule="exact"/>
              <w:rPr>
                <w:sz w:val="20"/>
                <w:szCs w:val="20"/>
                <w:color w:val="auto"/>
              </w:rPr>
            </w:pPr>
            <w:r>
              <w:rPr>
                <w:rFonts w:ascii="Arial" w:cs="Arial" w:eastAsia="Arial" w:hAnsi="Arial"/>
                <w:sz w:val="18"/>
                <w:szCs w:val="18"/>
                <w:color w:val="auto"/>
                <w:w w:val="99"/>
              </w:rPr>
              <w:t>(in CHF million)</w:t>
            </w:r>
          </w:p>
        </w:tc>
        <w:tc>
          <w:tcPr>
            <w:tcW w:w="5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r>
      <w:tr>
        <w:trPr>
          <w:trHeight w:val="196"/>
        </w:trPr>
        <w:tc>
          <w:tcPr>
            <w:tcW w:w="56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124.4</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152.2</w:t>
            </w:r>
          </w:p>
        </w:tc>
        <w:tc>
          <w:tcPr>
            <w:tcW w:w="15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(27.8)</w:t>
            </w:r>
          </w:p>
        </w:tc>
      </w:tr>
      <w:tr>
        <w:trPr>
          <w:trHeight w:val="196"/>
        </w:trPr>
        <w:tc>
          <w:tcPr>
            <w:tcW w:w="56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Total shareholder’s equity</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116.8</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142.4</w:t>
            </w:r>
          </w:p>
        </w:tc>
        <w:tc>
          <w:tcPr>
            <w:tcW w:w="15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Highlights 2017</w:t>
      </w:r>
    </w:p>
    <w:p>
      <w:pPr>
        <w:spacing w:after="0" w:line="22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Crenezumab: initiated a second pivotal Phase 3 trial CREAD in 750 subjects with prodromal to mild Alzheimer’s disease</w:t>
      </w:r>
    </w:p>
    <w:p>
      <w:pPr>
        <w:spacing w:after="0" w:line="211"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Received a CHF 14 million milestone payment from Genentech for the first dosing in a Phase 2 clinical trial for Alzheimer’s disease with an anti-Tau antibody</w:t>
      </w:r>
    </w:p>
    <w:p>
      <w:pPr>
        <w:spacing w:after="0" w:line="183"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Completed recruitment for low-dose cohort of participants in a Phase 1 trial targeting Alzheimer's disease-like characteristics in individuals with Down syndrome</w:t>
      </w:r>
    </w:p>
    <w:p>
      <w:pPr>
        <w:spacing w:after="0" w:line="183"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Discovered next-generation antibodies for two targets that are important in the pathogenesis of significant neurodegenerative and neuro-orphan diseases (TDP-43 and alpha-synuclein)</w:t>
      </w:r>
    </w:p>
    <w:p>
      <w:pPr>
        <w:spacing w:after="0" w:line="183" w:lineRule="exact"/>
        <w:rPr>
          <w:rFonts w:ascii="Arial" w:cs="Arial" w:eastAsia="Arial" w:hAnsi="Arial"/>
          <w:sz w:val="18"/>
          <w:szCs w:val="18"/>
          <w:color w:val="C00000"/>
        </w:rPr>
      </w:pPr>
    </w:p>
    <w:p>
      <w:pPr>
        <w:ind w:left="260" w:hanging="252"/>
        <w:spacing w:after="0"/>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Discovered potentially the first selective alpha-synuclein positron emission tomography (PET) tracer for Parkinson’s disease</w:t>
      </w:r>
    </w:p>
    <w:p>
      <w:pPr>
        <w:spacing w:after="0" w:line="211"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Signed a research collaboration agreement with Essex Bio-Technology to develop a novel biological therapeutic for the treatment of neurodegenerative diseases and neuroinflammation; the company’s first R&amp;D base in Asia</w:t>
      </w:r>
    </w:p>
    <w:p>
      <w:pPr>
        <w:spacing w:after="0" w:line="183"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Awarded a continuation grant from The Michael J. Fox Foundation for Parkinson's Research for the development of an alpha-synuclein PET tracer</w:t>
      </w:r>
    </w:p>
    <w:p>
      <w:pPr>
        <w:spacing w:after="0" w:line="183"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Hosted a Key Opinion Leader (KOL) event focused on Tau as a Therapeutic and Diagnostic Target in Alzheimer’s and other Neurodegenerative Diseases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 achieved in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 Second Phase 3 study commenced</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Genentech, a member of the Roche Group, started a second Phase 3 clinical trial of the Alzheimer's disease therapy crenezumab, an anti-Abeta antibody. This new trial, CREAD2, will recruit 750 patients with prodromal or mild Alzheimer's disease. The trial will complement the current Phase 3 CREAD1 trial of 750 participants with prodromal or mild Alzheimer's disease, expected to read out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Anti-Tau Antibody moved into Phase 2 Trial for Alzheimer's disease triggering CHF 14 million milestone payment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Genentech, a member of the Roche Group, has dosed the first patient in a Phase 2 clinical trial for Alzheimer's disease (AD) with an anti-Tau monoclonal antibody known as RO7105705. This investigational medicine was discovered and humanized as part of the company's collaboration with Genentech. Upon the dosing of the first patient in the Phase 2 clinical trial, AC Immune became eligible to receive a milestone payment of CHF 14 million, which was paid in the fourth quarter of 2017. This is the third milestone payment under the 2012 strategic collaboration and licensing agreement with Genentech for anti-Tau antibodies for the treatment of AD and other neurodegenerative diseases.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Pipeline expansion with new antibodies active against alpha-synuclein and TDP-43</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discovery marks the advancement of our business strategy by targeting pathological proteins involved in Alzheimer’s disease and Parkinson’s disease, beyond Abeta and Tau. These two antibodies may potentially also address significant neurodegenerative and orphan indications. Alpha-synuclein is an established target for Parkinson’s disease and other Lewy body diseases while TDP-43 is a recently identified target of growing interest for neuro-orphan indications such as Frontotemporal Lobar Degeneration. Both antibodies were discovered using the company’s proprietary SupraAntigen™ platform which has already generated four products in clinical development including crenezumab, our lead product candidate that is partnered with Genentech, a member of the Roche Group, in Phase 3 for Alzheimer’s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 anti-Abeta vaccine for AD is advancing to Phase 2</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Phase 1/2a clinical study to evaluate safety, tolerability, immunogenicity and biomarker endpoints in patients with mild to moderate AD was conducted in Europe. Due to the observed favorable safety profile, the treatment free safety follow-up period of the Phase 1 was shortened to one year and is currently ongoing. Antibody responses were observed in the two higher dose groups, indicating a dose dependent effect of the vaccine. While the study was not powered to examine efficacy, a dose-dependent trend of reduction in brain amyloid measured by PET imaging was also observed in these groups. Due to the promising safety profile and potential dose dependent reduction of amyloid plaques, we plan to move this program forward into a Phase 2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 anti-Abeta vaccine in Phase 1b in individuals with Down syndrome</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Together with our prestigious clinical partners, recruitment was completed for the low-dose cohort in a Phase 1b trial targeting Alzheimer’s disease-like characteristics in individuals with Down syndrome. The study evaluates the safety, tolerability and immunogenicity of the anti-Abeta vaccine ACI-24 and is being funded through a grant from The US National Institute on Aging and an additional grant from the LuMind Research Down Syndrome Foundation. Interim results are expected in 2018.</w:t>
      </w:r>
    </w:p>
    <w:p>
      <w:pPr>
        <w:spacing w:after="0" w:line="166" w:lineRule="exact"/>
        <w:rPr>
          <w:sz w:val="20"/>
          <w:szCs w:val="20"/>
          <w:color w:val="auto"/>
        </w:rPr>
      </w:pPr>
    </w:p>
    <w:p>
      <w:pPr>
        <w:ind w:right="5100"/>
        <w:spacing w:after="0" w:line="271" w:lineRule="auto"/>
        <w:rPr>
          <w:sz w:val="20"/>
          <w:szCs w:val="20"/>
          <w:color w:val="auto"/>
        </w:rPr>
      </w:pPr>
      <w:r>
        <w:rPr>
          <w:rFonts w:ascii="Arial" w:cs="Arial" w:eastAsia="Arial" w:hAnsi="Arial"/>
          <w:sz w:val="18"/>
          <w:szCs w:val="18"/>
          <w:b w:val="1"/>
          <w:bCs w:val="1"/>
          <w:color w:val="auto"/>
        </w:rPr>
        <w:t>ACI-35 – anti-Tau vaccine for AD partnered with Janssen Pharmaceuticals in Phase 1</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Phase 1b clinical study to evaluate the safety, tolerability and immunogenicity of ACI-35 in patients with mild to moderate AD was conducted in Europe. An interim analysis showed a dose-dependent and target-specific antibody response to pTau. For an optimal long-term and potentially preventive application, new formulations of the Anti-Tau vaccine were developed in collaboration with Janssen Pharmaceuticals. Due to the encouraging data, AC Immune and Janssen jointly decided to advance the anti-Tau vaccine program to the next stage of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Essex Biotechnology Collaboration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 Immune and Essex Bio-Technology Limited (HKEX: 1061), which specializes in biopharmaceutical drug development based on recombinant DNA technology, entered into a research collaboration agreement to undertake the pre-clinical and clinical co-development of a novel biological therapeutic for the treatment of neurodegenerative diseases and neuroinflammation.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Continuation of 2015 Grant from The Michael J. Fox Foundation for Parkinson’s Research</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has been awarded a continuation of a February 2015 research grant from the Michael J. Fox Foundation for Parkinson’s Research (MJFF). This provides funds for the development of PET tracers for the alpha-synuclein protein, to support the early diagnosis and clinical management of Parkinson’s disease. AC Immune has been collaborating on this biomarker program with Biogen since April 2016 and expects to initiate a first in human study in the second half of 2018.</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AC Immune shared insights from Key Opinion Leader Meeting focused on Tau as a Therapeutic and Diagnostic Target in Alzheimer’s disease and other Neurodegenerative Diseases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2017 the company shared top level insights from a Key Opinion Leader (KOL) luncheon-meeting addressing the importance of Tau as a target in Alzheimer's disease and other neurodegenerative diseases. Michael Rafii, MD, PhD (UC San Diego and University of Southern California, USC) discussed the importance of the Tau biomarker which can readily be studied in the Down syndrome population as well as other populations that display early signs of Alzheimer’s disease. This potentially aids in early Alzheimer’s disease diagnosis and treatment.</w:t>
      </w:r>
    </w:p>
    <w:p>
      <w:pPr>
        <w:spacing w:after="0" w:line="18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Khalid Iqbal, PhD (Professor and Chairman, Department of Neurochemistry at the New York State Institute for Basic Research in Developmental Disabilities, Staten Island, New York) highlighted the critical importance of Tau as a therapeutic target in Alzheimer's disease and other neurodegenerative diseases. He also addressed inhibition and prevention of Tau pathology, which may potentially disrupt the progression of Alzheimer's disease and improve cognitive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Prof. Andrea Pfeifer, PhD, CEO, AC Immune provided a general corporate overview of AC Immune’s vision and progress followed by Dr.</w:t>
      </w:r>
    </w:p>
    <w:p>
      <w:pPr>
        <w:spacing w:after="0"/>
        <w:rPr>
          <w:sz w:val="20"/>
          <w:szCs w:val="20"/>
          <w:color w:val="auto"/>
        </w:rPr>
      </w:pPr>
      <w:r>
        <w:rPr>
          <w:rFonts w:ascii="Arial" w:cs="Arial" w:eastAsia="Arial" w:hAnsi="Arial"/>
          <w:sz w:val="18"/>
          <w:szCs w:val="18"/>
          <w:color w:val="auto"/>
        </w:rPr>
        <w:t>Andreas Muhs, Chief Scientific Officer of AC Immune, who highlighted AC Immune's relevant Tau programs:</w:t>
      </w:r>
    </w:p>
    <w:p>
      <w:pPr>
        <w:spacing w:after="0" w:line="19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ACI-35, an anti-Tau vaccine in Phase 1b and developed in collaboration with Janssen Pharmaceuticals under a 2014 licensing agreement</w:t>
      </w:r>
    </w:p>
    <w:p>
      <w:pPr>
        <w:spacing w:after="0" w:line="211" w:lineRule="exact"/>
        <w:rPr>
          <w:rFonts w:ascii="Arial" w:cs="Arial" w:eastAsia="Arial" w:hAnsi="Arial"/>
          <w:sz w:val="18"/>
          <w:szCs w:val="18"/>
          <w:color w:val="C00000"/>
        </w:rPr>
      </w:pPr>
    </w:p>
    <w:p>
      <w:pPr>
        <w:ind w:left="260" w:hanging="252"/>
        <w:spacing w:after="0"/>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RO7105705, an anti-Tau antibody in Phase 2 and developed in collaboration with Genentech under a 2012 licensing agreement</w:t>
      </w:r>
    </w:p>
    <w:p>
      <w:pPr>
        <w:spacing w:after="0" w:line="211" w:lineRule="exact"/>
        <w:rPr>
          <w:rFonts w:ascii="Arial" w:cs="Arial" w:eastAsia="Arial" w:hAnsi="Arial"/>
          <w:sz w:val="18"/>
          <w:szCs w:val="18"/>
          <w:color w:val="C00000"/>
        </w:rPr>
      </w:pPr>
    </w:p>
    <w:p>
      <w:pPr>
        <w:ind w:left="260" w:hanging="252"/>
        <w:spacing w:after="0"/>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Morphomer Tau, a small molecule in pre-clinical development and developed in-house</w:t>
      </w:r>
    </w:p>
    <w:p>
      <w:pPr>
        <w:spacing w:after="0" w:line="211" w:lineRule="exact"/>
        <w:rPr>
          <w:rFonts w:ascii="Arial" w:cs="Arial" w:eastAsia="Arial" w:hAnsi="Arial"/>
          <w:sz w:val="18"/>
          <w:szCs w:val="18"/>
          <w:color w:val="C00000"/>
        </w:rPr>
      </w:pPr>
    </w:p>
    <w:p>
      <w:pPr>
        <w:ind w:left="260" w:hanging="252"/>
        <w:spacing w:after="0"/>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PI-2620, a Tau-PET imaging agent developed in collaboration with Piramal Imaging under a 2014 licensing agreement</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Clinical development pipeline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Borders>
              <w:top w:val="single" w:sz="8" w:color="A5A5A5"/>
              <w:bottom w:val="single" w:sz="8" w:color="A5A5A5"/>
            </w:tcBorders>
          </w:tcPr>
          <w:p>
            <w:pPr>
              <w:spacing w:after="0"/>
              <w:rPr>
                <w:sz w:val="18"/>
                <w:szCs w:val="18"/>
                <w:color w:val="auto"/>
              </w:rPr>
            </w:pPr>
          </w:p>
        </w:tc>
        <w:tc>
          <w:tcPr>
            <w:tcW w:w="2600" w:type="dxa"/>
            <w:vAlign w:val="bottom"/>
            <w:tcBorders>
              <w:top w:val="single" w:sz="8" w:color="A5A5A5"/>
              <w:bottom w:val="single" w:sz="8" w:color="A5A5A5"/>
            </w:tcBorders>
          </w:tcPr>
          <w:p>
            <w:pPr>
              <w:ind w:left="60"/>
              <w:spacing w:after="0"/>
              <w:rPr>
                <w:sz w:val="20"/>
                <w:szCs w:val="20"/>
                <w:color w:val="auto"/>
              </w:rPr>
            </w:pPr>
            <w:r>
              <w:rPr>
                <w:rFonts w:ascii="Arial" w:cs="Arial" w:eastAsia="Arial" w:hAnsi="Arial"/>
                <w:sz w:val="18"/>
                <w:szCs w:val="18"/>
                <w:b w:val="1"/>
                <w:bCs w:val="1"/>
                <w:color w:val="C00000"/>
              </w:rPr>
              <w:t>Product candidate</w:t>
            </w:r>
          </w:p>
        </w:tc>
        <w:tc>
          <w:tcPr>
            <w:tcW w:w="1620" w:type="dxa"/>
            <w:vAlign w:val="bottom"/>
            <w:tcBorders>
              <w:top w:val="single" w:sz="8" w:color="A5A5A5"/>
              <w:bottom w:val="single" w:sz="8" w:color="A5A5A5"/>
            </w:tcBorders>
          </w:tcPr>
          <w:p>
            <w:pPr>
              <w:ind w:left="720"/>
              <w:spacing w:after="0"/>
              <w:rPr>
                <w:sz w:val="20"/>
                <w:szCs w:val="20"/>
                <w:color w:val="auto"/>
              </w:rPr>
            </w:pPr>
            <w:r>
              <w:rPr>
                <w:rFonts w:ascii="Arial" w:cs="Arial" w:eastAsia="Arial" w:hAnsi="Arial"/>
                <w:sz w:val="18"/>
                <w:szCs w:val="18"/>
                <w:b w:val="1"/>
                <w:bCs w:val="1"/>
                <w:color w:val="C00000"/>
              </w:rPr>
              <w:t>Target</w:t>
            </w:r>
          </w:p>
        </w:tc>
        <w:tc>
          <w:tcPr>
            <w:tcW w:w="2660" w:type="dxa"/>
            <w:vAlign w:val="bottom"/>
            <w:tcBorders>
              <w:top w:val="single" w:sz="8" w:color="A5A5A5"/>
              <w:bottom w:val="single" w:sz="8" w:color="A5A5A5"/>
            </w:tcBorders>
          </w:tcPr>
          <w:p>
            <w:pPr>
              <w:ind w:left="820"/>
              <w:spacing w:after="0"/>
              <w:rPr>
                <w:sz w:val="20"/>
                <w:szCs w:val="20"/>
                <w:color w:val="auto"/>
              </w:rPr>
            </w:pPr>
            <w:r>
              <w:rPr>
                <w:rFonts w:ascii="Arial" w:cs="Arial" w:eastAsia="Arial" w:hAnsi="Arial"/>
                <w:sz w:val="18"/>
                <w:szCs w:val="18"/>
                <w:b w:val="1"/>
                <w:bCs w:val="1"/>
                <w:color w:val="C00000"/>
              </w:rPr>
              <w:t>Target Indication</w:t>
            </w:r>
          </w:p>
        </w:tc>
        <w:tc>
          <w:tcPr>
            <w:tcW w:w="1880" w:type="dxa"/>
            <w:vAlign w:val="bottom"/>
            <w:tcBorders>
              <w:top w:val="single" w:sz="8" w:color="A5A5A5"/>
              <w:bottom w:val="single" w:sz="8" w:color="A5A5A5"/>
            </w:tcBorders>
          </w:tcPr>
          <w:p>
            <w:pPr>
              <w:ind w:left="800"/>
              <w:spacing w:after="0"/>
              <w:rPr>
                <w:sz w:val="20"/>
                <w:szCs w:val="20"/>
                <w:color w:val="auto"/>
              </w:rPr>
            </w:pPr>
            <w:r>
              <w:rPr>
                <w:rFonts w:ascii="Arial" w:cs="Arial" w:eastAsia="Arial" w:hAnsi="Arial"/>
                <w:sz w:val="18"/>
                <w:szCs w:val="18"/>
                <w:b w:val="1"/>
                <w:bCs w:val="1"/>
                <w:color w:val="C00000"/>
              </w:rPr>
              <w:t>Partner</w:t>
            </w:r>
          </w:p>
        </w:tc>
        <w:tc>
          <w:tcPr>
            <w:tcW w:w="1960" w:type="dxa"/>
            <w:vAlign w:val="bottom"/>
            <w:tcBorders>
              <w:top w:val="single" w:sz="8" w:color="A5A5A5"/>
              <w:bottom w:val="single" w:sz="8" w:color="A5A5A5"/>
            </w:tcBorders>
          </w:tcPr>
          <w:p>
            <w:pPr>
              <w:ind w:left="780"/>
              <w:spacing w:after="0"/>
              <w:rPr>
                <w:sz w:val="20"/>
                <w:szCs w:val="20"/>
                <w:color w:val="auto"/>
              </w:rPr>
            </w:pPr>
            <w:r>
              <w:rPr>
                <w:rFonts w:ascii="Arial" w:cs="Arial" w:eastAsia="Arial" w:hAnsi="Arial"/>
                <w:sz w:val="18"/>
                <w:szCs w:val="18"/>
                <w:b w:val="1"/>
                <w:bCs w:val="1"/>
                <w:color w:val="C00000"/>
              </w:rPr>
              <w:t>Status</w:t>
            </w:r>
          </w:p>
        </w:tc>
      </w:tr>
      <w:tr>
        <w:trPr>
          <w:trHeight w:val="198"/>
        </w:trPr>
        <w:tc>
          <w:tcPr>
            <w:tcW w:w="700" w:type="dxa"/>
            <w:vAlign w:val="bottom"/>
            <w:shd w:val="clear" w:color="auto" w:fill="E8E8E8"/>
          </w:tcPr>
          <w:p>
            <w:pPr>
              <w:spacing w:after="0"/>
              <w:rPr>
                <w:sz w:val="17"/>
                <w:szCs w:val="17"/>
                <w:color w:val="auto"/>
              </w:rPr>
            </w:pPr>
          </w:p>
        </w:tc>
        <w:tc>
          <w:tcPr>
            <w:tcW w:w="2600" w:type="dxa"/>
            <w:vAlign w:val="bottom"/>
            <w:shd w:val="clear" w:color="auto" w:fill="E8E8E8"/>
          </w:tcPr>
          <w:p>
            <w:pPr>
              <w:ind w:left="60"/>
              <w:spacing w:after="0" w:line="198" w:lineRule="exact"/>
              <w:rPr>
                <w:sz w:val="20"/>
                <w:szCs w:val="20"/>
                <w:color w:val="auto"/>
              </w:rPr>
            </w:pPr>
            <w:r>
              <w:rPr>
                <w:rFonts w:ascii="Arial" w:cs="Arial" w:eastAsia="Arial" w:hAnsi="Arial"/>
                <w:sz w:val="18"/>
                <w:szCs w:val="18"/>
                <w:b w:val="1"/>
                <w:bCs w:val="1"/>
                <w:color w:val="auto"/>
              </w:rPr>
              <w:t>Crenezumab</w:t>
            </w:r>
          </w:p>
        </w:tc>
        <w:tc>
          <w:tcPr>
            <w:tcW w:w="1620" w:type="dxa"/>
            <w:vAlign w:val="bottom"/>
            <w:shd w:val="clear" w:color="auto" w:fill="E8E8E8"/>
          </w:tcPr>
          <w:p>
            <w:pPr>
              <w:ind w:left="140"/>
              <w:spacing w:after="0" w:line="198" w:lineRule="exact"/>
              <w:rPr>
                <w:sz w:val="20"/>
                <w:szCs w:val="20"/>
                <w:color w:val="auto"/>
              </w:rPr>
            </w:pPr>
            <w:r>
              <w:rPr>
                <w:rFonts w:ascii="Arial" w:cs="Arial" w:eastAsia="Arial" w:hAnsi="Arial"/>
                <w:sz w:val="18"/>
                <w:szCs w:val="18"/>
                <w:color w:val="auto"/>
              </w:rPr>
              <w:t>Abeta</w:t>
            </w:r>
          </w:p>
        </w:tc>
        <w:tc>
          <w:tcPr>
            <w:tcW w:w="2660" w:type="dxa"/>
            <w:vAlign w:val="bottom"/>
            <w:shd w:val="clear" w:color="auto" w:fill="E8E8E8"/>
          </w:tcPr>
          <w:p>
            <w:pPr>
              <w:ind w:left="240"/>
              <w:spacing w:after="0" w:line="198" w:lineRule="exact"/>
              <w:rPr>
                <w:sz w:val="20"/>
                <w:szCs w:val="20"/>
                <w:color w:val="auto"/>
              </w:rPr>
            </w:pPr>
            <w:r>
              <w:rPr>
                <w:rFonts w:ascii="Arial" w:cs="Arial" w:eastAsia="Arial" w:hAnsi="Arial"/>
                <w:sz w:val="18"/>
                <w:szCs w:val="18"/>
                <w:color w:val="auto"/>
              </w:rPr>
              <w:t>AD treatment</w:t>
            </w:r>
          </w:p>
        </w:tc>
        <w:tc>
          <w:tcPr>
            <w:tcW w:w="1880" w:type="dxa"/>
            <w:vAlign w:val="bottom"/>
            <w:shd w:val="clear" w:color="auto" w:fill="E8E8E8"/>
          </w:tcPr>
          <w:p>
            <w:pPr>
              <w:ind w:left="200"/>
              <w:spacing w:after="0" w:line="198" w:lineRule="exact"/>
              <w:rPr>
                <w:sz w:val="20"/>
                <w:szCs w:val="20"/>
                <w:color w:val="auto"/>
              </w:rPr>
            </w:pPr>
            <w:r>
              <w:rPr>
                <w:rFonts w:ascii="Arial" w:cs="Arial" w:eastAsia="Arial" w:hAnsi="Arial"/>
                <w:sz w:val="18"/>
                <w:szCs w:val="18"/>
                <w:color w:val="auto"/>
              </w:rPr>
              <w:t>Genentech*</w:t>
            </w:r>
          </w:p>
        </w:tc>
        <w:tc>
          <w:tcPr>
            <w:tcW w:w="1960" w:type="dxa"/>
            <w:vAlign w:val="bottom"/>
            <w:shd w:val="clear" w:color="auto" w:fill="E8E8E8"/>
          </w:tcPr>
          <w:p>
            <w:pPr>
              <w:ind w:left="140"/>
              <w:spacing w:after="0" w:line="198" w:lineRule="exact"/>
              <w:rPr>
                <w:sz w:val="20"/>
                <w:szCs w:val="20"/>
                <w:color w:val="auto"/>
              </w:rPr>
            </w:pPr>
            <w:r>
              <w:rPr>
                <w:rFonts w:ascii="Arial" w:cs="Arial" w:eastAsia="Arial" w:hAnsi="Arial"/>
                <w:sz w:val="18"/>
                <w:szCs w:val="18"/>
                <w:color w:val="auto"/>
              </w:rPr>
              <w:t>Phase 3</w:t>
            </w:r>
          </w:p>
        </w:tc>
      </w:tr>
      <w:tr>
        <w:trPr>
          <w:trHeight w:val="187"/>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6"/>
                <w:szCs w:val="16"/>
                <w:color w:val="auto"/>
              </w:rPr>
              <w:t>(Anti-Abeta antibody)</w:t>
            </w: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204"/>
        </w:trPr>
        <w:tc>
          <w:tcPr>
            <w:tcW w:w="700" w:type="dxa"/>
            <w:vAlign w:val="bottom"/>
            <w:shd w:val="clear" w:color="auto" w:fill="E8E8E8"/>
          </w:tcPr>
          <w:p>
            <w:pPr>
              <w:spacing w:after="0"/>
              <w:rPr>
                <w:sz w:val="17"/>
                <w:szCs w:val="17"/>
                <w:color w:val="auto"/>
              </w:rPr>
            </w:pPr>
          </w:p>
        </w:tc>
        <w:tc>
          <w:tcPr>
            <w:tcW w:w="260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Crenezumab</w:t>
            </w:r>
          </w:p>
        </w:tc>
        <w:tc>
          <w:tcPr>
            <w:tcW w:w="1620" w:type="dxa"/>
            <w:vAlign w:val="bottom"/>
          </w:tcPr>
          <w:p>
            <w:pPr>
              <w:ind w:left="140"/>
              <w:spacing w:after="0" w:line="205" w:lineRule="exact"/>
              <w:rPr>
                <w:sz w:val="20"/>
                <w:szCs w:val="20"/>
                <w:color w:val="auto"/>
              </w:rPr>
            </w:pPr>
            <w:r>
              <w:rPr>
                <w:rFonts w:ascii="Arial" w:cs="Arial" w:eastAsia="Arial" w:hAnsi="Arial"/>
                <w:sz w:val="18"/>
                <w:szCs w:val="18"/>
                <w:color w:val="auto"/>
              </w:rPr>
              <w:t>Abeta</w:t>
            </w:r>
          </w:p>
        </w:tc>
        <w:tc>
          <w:tcPr>
            <w:tcW w:w="2660" w:type="dxa"/>
            <w:vAlign w:val="bottom"/>
          </w:tcPr>
          <w:p>
            <w:pPr>
              <w:ind w:left="240"/>
              <w:spacing w:after="0" w:line="205" w:lineRule="exact"/>
              <w:rPr>
                <w:sz w:val="20"/>
                <w:szCs w:val="20"/>
                <w:color w:val="auto"/>
              </w:rPr>
            </w:pPr>
            <w:r>
              <w:rPr>
                <w:rFonts w:ascii="Arial" w:cs="Arial" w:eastAsia="Arial" w:hAnsi="Arial"/>
                <w:sz w:val="18"/>
                <w:szCs w:val="18"/>
                <w:color w:val="auto"/>
              </w:rPr>
              <w:t>AD prevention</w:t>
            </w:r>
          </w:p>
        </w:tc>
        <w:tc>
          <w:tcPr>
            <w:tcW w:w="1880" w:type="dxa"/>
            <w:vAlign w:val="bottom"/>
          </w:tcPr>
          <w:p>
            <w:pPr>
              <w:ind w:left="200"/>
              <w:spacing w:after="0" w:line="205" w:lineRule="exact"/>
              <w:rPr>
                <w:sz w:val="20"/>
                <w:szCs w:val="20"/>
                <w:color w:val="auto"/>
              </w:rPr>
            </w:pPr>
            <w:r>
              <w:rPr>
                <w:rFonts w:ascii="Arial" w:cs="Arial" w:eastAsia="Arial" w:hAnsi="Arial"/>
                <w:sz w:val="18"/>
                <w:szCs w:val="18"/>
                <w:color w:val="auto"/>
              </w:rPr>
              <w:t>Genentech*</w:t>
            </w:r>
          </w:p>
        </w:tc>
        <w:tc>
          <w:tcPr>
            <w:tcW w:w="1960" w:type="dxa"/>
            <w:vAlign w:val="bottom"/>
          </w:tcPr>
          <w:p>
            <w:pPr>
              <w:ind w:left="140"/>
              <w:spacing w:after="0" w:line="205" w:lineRule="exact"/>
              <w:rPr>
                <w:sz w:val="20"/>
                <w:szCs w:val="20"/>
                <w:color w:val="auto"/>
              </w:rPr>
            </w:pPr>
            <w:r>
              <w:rPr>
                <w:rFonts w:ascii="Arial" w:cs="Arial" w:eastAsia="Arial" w:hAnsi="Arial"/>
                <w:sz w:val="18"/>
                <w:szCs w:val="18"/>
                <w:color w:val="auto"/>
              </w:rPr>
              <w:t>Phase 2</w:t>
            </w:r>
          </w:p>
        </w:tc>
      </w:tr>
      <w:tr>
        <w:trPr>
          <w:trHeight w:val="187"/>
        </w:trPr>
        <w:tc>
          <w:tcPr>
            <w:tcW w:w="700" w:type="dxa"/>
            <w:vAlign w:val="bottom"/>
            <w:shd w:val="clear" w:color="auto" w:fill="E8E8E8"/>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auto"/>
              </w:rPr>
              <w:t>(Anti-Abeta antibody)</w:t>
            </w:r>
          </w:p>
        </w:tc>
        <w:tc>
          <w:tcPr>
            <w:tcW w:w="1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4"/>
        </w:trPr>
        <w:tc>
          <w:tcPr>
            <w:tcW w:w="700" w:type="dxa"/>
            <w:vAlign w:val="bottom"/>
            <w:shd w:val="clear" w:color="auto" w:fill="E8E8E8"/>
          </w:tcPr>
          <w:p>
            <w:pPr>
              <w:spacing w:after="0"/>
              <w:rPr>
                <w:sz w:val="17"/>
                <w:szCs w:val="17"/>
                <w:color w:val="auto"/>
              </w:rPr>
            </w:pPr>
          </w:p>
        </w:tc>
        <w:tc>
          <w:tcPr>
            <w:tcW w:w="2600" w:type="dxa"/>
            <w:vAlign w:val="bottom"/>
            <w:shd w:val="clear" w:color="auto" w:fill="E8E8E8"/>
          </w:tcPr>
          <w:p>
            <w:pPr>
              <w:ind w:left="60"/>
              <w:spacing w:after="0" w:line="205" w:lineRule="exact"/>
              <w:rPr>
                <w:sz w:val="20"/>
                <w:szCs w:val="20"/>
                <w:color w:val="auto"/>
              </w:rPr>
            </w:pPr>
            <w:r>
              <w:rPr>
                <w:rFonts w:ascii="Arial" w:cs="Arial" w:eastAsia="Arial" w:hAnsi="Arial"/>
                <w:sz w:val="18"/>
                <w:szCs w:val="18"/>
                <w:b w:val="1"/>
                <w:bCs w:val="1"/>
                <w:color w:val="auto"/>
              </w:rPr>
              <w:t>ACI-24</w:t>
            </w:r>
          </w:p>
        </w:tc>
        <w:tc>
          <w:tcPr>
            <w:tcW w:w="162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Abeta</w:t>
            </w:r>
          </w:p>
        </w:tc>
        <w:tc>
          <w:tcPr>
            <w:tcW w:w="2660" w:type="dxa"/>
            <w:vAlign w:val="bottom"/>
            <w:shd w:val="clear" w:color="auto" w:fill="E8E8E8"/>
          </w:tcPr>
          <w:p>
            <w:pPr>
              <w:ind w:left="240"/>
              <w:spacing w:after="0" w:line="205" w:lineRule="exact"/>
              <w:rPr>
                <w:sz w:val="20"/>
                <w:szCs w:val="20"/>
                <w:color w:val="auto"/>
              </w:rPr>
            </w:pPr>
            <w:r>
              <w:rPr>
                <w:rFonts w:ascii="Arial" w:cs="Arial" w:eastAsia="Arial" w:hAnsi="Arial"/>
                <w:sz w:val="18"/>
                <w:szCs w:val="18"/>
                <w:color w:val="auto"/>
              </w:rPr>
              <w:t>AD treatment</w:t>
            </w:r>
          </w:p>
        </w:tc>
        <w:tc>
          <w:tcPr>
            <w:tcW w:w="1880" w:type="dxa"/>
            <w:vAlign w:val="bottom"/>
            <w:shd w:val="clear" w:color="auto" w:fill="E8E8E8"/>
          </w:tcPr>
          <w:p>
            <w:pPr>
              <w:spacing w:after="0"/>
              <w:rPr>
                <w:sz w:val="17"/>
                <w:szCs w:val="17"/>
                <w:color w:val="auto"/>
              </w:rPr>
            </w:pPr>
          </w:p>
        </w:tc>
        <w:tc>
          <w:tcPr>
            <w:tcW w:w="196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Advancing to Phase 2</w:t>
            </w:r>
          </w:p>
        </w:tc>
      </w:tr>
      <w:tr>
        <w:trPr>
          <w:trHeight w:val="187"/>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6"/>
                <w:szCs w:val="16"/>
                <w:color w:val="auto"/>
              </w:rPr>
              <w:t>(Anti-Abeta vaccine)</w:t>
            </w: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202"/>
        </w:trPr>
        <w:tc>
          <w:tcPr>
            <w:tcW w:w="700" w:type="dxa"/>
            <w:vAlign w:val="bottom"/>
            <w:shd w:val="clear" w:color="auto" w:fill="E8E8E8"/>
          </w:tcPr>
          <w:p>
            <w:pPr>
              <w:spacing w:after="0"/>
              <w:rPr>
                <w:sz w:val="17"/>
                <w:szCs w:val="17"/>
                <w:color w:val="auto"/>
              </w:rPr>
            </w:pPr>
          </w:p>
        </w:tc>
        <w:tc>
          <w:tcPr>
            <w:tcW w:w="260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ACI-35</w:t>
            </w:r>
          </w:p>
        </w:tc>
        <w:tc>
          <w:tcPr>
            <w:tcW w:w="1620" w:type="dxa"/>
            <w:vAlign w:val="bottom"/>
          </w:tcPr>
          <w:p>
            <w:pPr>
              <w:ind w:left="140"/>
              <w:spacing w:after="0" w:line="201" w:lineRule="exact"/>
              <w:rPr>
                <w:sz w:val="20"/>
                <w:szCs w:val="20"/>
                <w:color w:val="auto"/>
              </w:rPr>
            </w:pPr>
            <w:r>
              <w:rPr>
                <w:rFonts w:ascii="Arial" w:cs="Arial" w:eastAsia="Arial" w:hAnsi="Arial"/>
                <w:sz w:val="18"/>
                <w:szCs w:val="18"/>
                <w:color w:val="auto"/>
              </w:rPr>
              <w:t>Tau</w:t>
            </w:r>
          </w:p>
        </w:tc>
        <w:tc>
          <w:tcPr>
            <w:tcW w:w="2660" w:type="dxa"/>
            <w:vAlign w:val="bottom"/>
          </w:tcPr>
          <w:p>
            <w:pPr>
              <w:ind w:left="240"/>
              <w:spacing w:after="0" w:line="201" w:lineRule="exact"/>
              <w:rPr>
                <w:sz w:val="20"/>
                <w:szCs w:val="20"/>
                <w:color w:val="auto"/>
              </w:rPr>
            </w:pPr>
            <w:r>
              <w:rPr>
                <w:rFonts w:ascii="Arial" w:cs="Arial" w:eastAsia="Arial" w:hAnsi="Arial"/>
                <w:sz w:val="18"/>
                <w:szCs w:val="18"/>
                <w:color w:val="auto"/>
              </w:rPr>
              <w:t>AD treatment</w:t>
            </w:r>
          </w:p>
        </w:tc>
        <w:tc>
          <w:tcPr>
            <w:tcW w:w="1880" w:type="dxa"/>
            <w:vAlign w:val="bottom"/>
          </w:tcPr>
          <w:p>
            <w:pPr>
              <w:ind w:left="200"/>
              <w:spacing w:after="0" w:line="201" w:lineRule="exact"/>
              <w:rPr>
                <w:sz w:val="20"/>
                <w:szCs w:val="20"/>
                <w:color w:val="auto"/>
              </w:rPr>
            </w:pPr>
            <w:r>
              <w:rPr>
                <w:rFonts w:ascii="Arial" w:cs="Arial" w:eastAsia="Arial" w:hAnsi="Arial"/>
                <w:sz w:val="18"/>
                <w:szCs w:val="18"/>
                <w:color w:val="auto"/>
              </w:rPr>
              <w:t>Janssen</w:t>
            </w:r>
          </w:p>
        </w:tc>
        <w:tc>
          <w:tcPr>
            <w:tcW w:w="1960" w:type="dxa"/>
            <w:vAlign w:val="bottom"/>
          </w:tcPr>
          <w:p>
            <w:pPr>
              <w:ind w:left="140"/>
              <w:spacing w:after="0" w:line="201" w:lineRule="exact"/>
              <w:rPr>
                <w:sz w:val="20"/>
                <w:szCs w:val="20"/>
                <w:color w:val="auto"/>
              </w:rPr>
            </w:pPr>
            <w:r>
              <w:rPr>
                <w:rFonts w:ascii="Arial" w:cs="Arial" w:eastAsia="Arial" w:hAnsi="Arial"/>
                <w:sz w:val="18"/>
                <w:szCs w:val="18"/>
                <w:color w:val="auto"/>
              </w:rPr>
              <w:t>Phase 1b</w:t>
            </w:r>
          </w:p>
        </w:tc>
      </w:tr>
      <w:tr>
        <w:trPr>
          <w:trHeight w:val="203"/>
        </w:trPr>
        <w:tc>
          <w:tcPr>
            <w:tcW w:w="700" w:type="dxa"/>
            <w:vAlign w:val="bottom"/>
            <w:shd w:val="clear" w:color="auto" w:fill="E8E8E8"/>
          </w:tcPr>
          <w:p>
            <w:pPr>
              <w:spacing w:after="0"/>
              <w:rPr>
                <w:sz w:val="17"/>
                <w:szCs w:val="17"/>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auto"/>
              </w:rPr>
              <w:t>(Anti-pTau vaccine)</w:t>
            </w:r>
          </w:p>
        </w:tc>
        <w:tc>
          <w:tcPr>
            <w:tcW w:w="1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80" w:type="dxa"/>
            <w:vAlign w:val="bottom"/>
          </w:tcPr>
          <w:p>
            <w:pPr>
              <w:ind w:left="200"/>
              <w:spacing w:after="0" w:line="203" w:lineRule="exact"/>
              <w:rPr>
                <w:sz w:val="20"/>
                <w:szCs w:val="20"/>
                <w:color w:val="auto"/>
              </w:rPr>
            </w:pPr>
            <w:r>
              <w:rPr>
                <w:rFonts w:ascii="Arial" w:cs="Arial" w:eastAsia="Arial" w:hAnsi="Arial"/>
                <w:sz w:val="18"/>
                <w:szCs w:val="18"/>
                <w:color w:val="auto"/>
              </w:rPr>
              <w:t>Pharmaceuticals</w:t>
            </w:r>
          </w:p>
        </w:tc>
        <w:tc>
          <w:tcPr>
            <w:tcW w:w="1960" w:type="dxa"/>
            <w:vAlign w:val="bottom"/>
          </w:tcPr>
          <w:p>
            <w:pPr>
              <w:spacing w:after="0"/>
              <w:rPr>
                <w:sz w:val="17"/>
                <w:szCs w:val="17"/>
                <w:color w:val="auto"/>
              </w:rPr>
            </w:pPr>
          </w:p>
        </w:tc>
      </w:tr>
      <w:tr>
        <w:trPr>
          <w:trHeight w:val="203"/>
        </w:trPr>
        <w:tc>
          <w:tcPr>
            <w:tcW w:w="700" w:type="dxa"/>
            <w:vAlign w:val="bottom"/>
            <w:shd w:val="clear" w:color="auto" w:fill="E8E8E8"/>
          </w:tcPr>
          <w:p>
            <w:pPr>
              <w:spacing w:after="0"/>
              <w:rPr>
                <w:sz w:val="17"/>
                <w:szCs w:val="17"/>
                <w:color w:val="auto"/>
              </w:rPr>
            </w:pPr>
          </w:p>
        </w:tc>
        <w:tc>
          <w:tcPr>
            <w:tcW w:w="2600" w:type="dxa"/>
            <w:vAlign w:val="bottom"/>
            <w:shd w:val="clear" w:color="auto" w:fill="E8E8E8"/>
          </w:tcPr>
          <w:p>
            <w:pPr>
              <w:ind w:left="60"/>
              <w:spacing w:after="0" w:line="202" w:lineRule="exact"/>
              <w:rPr>
                <w:sz w:val="20"/>
                <w:szCs w:val="20"/>
                <w:color w:val="auto"/>
              </w:rPr>
            </w:pPr>
            <w:r>
              <w:rPr>
                <w:rFonts w:ascii="Arial" w:cs="Arial" w:eastAsia="Arial" w:hAnsi="Arial"/>
                <w:sz w:val="18"/>
                <w:szCs w:val="18"/>
                <w:b w:val="1"/>
                <w:bCs w:val="1"/>
                <w:color w:val="auto"/>
              </w:rPr>
              <w:t>Anti-Tau antibody</w:t>
            </w:r>
          </w:p>
        </w:tc>
        <w:tc>
          <w:tcPr>
            <w:tcW w:w="1620" w:type="dxa"/>
            <w:vAlign w:val="bottom"/>
            <w:shd w:val="clear" w:color="auto" w:fill="E8E8E8"/>
          </w:tcPr>
          <w:p>
            <w:pPr>
              <w:ind w:left="140"/>
              <w:spacing w:after="0" w:line="202" w:lineRule="exact"/>
              <w:rPr>
                <w:sz w:val="20"/>
                <w:szCs w:val="20"/>
                <w:color w:val="auto"/>
              </w:rPr>
            </w:pPr>
            <w:r>
              <w:rPr>
                <w:rFonts w:ascii="Arial" w:cs="Arial" w:eastAsia="Arial" w:hAnsi="Arial"/>
                <w:sz w:val="18"/>
                <w:szCs w:val="18"/>
                <w:color w:val="auto"/>
              </w:rPr>
              <w:t>Tau</w:t>
            </w:r>
          </w:p>
        </w:tc>
        <w:tc>
          <w:tcPr>
            <w:tcW w:w="2660" w:type="dxa"/>
            <w:vAlign w:val="bottom"/>
            <w:shd w:val="clear" w:color="auto" w:fill="E8E8E8"/>
          </w:tcPr>
          <w:p>
            <w:pPr>
              <w:ind w:left="240"/>
              <w:spacing w:after="0" w:line="202" w:lineRule="exact"/>
              <w:rPr>
                <w:sz w:val="20"/>
                <w:szCs w:val="20"/>
                <w:color w:val="auto"/>
              </w:rPr>
            </w:pPr>
            <w:r>
              <w:rPr>
                <w:rFonts w:ascii="Arial" w:cs="Arial" w:eastAsia="Arial" w:hAnsi="Arial"/>
                <w:sz w:val="18"/>
                <w:szCs w:val="18"/>
                <w:color w:val="auto"/>
              </w:rPr>
              <w:t>AD treatment</w:t>
            </w:r>
          </w:p>
        </w:tc>
        <w:tc>
          <w:tcPr>
            <w:tcW w:w="188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Genentech*</w:t>
            </w:r>
          </w:p>
        </w:tc>
        <w:tc>
          <w:tcPr>
            <w:tcW w:w="1960" w:type="dxa"/>
            <w:vAlign w:val="bottom"/>
            <w:shd w:val="clear" w:color="auto" w:fill="E8E8E8"/>
          </w:tcPr>
          <w:p>
            <w:pPr>
              <w:ind w:left="140"/>
              <w:spacing w:after="0" w:line="202" w:lineRule="exact"/>
              <w:rPr>
                <w:sz w:val="20"/>
                <w:szCs w:val="20"/>
                <w:color w:val="auto"/>
              </w:rPr>
            </w:pPr>
            <w:r>
              <w:rPr>
                <w:rFonts w:ascii="Arial" w:cs="Arial" w:eastAsia="Arial" w:hAnsi="Arial"/>
                <w:sz w:val="18"/>
                <w:szCs w:val="18"/>
                <w:color w:val="auto"/>
              </w:rPr>
              <w:t>Phase 2</w:t>
            </w:r>
          </w:p>
        </w:tc>
      </w:tr>
      <w:tr>
        <w:trPr>
          <w:trHeight w:val="204"/>
        </w:trPr>
        <w:tc>
          <w:tcPr>
            <w:tcW w:w="700" w:type="dxa"/>
            <w:vAlign w:val="bottom"/>
            <w:shd w:val="clear" w:color="auto" w:fill="E8E8E8"/>
          </w:tcPr>
          <w:p>
            <w:pPr>
              <w:spacing w:after="0"/>
              <w:rPr>
                <w:sz w:val="17"/>
                <w:szCs w:val="17"/>
                <w:color w:val="auto"/>
              </w:rPr>
            </w:pPr>
          </w:p>
        </w:tc>
        <w:tc>
          <w:tcPr>
            <w:tcW w:w="260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Morphomer Tau</w:t>
            </w:r>
          </w:p>
        </w:tc>
        <w:tc>
          <w:tcPr>
            <w:tcW w:w="1620" w:type="dxa"/>
            <w:vAlign w:val="bottom"/>
          </w:tcPr>
          <w:p>
            <w:pPr>
              <w:ind w:left="140"/>
              <w:spacing w:after="0" w:line="205" w:lineRule="exact"/>
              <w:rPr>
                <w:sz w:val="20"/>
                <w:szCs w:val="20"/>
                <w:color w:val="auto"/>
              </w:rPr>
            </w:pPr>
            <w:r>
              <w:rPr>
                <w:rFonts w:ascii="Arial" w:cs="Arial" w:eastAsia="Arial" w:hAnsi="Arial"/>
                <w:sz w:val="18"/>
                <w:szCs w:val="18"/>
                <w:color w:val="auto"/>
              </w:rPr>
              <w:t>Tau</w:t>
            </w:r>
          </w:p>
        </w:tc>
        <w:tc>
          <w:tcPr>
            <w:tcW w:w="2660" w:type="dxa"/>
            <w:vAlign w:val="bottom"/>
          </w:tcPr>
          <w:p>
            <w:pPr>
              <w:ind w:left="240"/>
              <w:spacing w:after="0" w:line="205" w:lineRule="exact"/>
              <w:rPr>
                <w:sz w:val="20"/>
                <w:szCs w:val="20"/>
                <w:color w:val="auto"/>
              </w:rPr>
            </w:pPr>
            <w:r>
              <w:rPr>
                <w:rFonts w:ascii="Arial" w:cs="Arial" w:eastAsia="Arial" w:hAnsi="Arial"/>
                <w:sz w:val="18"/>
                <w:szCs w:val="18"/>
                <w:color w:val="auto"/>
              </w:rPr>
              <w:t>AD treatment</w:t>
            </w:r>
          </w:p>
        </w:tc>
        <w:tc>
          <w:tcPr>
            <w:tcW w:w="1880" w:type="dxa"/>
            <w:vAlign w:val="bottom"/>
          </w:tcPr>
          <w:p>
            <w:pPr>
              <w:spacing w:after="0"/>
              <w:rPr>
                <w:sz w:val="17"/>
                <w:szCs w:val="17"/>
                <w:color w:val="auto"/>
              </w:rPr>
            </w:pPr>
          </w:p>
        </w:tc>
        <w:tc>
          <w:tcPr>
            <w:tcW w:w="1960" w:type="dxa"/>
            <w:vAlign w:val="bottom"/>
          </w:tcPr>
          <w:p>
            <w:pPr>
              <w:ind w:left="140"/>
              <w:spacing w:after="0" w:line="205" w:lineRule="exact"/>
              <w:rPr>
                <w:sz w:val="20"/>
                <w:szCs w:val="20"/>
                <w:color w:val="auto"/>
              </w:rPr>
            </w:pPr>
            <w:r>
              <w:rPr>
                <w:rFonts w:ascii="Arial" w:cs="Arial" w:eastAsia="Arial" w:hAnsi="Arial"/>
                <w:sz w:val="18"/>
                <w:szCs w:val="18"/>
                <w:color w:val="auto"/>
              </w:rPr>
              <w:t>Pre-clinical</w:t>
            </w:r>
          </w:p>
        </w:tc>
      </w:tr>
      <w:tr>
        <w:trPr>
          <w:trHeight w:val="194"/>
        </w:trPr>
        <w:tc>
          <w:tcPr>
            <w:tcW w:w="700" w:type="dxa"/>
            <w:vAlign w:val="bottom"/>
            <w:tcBorders>
              <w:bottom w:val="single" w:sz="8" w:color="C00000"/>
            </w:tcBorders>
            <w:shd w:val="clear" w:color="auto" w:fill="E8E8E8"/>
          </w:tcPr>
          <w:p>
            <w:pPr>
              <w:spacing w:after="0"/>
              <w:rPr>
                <w:sz w:val="16"/>
                <w:szCs w:val="16"/>
                <w:color w:val="auto"/>
              </w:rPr>
            </w:pPr>
          </w:p>
        </w:tc>
        <w:tc>
          <w:tcPr>
            <w:tcW w:w="2600" w:type="dxa"/>
            <w:vAlign w:val="bottom"/>
            <w:tcBorders>
              <w:bottom w:val="single" w:sz="8" w:color="C00000"/>
            </w:tcBorders>
          </w:tcPr>
          <w:p>
            <w:pPr>
              <w:ind w:left="60"/>
              <w:spacing w:after="0"/>
              <w:rPr>
                <w:sz w:val="20"/>
                <w:szCs w:val="20"/>
                <w:color w:val="auto"/>
              </w:rPr>
            </w:pPr>
            <w:r>
              <w:rPr>
                <w:rFonts w:ascii="Arial" w:cs="Arial" w:eastAsia="Arial" w:hAnsi="Arial"/>
                <w:sz w:val="16"/>
                <w:szCs w:val="16"/>
                <w:color w:val="auto"/>
              </w:rPr>
              <w:t>(Tau inhibitor)</w:t>
            </w:r>
          </w:p>
        </w:tc>
        <w:tc>
          <w:tcPr>
            <w:tcW w:w="1620" w:type="dxa"/>
            <w:vAlign w:val="bottom"/>
            <w:tcBorders>
              <w:bottom w:val="single" w:sz="8" w:color="C00000"/>
            </w:tcBorders>
          </w:tcPr>
          <w:p>
            <w:pPr>
              <w:spacing w:after="0"/>
              <w:rPr>
                <w:sz w:val="16"/>
                <w:szCs w:val="16"/>
                <w:color w:val="auto"/>
              </w:rPr>
            </w:pPr>
          </w:p>
        </w:tc>
        <w:tc>
          <w:tcPr>
            <w:tcW w:w="2660" w:type="dxa"/>
            <w:vAlign w:val="bottom"/>
            <w:tcBorders>
              <w:bottom w:val="single" w:sz="8" w:color="C00000"/>
            </w:tcBorders>
          </w:tcPr>
          <w:p>
            <w:pPr>
              <w:spacing w:after="0"/>
              <w:rPr>
                <w:sz w:val="16"/>
                <w:szCs w:val="16"/>
                <w:color w:val="auto"/>
              </w:rPr>
            </w:pPr>
          </w:p>
        </w:tc>
        <w:tc>
          <w:tcPr>
            <w:tcW w:w="1880" w:type="dxa"/>
            <w:vAlign w:val="bottom"/>
            <w:tcBorders>
              <w:bottom w:val="single" w:sz="8" w:color="C00000"/>
            </w:tcBorders>
          </w:tcPr>
          <w:p>
            <w:pPr>
              <w:spacing w:after="0"/>
              <w:rPr>
                <w:sz w:val="16"/>
                <w:szCs w:val="16"/>
                <w:color w:val="auto"/>
              </w:rPr>
            </w:pPr>
          </w:p>
        </w:tc>
        <w:tc>
          <w:tcPr>
            <w:tcW w:w="1960" w:type="dxa"/>
            <w:vAlign w:val="bottom"/>
            <w:tcBorders>
              <w:bottom w:val="single" w:sz="8" w:color="C00000"/>
            </w:tcBorders>
          </w:tcPr>
          <w:p>
            <w:pPr>
              <w:spacing w:after="0"/>
              <w:rPr>
                <w:sz w:val="16"/>
                <w:szCs w:val="16"/>
                <w:color w:val="auto"/>
              </w:rPr>
            </w:pPr>
          </w:p>
        </w:tc>
      </w:tr>
      <w:tr>
        <w:trPr>
          <w:trHeight w:val="204"/>
        </w:trPr>
        <w:tc>
          <w:tcPr>
            <w:tcW w:w="700" w:type="dxa"/>
            <w:vAlign w:val="bottom"/>
            <w:shd w:val="clear" w:color="auto" w:fill="E8E8E8"/>
          </w:tcPr>
          <w:p>
            <w:pPr>
              <w:spacing w:after="0"/>
              <w:rPr>
                <w:sz w:val="17"/>
                <w:szCs w:val="17"/>
                <w:color w:val="auto"/>
              </w:rPr>
            </w:pPr>
          </w:p>
        </w:tc>
        <w:tc>
          <w:tcPr>
            <w:tcW w:w="2600" w:type="dxa"/>
            <w:vAlign w:val="bottom"/>
            <w:shd w:val="clear" w:color="auto" w:fill="E8E8E8"/>
          </w:tcPr>
          <w:p>
            <w:pPr>
              <w:ind w:left="60"/>
              <w:spacing w:after="0" w:line="205" w:lineRule="exact"/>
              <w:rPr>
                <w:sz w:val="20"/>
                <w:szCs w:val="20"/>
                <w:color w:val="auto"/>
              </w:rPr>
            </w:pPr>
            <w:r>
              <w:rPr>
                <w:rFonts w:ascii="Arial" w:cs="Arial" w:eastAsia="Arial" w:hAnsi="Arial"/>
                <w:sz w:val="18"/>
                <w:szCs w:val="18"/>
                <w:b w:val="1"/>
                <w:bCs w:val="1"/>
                <w:color w:val="auto"/>
              </w:rPr>
              <w:t>ACI-24</w:t>
            </w:r>
          </w:p>
        </w:tc>
        <w:tc>
          <w:tcPr>
            <w:tcW w:w="162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Abeta</w:t>
            </w:r>
          </w:p>
        </w:tc>
        <w:tc>
          <w:tcPr>
            <w:tcW w:w="2660" w:type="dxa"/>
            <w:vAlign w:val="bottom"/>
            <w:shd w:val="clear" w:color="auto" w:fill="E8E8E8"/>
          </w:tcPr>
          <w:p>
            <w:pPr>
              <w:ind w:left="240"/>
              <w:spacing w:after="0" w:line="204" w:lineRule="exact"/>
              <w:rPr>
                <w:sz w:val="20"/>
                <w:szCs w:val="20"/>
                <w:color w:val="auto"/>
              </w:rPr>
            </w:pPr>
            <w:r>
              <w:rPr>
                <w:rFonts w:ascii="Arial" w:cs="Arial" w:eastAsia="Arial" w:hAnsi="Arial"/>
                <w:sz w:val="15"/>
                <w:szCs w:val="15"/>
                <w:color w:val="auto"/>
              </w:rPr>
              <w:t>Down syndrome</w:t>
            </w:r>
            <w:r>
              <w:rPr>
                <w:rFonts w:ascii="Arial" w:cs="Arial" w:eastAsia="Arial" w:hAnsi="Arial"/>
                <w:sz w:val="23"/>
                <w:szCs w:val="23"/>
                <w:color w:val="auto"/>
                <w:vertAlign w:val="superscript"/>
              </w:rPr>
              <w:t>1</w:t>
            </w:r>
          </w:p>
        </w:tc>
        <w:tc>
          <w:tcPr>
            <w:tcW w:w="1880" w:type="dxa"/>
            <w:vAlign w:val="bottom"/>
            <w:shd w:val="clear" w:color="auto" w:fill="E8E8E8"/>
          </w:tcPr>
          <w:p>
            <w:pPr>
              <w:spacing w:after="0"/>
              <w:rPr>
                <w:sz w:val="17"/>
                <w:szCs w:val="17"/>
                <w:color w:val="auto"/>
              </w:rPr>
            </w:pPr>
          </w:p>
        </w:tc>
        <w:tc>
          <w:tcPr>
            <w:tcW w:w="196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Phase 1b</w:t>
            </w:r>
          </w:p>
        </w:tc>
      </w:tr>
      <w:tr>
        <w:trPr>
          <w:trHeight w:val="195"/>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6"/>
                <w:szCs w:val="16"/>
                <w:color w:val="auto"/>
              </w:rPr>
              <w:t>(Anti-Abeta vaccine)</w:t>
            </w: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195"/>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spacing w:after="0"/>
              <w:rPr>
                <w:sz w:val="16"/>
                <w:szCs w:val="16"/>
                <w:color w:val="auto"/>
              </w:rPr>
            </w:pP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204"/>
        </w:trPr>
        <w:tc>
          <w:tcPr>
            <w:tcW w:w="700" w:type="dxa"/>
            <w:vAlign w:val="bottom"/>
            <w:shd w:val="clear" w:color="auto" w:fill="E8E8E8"/>
          </w:tcPr>
          <w:p>
            <w:pPr>
              <w:spacing w:after="0"/>
              <w:rPr>
                <w:sz w:val="17"/>
                <w:szCs w:val="17"/>
                <w:color w:val="auto"/>
              </w:rPr>
            </w:pPr>
          </w:p>
        </w:tc>
        <w:tc>
          <w:tcPr>
            <w:tcW w:w="260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Morphomer Abeta</w:t>
            </w:r>
          </w:p>
        </w:tc>
        <w:tc>
          <w:tcPr>
            <w:tcW w:w="1620" w:type="dxa"/>
            <w:vAlign w:val="bottom"/>
          </w:tcPr>
          <w:p>
            <w:pPr>
              <w:ind w:left="140"/>
              <w:spacing w:after="0" w:line="205" w:lineRule="exact"/>
              <w:rPr>
                <w:sz w:val="20"/>
                <w:szCs w:val="20"/>
                <w:color w:val="auto"/>
              </w:rPr>
            </w:pPr>
            <w:r>
              <w:rPr>
                <w:rFonts w:ascii="Arial" w:cs="Arial" w:eastAsia="Arial" w:hAnsi="Arial"/>
                <w:sz w:val="18"/>
                <w:szCs w:val="18"/>
                <w:color w:val="auto"/>
              </w:rPr>
              <w:t>Abeta</w:t>
            </w:r>
          </w:p>
        </w:tc>
        <w:tc>
          <w:tcPr>
            <w:tcW w:w="2660" w:type="dxa"/>
            <w:vAlign w:val="bottom"/>
          </w:tcPr>
          <w:p>
            <w:pPr>
              <w:ind w:left="240"/>
              <w:spacing w:after="0" w:line="205" w:lineRule="exact"/>
              <w:rPr>
                <w:sz w:val="20"/>
                <w:szCs w:val="20"/>
                <w:color w:val="auto"/>
              </w:rPr>
            </w:pPr>
            <w:r>
              <w:rPr>
                <w:rFonts w:ascii="Arial" w:cs="Arial" w:eastAsia="Arial" w:hAnsi="Arial"/>
                <w:sz w:val="18"/>
                <w:szCs w:val="18"/>
                <w:color w:val="auto"/>
              </w:rPr>
              <w:t>Glaucoma</w:t>
            </w:r>
          </w:p>
        </w:tc>
        <w:tc>
          <w:tcPr>
            <w:tcW w:w="1880" w:type="dxa"/>
            <w:vAlign w:val="bottom"/>
          </w:tcPr>
          <w:p>
            <w:pPr>
              <w:spacing w:after="0"/>
              <w:rPr>
                <w:sz w:val="17"/>
                <w:szCs w:val="17"/>
                <w:color w:val="auto"/>
              </w:rPr>
            </w:pPr>
          </w:p>
        </w:tc>
        <w:tc>
          <w:tcPr>
            <w:tcW w:w="1960" w:type="dxa"/>
            <w:vAlign w:val="bottom"/>
          </w:tcPr>
          <w:p>
            <w:pPr>
              <w:ind w:left="140"/>
              <w:spacing w:after="0" w:line="205" w:lineRule="exact"/>
              <w:rPr>
                <w:sz w:val="20"/>
                <w:szCs w:val="20"/>
                <w:color w:val="auto"/>
              </w:rPr>
            </w:pPr>
            <w:r>
              <w:rPr>
                <w:rFonts w:ascii="Arial" w:cs="Arial" w:eastAsia="Arial" w:hAnsi="Arial"/>
                <w:sz w:val="18"/>
                <w:szCs w:val="18"/>
                <w:color w:val="auto"/>
              </w:rPr>
              <w:t>Pre-clinical</w:t>
            </w:r>
          </w:p>
        </w:tc>
      </w:tr>
      <w:tr>
        <w:trPr>
          <w:trHeight w:val="195"/>
        </w:trPr>
        <w:tc>
          <w:tcPr>
            <w:tcW w:w="700" w:type="dxa"/>
            <w:vAlign w:val="bottom"/>
            <w:shd w:val="clear" w:color="auto" w:fill="E8E8E8"/>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auto"/>
              </w:rPr>
              <w:t>(Abeta inhibitor)</w:t>
            </w:r>
          </w:p>
        </w:tc>
        <w:tc>
          <w:tcPr>
            <w:tcW w:w="1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5"/>
        </w:trPr>
        <w:tc>
          <w:tcPr>
            <w:tcW w:w="700" w:type="dxa"/>
            <w:vAlign w:val="bottom"/>
            <w:shd w:val="clear" w:color="auto" w:fill="E8E8E8"/>
          </w:tcPr>
          <w:p>
            <w:pPr>
              <w:spacing w:after="0"/>
              <w:rPr>
                <w:sz w:val="16"/>
                <w:szCs w:val="16"/>
                <w:color w:val="auto"/>
              </w:rPr>
            </w:pPr>
          </w:p>
        </w:tc>
        <w:tc>
          <w:tcPr>
            <w:tcW w:w="2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4"/>
        </w:trPr>
        <w:tc>
          <w:tcPr>
            <w:tcW w:w="700" w:type="dxa"/>
            <w:vAlign w:val="bottom"/>
            <w:shd w:val="clear" w:color="auto" w:fill="E8E8E8"/>
          </w:tcPr>
          <w:p>
            <w:pPr>
              <w:spacing w:after="0"/>
              <w:rPr>
                <w:sz w:val="17"/>
                <w:szCs w:val="17"/>
                <w:color w:val="auto"/>
              </w:rPr>
            </w:pPr>
          </w:p>
        </w:tc>
        <w:tc>
          <w:tcPr>
            <w:tcW w:w="2600" w:type="dxa"/>
            <w:vAlign w:val="bottom"/>
            <w:shd w:val="clear" w:color="auto" w:fill="E8E8E8"/>
          </w:tcPr>
          <w:p>
            <w:pPr>
              <w:ind w:left="60"/>
              <w:spacing w:after="0" w:line="205" w:lineRule="exact"/>
              <w:rPr>
                <w:sz w:val="20"/>
                <w:szCs w:val="20"/>
                <w:color w:val="auto"/>
              </w:rPr>
            </w:pPr>
            <w:r>
              <w:rPr>
                <w:rFonts w:ascii="Arial" w:cs="Arial" w:eastAsia="Arial" w:hAnsi="Arial"/>
                <w:sz w:val="18"/>
                <w:szCs w:val="18"/>
                <w:b w:val="1"/>
                <w:bCs w:val="1"/>
                <w:color w:val="auto"/>
              </w:rPr>
              <w:t>Morphomer alpha-syn</w:t>
            </w:r>
          </w:p>
        </w:tc>
        <w:tc>
          <w:tcPr>
            <w:tcW w:w="162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alpha-synuclein</w:t>
            </w:r>
          </w:p>
        </w:tc>
        <w:tc>
          <w:tcPr>
            <w:tcW w:w="2660" w:type="dxa"/>
            <w:vAlign w:val="bottom"/>
            <w:shd w:val="clear" w:color="auto" w:fill="E8E8E8"/>
          </w:tcPr>
          <w:p>
            <w:pPr>
              <w:ind w:left="240"/>
              <w:spacing w:after="0" w:line="205" w:lineRule="exact"/>
              <w:rPr>
                <w:sz w:val="20"/>
                <w:szCs w:val="20"/>
                <w:color w:val="auto"/>
              </w:rPr>
            </w:pPr>
            <w:r>
              <w:rPr>
                <w:rFonts w:ascii="Arial" w:cs="Arial" w:eastAsia="Arial" w:hAnsi="Arial"/>
                <w:sz w:val="18"/>
                <w:szCs w:val="18"/>
                <w:color w:val="auto"/>
              </w:rPr>
              <w:t>Parkinson’s disease</w:t>
            </w:r>
          </w:p>
        </w:tc>
        <w:tc>
          <w:tcPr>
            <w:tcW w:w="1880" w:type="dxa"/>
            <w:vAlign w:val="bottom"/>
            <w:shd w:val="clear" w:color="auto" w:fill="E8E8E8"/>
          </w:tcPr>
          <w:p>
            <w:pPr>
              <w:spacing w:after="0"/>
              <w:rPr>
                <w:sz w:val="17"/>
                <w:szCs w:val="17"/>
                <w:color w:val="auto"/>
              </w:rPr>
            </w:pPr>
          </w:p>
        </w:tc>
        <w:tc>
          <w:tcPr>
            <w:tcW w:w="1960" w:type="dxa"/>
            <w:vAlign w:val="bottom"/>
            <w:shd w:val="clear" w:color="auto" w:fill="E8E8E8"/>
          </w:tcPr>
          <w:p>
            <w:pPr>
              <w:ind w:left="140"/>
              <w:spacing w:after="0" w:line="205" w:lineRule="exact"/>
              <w:rPr>
                <w:sz w:val="20"/>
                <w:szCs w:val="20"/>
                <w:color w:val="auto"/>
              </w:rPr>
            </w:pPr>
            <w:r>
              <w:rPr>
                <w:rFonts w:ascii="Arial" w:cs="Arial" w:eastAsia="Arial" w:hAnsi="Arial"/>
                <w:sz w:val="18"/>
                <w:szCs w:val="18"/>
                <w:color w:val="auto"/>
              </w:rPr>
              <w:t>Discovery</w:t>
            </w:r>
          </w:p>
        </w:tc>
      </w:tr>
      <w:tr>
        <w:trPr>
          <w:trHeight w:val="195"/>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6"/>
                <w:szCs w:val="16"/>
                <w:color w:val="auto"/>
              </w:rPr>
              <w:t>(alpha-syn inhibitor)</w:t>
            </w: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195"/>
        </w:trPr>
        <w:tc>
          <w:tcPr>
            <w:tcW w:w="700" w:type="dxa"/>
            <w:vAlign w:val="bottom"/>
            <w:shd w:val="clear" w:color="auto" w:fill="E8E8E8"/>
          </w:tcPr>
          <w:p>
            <w:pPr>
              <w:spacing w:after="0"/>
              <w:rPr>
                <w:sz w:val="16"/>
                <w:szCs w:val="16"/>
                <w:color w:val="auto"/>
              </w:rPr>
            </w:pPr>
          </w:p>
        </w:tc>
        <w:tc>
          <w:tcPr>
            <w:tcW w:w="2600" w:type="dxa"/>
            <w:vAlign w:val="bottom"/>
            <w:shd w:val="clear" w:color="auto" w:fill="E8E8E8"/>
          </w:tcPr>
          <w:p>
            <w:pPr>
              <w:spacing w:after="0"/>
              <w:rPr>
                <w:sz w:val="16"/>
                <w:szCs w:val="16"/>
                <w:color w:val="auto"/>
              </w:rPr>
            </w:pPr>
          </w:p>
        </w:tc>
        <w:tc>
          <w:tcPr>
            <w:tcW w:w="1620" w:type="dxa"/>
            <w:vAlign w:val="bottom"/>
            <w:shd w:val="clear" w:color="auto" w:fill="E8E8E8"/>
          </w:tcPr>
          <w:p>
            <w:pPr>
              <w:spacing w:after="0"/>
              <w:rPr>
                <w:sz w:val="16"/>
                <w:szCs w:val="16"/>
                <w:color w:val="auto"/>
              </w:rPr>
            </w:pPr>
          </w:p>
        </w:tc>
        <w:tc>
          <w:tcPr>
            <w:tcW w:w="2660" w:type="dxa"/>
            <w:vAlign w:val="bottom"/>
            <w:shd w:val="clear" w:color="auto" w:fill="E8E8E8"/>
          </w:tcPr>
          <w:p>
            <w:pPr>
              <w:spacing w:after="0"/>
              <w:rPr>
                <w:sz w:val="16"/>
                <w:szCs w:val="16"/>
                <w:color w:val="auto"/>
              </w:rPr>
            </w:pPr>
          </w:p>
        </w:tc>
        <w:tc>
          <w:tcPr>
            <w:tcW w:w="1880" w:type="dxa"/>
            <w:vAlign w:val="bottom"/>
            <w:shd w:val="clear" w:color="auto" w:fill="E8E8E8"/>
          </w:tcPr>
          <w:p>
            <w:pPr>
              <w:spacing w:after="0"/>
              <w:rPr>
                <w:sz w:val="16"/>
                <w:szCs w:val="16"/>
                <w:color w:val="auto"/>
              </w:rPr>
            </w:pPr>
          </w:p>
        </w:tc>
        <w:tc>
          <w:tcPr>
            <w:tcW w:w="1960" w:type="dxa"/>
            <w:vAlign w:val="bottom"/>
            <w:shd w:val="clear" w:color="auto" w:fill="E8E8E8"/>
          </w:tcPr>
          <w:p>
            <w:pPr>
              <w:spacing w:after="0"/>
              <w:rPr>
                <w:sz w:val="16"/>
                <w:szCs w:val="16"/>
                <w:color w:val="auto"/>
              </w:rPr>
            </w:pPr>
          </w:p>
        </w:tc>
      </w:tr>
      <w:tr>
        <w:trPr>
          <w:trHeight w:val="239"/>
        </w:trPr>
        <w:tc>
          <w:tcPr>
            <w:tcW w:w="700" w:type="dxa"/>
            <w:vAlign w:val="bottom"/>
            <w:shd w:val="clear" w:color="auto" w:fill="E8E8E8"/>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Anti-alpha-syn antibody</w:t>
            </w:r>
          </w:p>
        </w:tc>
        <w:tc>
          <w:tcPr>
            <w:tcW w:w="1620" w:type="dxa"/>
            <w:vAlign w:val="bottom"/>
          </w:tcPr>
          <w:p>
            <w:pPr>
              <w:ind w:left="140"/>
              <w:spacing w:after="0"/>
              <w:rPr>
                <w:sz w:val="20"/>
                <w:szCs w:val="20"/>
                <w:color w:val="auto"/>
              </w:rPr>
            </w:pPr>
            <w:r>
              <w:rPr>
                <w:rFonts w:ascii="Arial" w:cs="Arial" w:eastAsia="Arial" w:hAnsi="Arial"/>
                <w:sz w:val="18"/>
                <w:szCs w:val="18"/>
                <w:color w:val="auto"/>
              </w:rPr>
              <w:t>alpha-synuclein</w:t>
            </w:r>
          </w:p>
        </w:tc>
        <w:tc>
          <w:tcPr>
            <w:tcW w:w="2660" w:type="dxa"/>
            <w:vAlign w:val="bottom"/>
          </w:tcPr>
          <w:p>
            <w:pPr>
              <w:ind w:left="240"/>
              <w:spacing w:after="0"/>
              <w:rPr>
                <w:sz w:val="20"/>
                <w:szCs w:val="20"/>
                <w:color w:val="auto"/>
              </w:rPr>
            </w:pPr>
            <w:r>
              <w:rPr>
                <w:rFonts w:ascii="Arial" w:cs="Arial" w:eastAsia="Arial" w:hAnsi="Arial"/>
                <w:sz w:val="18"/>
                <w:szCs w:val="18"/>
                <w:color w:val="auto"/>
              </w:rPr>
              <w:t>alpha-synuclein Pathologies</w:t>
            </w:r>
          </w:p>
        </w:tc>
        <w:tc>
          <w:tcPr>
            <w:tcW w:w="1880" w:type="dxa"/>
            <w:vAlign w:val="bottom"/>
          </w:tcPr>
          <w:p>
            <w:pPr>
              <w:spacing w:after="0"/>
              <w:rPr>
                <w:sz w:val="20"/>
                <w:szCs w:val="20"/>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Discovery</w:t>
            </w:r>
          </w:p>
        </w:tc>
      </w:tr>
      <w:tr>
        <w:trPr>
          <w:trHeight w:val="72"/>
        </w:trPr>
        <w:tc>
          <w:tcPr>
            <w:tcW w:w="700" w:type="dxa"/>
            <w:vAlign w:val="bottom"/>
            <w:shd w:val="clear" w:color="auto" w:fill="E8E8E8"/>
          </w:tcPr>
          <w:p>
            <w:pPr>
              <w:spacing w:after="0"/>
              <w:rPr>
                <w:sz w:val="6"/>
                <w:szCs w:val="6"/>
                <w:color w:val="auto"/>
              </w:rPr>
            </w:pPr>
          </w:p>
        </w:tc>
        <w:tc>
          <w:tcPr>
            <w:tcW w:w="26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960" w:type="dxa"/>
            <w:vAlign w:val="bottom"/>
          </w:tcPr>
          <w:p>
            <w:pPr>
              <w:spacing w:after="0"/>
              <w:rPr>
                <w:sz w:val="6"/>
                <w:szCs w:val="6"/>
                <w:color w:val="auto"/>
              </w:rPr>
            </w:pPr>
          </w:p>
        </w:tc>
      </w:tr>
      <w:tr>
        <w:trPr>
          <w:trHeight w:val="239"/>
        </w:trPr>
        <w:tc>
          <w:tcPr>
            <w:tcW w:w="700" w:type="dxa"/>
            <w:vAlign w:val="bottom"/>
            <w:shd w:val="clear" w:color="auto" w:fill="E8E8E8"/>
          </w:tcPr>
          <w:p>
            <w:pPr>
              <w:spacing w:after="0"/>
              <w:rPr>
                <w:sz w:val="20"/>
                <w:szCs w:val="20"/>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8"/>
                <w:szCs w:val="18"/>
                <w:b w:val="1"/>
                <w:bCs w:val="1"/>
                <w:color w:val="auto"/>
              </w:rPr>
              <w:t>Anti-TDP-43 antibody</w:t>
            </w:r>
          </w:p>
        </w:tc>
        <w:tc>
          <w:tcPr>
            <w:tcW w:w="1620" w:type="dxa"/>
            <w:vAlign w:val="bottom"/>
            <w:shd w:val="clear" w:color="auto" w:fill="E8E8E8"/>
          </w:tcPr>
          <w:p>
            <w:pPr>
              <w:ind w:left="140"/>
              <w:spacing w:after="0"/>
              <w:rPr>
                <w:sz w:val="20"/>
                <w:szCs w:val="20"/>
                <w:color w:val="auto"/>
              </w:rPr>
            </w:pPr>
            <w:r>
              <w:rPr>
                <w:rFonts w:ascii="Arial" w:cs="Arial" w:eastAsia="Arial" w:hAnsi="Arial"/>
                <w:sz w:val="18"/>
                <w:szCs w:val="18"/>
                <w:color w:val="auto"/>
              </w:rPr>
              <w:t>TDP-43</w:t>
            </w:r>
          </w:p>
        </w:tc>
        <w:tc>
          <w:tcPr>
            <w:tcW w:w="2660" w:type="dxa"/>
            <w:vAlign w:val="bottom"/>
            <w:shd w:val="clear" w:color="auto" w:fill="E8E8E8"/>
          </w:tcPr>
          <w:p>
            <w:pPr>
              <w:ind w:left="240"/>
              <w:spacing w:after="0"/>
              <w:rPr>
                <w:sz w:val="20"/>
                <w:szCs w:val="20"/>
                <w:color w:val="auto"/>
              </w:rPr>
            </w:pPr>
            <w:r>
              <w:rPr>
                <w:rFonts w:ascii="Arial" w:cs="Arial" w:eastAsia="Arial" w:hAnsi="Arial"/>
                <w:sz w:val="18"/>
                <w:szCs w:val="18"/>
                <w:color w:val="auto"/>
              </w:rPr>
              <w:t>TDP-43 Pathologies</w:t>
            </w:r>
          </w:p>
        </w:tc>
        <w:tc>
          <w:tcPr>
            <w:tcW w:w="1880" w:type="dxa"/>
            <w:vAlign w:val="bottom"/>
            <w:shd w:val="clear" w:color="auto" w:fill="E8E8E8"/>
          </w:tcPr>
          <w:p>
            <w:pPr>
              <w:spacing w:after="0"/>
              <w:rPr>
                <w:sz w:val="20"/>
                <w:szCs w:val="20"/>
                <w:color w:val="auto"/>
              </w:rPr>
            </w:pPr>
          </w:p>
        </w:tc>
        <w:tc>
          <w:tcPr>
            <w:tcW w:w="1960" w:type="dxa"/>
            <w:vAlign w:val="bottom"/>
            <w:shd w:val="clear" w:color="auto" w:fill="E8E8E8"/>
          </w:tcPr>
          <w:p>
            <w:pPr>
              <w:ind w:left="140"/>
              <w:spacing w:after="0"/>
              <w:rPr>
                <w:sz w:val="20"/>
                <w:szCs w:val="20"/>
                <w:color w:val="auto"/>
              </w:rPr>
            </w:pPr>
            <w:r>
              <w:rPr>
                <w:rFonts w:ascii="Arial" w:cs="Arial" w:eastAsia="Arial" w:hAnsi="Arial"/>
                <w:sz w:val="18"/>
                <w:szCs w:val="18"/>
                <w:color w:val="auto"/>
              </w:rPr>
              <w:t>Discovery</w:t>
            </w:r>
          </w:p>
        </w:tc>
      </w:tr>
      <w:tr>
        <w:trPr>
          <w:trHeight w:val="92"/>
        </w:trPr>
        <w:tc>
          <w:tcPr>
            <w:tcW w:w="700" w:type="dxa"/>
            <w:vAlign w:val="bottom"/>
            <w:tcBorders>
              <w:bottom w:val="single" w:sz="8" w:color="C00000"/>
            </w:tcBorders>
            <w:shd w:val="clear" w:color="auto" w:fill="E8E8E8"/>
          </w:tcPr>
          <w:p>
            <w:pPr>
              <w:spacing w:after="0"/>
              <w:rPr>
                <w:sz w:val="8"/>
                <w:szCs w:val="8"/>
                <w:color w:val="auto"/>
              </w:rPr>
            </w:pPr>
          </w:p>
        </w:tc>
        <w:tc>
          <w:tcPr>
            <w:tcW w:w="2600" w:type="dxa"/>
            <w:vAlign w:val="bottom"/>
            <w:tcBorders>
              <w:bottom w:val="single" w:sz="8" w:color="C00000"/>
            </w:tcBorders>
            <w:shd w:val="clear" w:color="auto" w:fill="E8E8E8"/>
          </w:tcPr>
          <w:p>
            <w:pPr>
              <w:spacing w:after="0"/>
              <w:rPr>
                <w:sz w:val="8"/>
                <w:szCs w:val="8"/>
                <w:color w:val="auto"/>
              </w:rPr>
            </w:pPr>
          </w:p>
        </w:tc>
        <w:tc>
          <w:tcPr>
            <w:tcW w:w="1620" w:type="dxa"/>
            <w:vAlign w:val="bottom"/>
            <w:tcBorders>
              <w:bottom w:val="single" w:sz="8" w:color="C00000"/>
            </w:tcBorders>
            <w:shd w:val="clear" w:color="auto" w:fill="E8E8E8"/>
          </w:tcPr>
          <w:p>
            <w:pPr>
              <w:spacing w:after="0"/>
              <w:rPr>
                <w:sz w:val="8"/>
                <w:szCs w:val="8"/>
                <w:color w:val="auto"/>
              </w:rPr>
            </w:pPr>
          </w:p>
        </w:tc>
        <w:tc>
          <w:tcPr>
            <w:tcW w:w="2660" w:type="dxa"/>
            <w:vAlign w:val="bottom"/>
            <w:tcBorders>
              <w:bottom w:val="single" w:sz="8" w:color="C00000"/>
            </w:tcBorders>
            <w:shd w:val="clear" w:color="auto" w:fill="E8E8E8"/>
          </w:tcPr>
          <w:p>
            <w:pPr>
              <w:spacing w:after="0"/>
              <w:rPr>
                <w:sz w:val="8"/>
                <w:szCs w:val="8"/>
                <w:color w:val="auto"/>
              </w:rPr>
            </w:pPr>
          </w:p>
        </w:tc>
        <w:tc>
          <w:tcPr>
            <w:tcW w:w="1880" w:type="dxa"/>
            <w:vAlign w:val="bottom"/>
            <w:tcBorders>
              <w:bottom w:val="single" w:sz="8" w:color="C00000"/>
            </w:tcBorders>
            <w:shd w:val="clear" w:color="auto" w:fill="E8E8E8"/>
          </w:tcPr>
          <w:p>
            <w:pPr>
              <w:spacing w:after="0"/>
              <w:rPr>
                <w:sz w:val="8"/>
                <w:szCs w:val="8"/>
                <w:color w:val="auto"/>
              </w:rPr>
            </w:pPr>
          </w:p>
        </w:tc>
        <w:tc>
          <w:tcPr>
            <w:tcW w:w="1960" w:type="dxa"/>
            <w:vAlign w:val="bottom"/>
            <w:tcBorders>
              <w:bottom w:val="single" w:sz="8" w:color="C00000"/>
            </w:tcBorders>
            <w:shd w:val="clear" w:color="auto" w:fill="E8E8E8"/>
          </w:tcPr>
          <w:p>
            <w:pPr>
              <w:spacing w:after="0"/>
              <w:rPr>
                <w:sz w:val="8"/>
                <w:szCs w:val="8"/>
                <w:color w:val="auto"/>
              </w:rPr>
            </w:pPr>
          </w:p>
        </w:tc>
      </w:tr>
      <w:tr>
        <w:trPr>
          <w:trHeight w:val="202"/>
        </w:trPr>
        <w:tc>
          <w:tcPr>
            <w:tcW w:w="700" w:type="dxa"/>
            <w:vAlign w:val="bottom"/>
          </w:tcPr>
          <w:p>
            <w:pPr>
              <w:spacing w:after="0"/>
              <w:rPr>
                <w:sz w:val="17"/>
                <w:szCs w:val="17"/>
                <w:color w:val="auto"/>
              </w:rPr>
            </w:pPr>
          </w:p>
        </w:tc>
        <w:tc>
          <w:tcPr>
            <w:tcW w:w="260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Tau-PET imaging agent</w:t>
            </w:r>
          </w:p>
        </w:tc>
        <w:tc>
          <w:tcPr>
            <w:tcW w:w="1620" w:type="dxa"/>
            <w:vAlign w:val="bottom"/>
          </w:tcPr>
          <w:p>
            <w:pPr>
              <w:ind w:left="140"/>
              <w:spacing w:after="0" w:line="201" w:lineRule="exact"/>
              <w:rPr>
                <w:sz w:val="20"/>
                <w:szCs w:val="20"/>
                <w:color w:val="auto"/>
              </w:rPr>
            </w:pPr>
            <w:r>
              <w:rPr>
                <w:rFonts w:ascii="Arial" w:cs="Arial" w:eastAsia="Arial" w:hAnsi="Arial"/>
                <w:sz w:val="18"/>
                <w:szCs w:val="18"/>
                <w:color w:val="auto"/>
              </w:rPr>
              <w:t>Tau</w:t>
            </w:r>
          </w:p>
        </w:tc>
        <w:tc>
          <w:tcPr>
            <w:tcW w:w="2660" w:type="dxa"/>
            <w:vAlign w:val="bottom"/>
          </w:tcPr>
          <w:p>
            <w:pPr>
              <w:ind w:left="240"/>
              <w:spacing w:after="0" w:line="201" w:lineRule="exact"/>
              <w:rPr>
                <w:sz w:val="20"/>
                <w:szCs w:val="20"/>
                <w:color w:val="auto"/>
              </w:rPr>
            </w:pPr>
            <w:r>
              <w:rPr>
                <w:rFonts w:ascii="Arial" w:cs="Arial" w:eastAsia="Arial" w:hAnsi="Arial"/>
                <w:sz w:val="18"/>
                <w:szCs w:val="18"/>
                <w:color w:val="auto"/>
              </w:rPr>
              <w:t>AD and Progressive</w:t>
            </w:r>
          </w:p>
        </w:tc>
        <w:tc>
          <w:tcPr>
            <w:tcW w:w="1880" w:type="dxa"/>
            <w:vAlign w:val="bottom"/>
          </w:tcPr>
          <w:p>
            <w:pPr>
              <w:ind w:left="200"/>
              <w:spacing w:after="0" w:line="201" w:lineRule="exact"/>
              <w:rPr>
                <w:sz w:val="20"/>
                <w:szCs w:val="20"/>
                <w:color w:val="auto"/>
              </w:rPr>
            </w:pPr>
            <w:r>
              <w:rPr>
                <w:rFonts w:ascii="Arial" w:cs="Arial" w:eastAsia="Arial" w:hAnsi="Arial"/>
                <w:sz w:val="18"/>
                <w:szCs w:val="18"/>
                <w:color w:val="auto"/>
              </w:rPr>
              <w:t>Piramal Healthcare</w:t>
            </w:r>
          </w:p>
        </w:tc>
        <w:tc>
          <w:tcPr>
            <w:tcW w:w="1960" w:type="dxa"/>
            <w:vAlign w:val="bottom"/>
          </w:tcPr>
          <w:p>
            <w:pPr>
              <w:ind w:left="140"/>
              <w:spacing w:after="0" w:line="201" w:lineRule="exact"/>
              <w:rPr>
                <w:sz w:val="20"/>
                <w:szCs w:val="20"/>
                <w:color w:val="auto"/>
              </w:rPr>
            </w:pPr>
            <w:r>
              <w:rPr>
                <w:rFonts w:ascii="Arial" w:cs="Arial" w:eastAsia="Arial" w:hAnsi="Arial"/>
                <w:sz w:val="18"/>
                <w:szCs w:val="18"/>
                <w:color w:val="auto"/>
              </w:rPr>
              <w:t>Advancing to</w:t>
            </w:r>
          </w:p>
        </w:tc>
      </w:tr>
      <w:tr>
        <w:trPr>
          <w:trHeight w:val="224"/>
        </w:trPr>
        <w:tc>
          <w:tcPr>
            <w:tcW w:w="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supranuclear palsy (PSP)</w:t>
            </w:r>
          </w:p>
        </w:tc>
        <w:tc>
          <w:tcPr>
            <w:tcW w:w="1880" w:type="dxa"/>
            <w:vAlign w:val="bottom"/>
          </w:tcPr>
          <w:p>
            <w:pPr>
              <w:spacing w:after="0"/>
              <w:rPr>
                <w:sz w:val="19"/>
                <w:szCs w:val="19"/>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longitudinal study</w:t>
            </w:r>
          </w:p>
        </w:tc>
      </w:tr>
      <w:tr>
        <w:trPr>
          <w:trHeight w:val="211"/>
        </w:trPr>
        <w:tc>
          <w:tcPr>
            <w:tcW w:w="700" w:type="dxa"/>
            <w:vAlign w:val="bottom"/>
          </w:tcPr>
          <w:p>
            <w:pPr>
              <w:spacing w:after="0"/>
              <w:rPr>
                <w:sz w:val="18"/>
                <w:szCs w:val="18"/>
                <w:color w:val="auto"/>
              </w:rPr>
            </w:pPr>
          </w:p>
        </w:tc>
        <w:tc>
          <w:tcPr>
            <w:tcW w:w="2600" w:type="dxa"/>
            <w:vAlign w:val="bottom"/>
            <w:shd w:val="clear" w:color="auto" w:fill="E8E8E8"/>
          </w:tcPr>
          <w:p>
            <w:pPr>
              <w:ind w:left="60"/>
              <w:spacing w:after="0"/>
              <w:rPr>
                <w:sz w:val="20"/>
                <w:szCs w:val="20"/>
                <w:color w:val="auto"/>
              </w:rPr>
            </w:pPr>
            <w:r>
              <w:rPr>
                <w:rFonts w:ascii="Arial" w:cs="Arial" w:eastAsia="Arial" w:hAnsi="Arial"/>
                <w:sz w:val="18"/>
                <w:szCs w:val="18"/>
                <w:b w:val="1"/>
                <w:bCs w:val="1"/>
                <w:color w:val="auto"/>
              </w:rPr>
              <w:t>In-vitro diagnostics</w:t>
            </w:r>
          </w:p>
        </w:tc>
        <w:tc>
          <w:tcPr>
            <w:tcW w:w="1620" w:type="dxa"/>
            <w:vAlign w:val="bottom"/>
            <w:shd w:val="clear" w:color="auto" w:fill="E8E8E8"/>
          </w:tcPr>
          <w:p>
            <w:pPr>
              <w:ind w:left="140"/>
              <w:spacing w:after="0"/>
              <w:rPr>
                <w:sz w:val="20"/>
                <w:szCs w:val="20"/>
                <w:color w:val="auto"/>
              </w:rPr>
            </w:pPr>
            <w:r>
              <w:rPr>
                <w:rFonts w:ascii="Arial" w:cs="Arial" w:eastAsia="Arial" w:hAnsi="Arial"/>
                <w:sz w:val="18"/>
                <w:szCs w:val="18"/>
                <w:color w:val="auto"/>
              </w:rPr>
              <w:t>Abeta; Tau</w:t>
            </w:r>
          </w:p>
        </w:tc>
        <w:tc>
          <w:tcPr>
            <w:tcW w:w="2660" w:type="dxa"/>
            <w:vAlign w:val="bottom"/>
            <w:shd w:val="clear" w:color="auto" w:fill="E8E8E8"/>
          </w:tcPr>
          <w:p>
            <w:pPr>
              <w:ind w:left="240"/>
              <w:spacing w:after="0"/>
              <w:rPr>
                <w:sz w:val="20"/>
                <w:szCs w:val="20"/>
                <w:color w:val="auto"/>
              </w:rPr>
            </w:pPr>
            <w:r>
              <w:rPr>
                <w:rFonts w:ascii="Arial" w:cs="Arial" w:eastAsia="Arial" w:hAnsi="Arial"/>
                <w:sz w:val="18"/>
                <w:szCs w:val="18"/>
                <w:color w:val="auto"/>
              </w:rPr>
              <w:t>AD</w:t>
            </w:r>
          </w:p>
        </w:tc>
        <w:tc>
          <w:tcPr>
            <w:tcW w:w="1880" w:type="dxa"/>
            <w:vAlign w:val="bottom"/>
            <w:shd w:val="clear" w:color="auto" w:fill="E8E8E8"/>
          </w:tcPr>
          <w:p>
            <w:pPr>
              <w:spacing w:after="0"/>
              <w:rPr>
                <w:sz w:val="18"/>
                <w:szCs w:val="18"/>
                <w:color w:val="auto"/>
              </w:rPr>
            </w:pPr>
          </w:p>
        </w:tc>
        <w:tc>
          <w:tcPr>
            <w:tcW w:w="1960" w:type="dxa"/>
            <w:vAlign w:val="bottom"/>
            <w:shd w:val="clear" w:color="auto" w:fill="E8E8E8"/>
          </w:tcPr>
          <w:p>
            <w:pPr>
              <w:ind w:left="140"/>
              <w:spacing w:after="0"/>
              <w:rPr>
                <w:sz w:val="20"/>
                <w:szCs w:val="20"/>
                <w:color w:val="auto"/>
              </w:rPr>
            </w:pPr>
            <w:r>
              <w:rPr>
                <w:rFonts w:ascii="Arial" w:cs="Arial" w:eastAsia="Arial" w:hAnsi="Arial"/>
                <w:sz w:val="18"/>
                <w:szCs w:val="18"/>
                <w:color w:val="auto"/>
              </w:rPr>
              <w:t>Pre-clinical</w:t>
            </w:r>
          </w:p>
        </w:tc>
      </w:tr>
      <w:tr>
        <w:trPr>
          <w:trHeight w:val="208"/>
        </w:trPr>
        <w:tc>
          <w:tcPr>
            <w:tcW w:w="700" w:type="dxa"/>
            <w:vAlign w:val="bottom"/>
          </w:tcPr>
          <w:p>
            <w:pPr>
              <w:spacing w:after="0"/>
              <w:rPr>
                <w:sz w:val="18"/>
                <w:szCs w:val="18"/>
                <w:color w:val="auto"/>
              </w:rPr>
            </w:pPr>
          </w:p>
        </w:tc>
        <w:tc>
          <w:tcPr>
            <w:tcW w:w="260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(Tau, Abeta)</w:t>
            </w:r>
          </w:p>
        </w:tc>
        <w:tc>
          <w:tcPr>
            <w:tcW w:w="1620" w:type="dxa"/>
            <w:vAlign w:val="bottom"/>
            <w:tcBorders>
              <w:bottom w:val="single" w:sz="8" w:color="E8E8E8"/>
            </w:tcBorders>
            <w:shd w:val="clear" w:color="auto" w:fill="E8E8E8"/>
          </w:tcPr>
          <w:p>
            <w:pPr>
              <w:spacing w:after="0"/>
              <w:rPr>
                <w:sz w:val="18"/>
                <w:szCs w:val="18"/>
                <w:color w:val="auto"/>
              </w:rPr>
            </w:pPr>
          </w:p>
        </w:tc>
        <w:tc>
          <w:tcPr>
            <w:tcW w:w="2660" w:type="dxa"/>
            <w:vAlign w:val="bottom"/>
            <w:tcBorders>
              <w:bottom w:val="single" w:sz="8" w:color="E8E8E8"/>
            </w:tcBorders>
            <w:shd w:val="clear" w:color="auto" w:fill="E8E8E8"/>
          </w:tcPr>
          <w:p>
            <w:pPr>
              <w:spacing w:after="0"/>
              <w:rPr>
                <w:sz w:val="18"/>
                <w:szCs w:val="18"/>
                <w:color w:val="auto"/>
              </w:rPr>
            </w:pPr>
          </w:p>
        </w:tc>
        <w:tc>
          <w:tcPr>
            <w:tcW w:w="1880" w:type="dxa"/>
            <w:vAlign w:val="bottom"/>
            <w:tcBorders>
              <w:bottom w:val="single" w:sz="8" w:color="E8E8E8"/>
            </w:tcBorders>
            <w:shd w:val="clear" w:color="auto" w:fill="E8E8E8"/>
          </w:tcPr>
          <w:p>
            <w:pPr>
              <w:spacing w:after="0"/>
              <w:rPr>
                <w:sz w:val="18"/>
                <w:szCs w:val="18"/>
                <w:color w:val="auto"/>
              </w:rPr>
            </w:pPr>
          </w:p>
        </w:tc>
        <w:tc>
          <w:tcPr>
            <w:tcW w:w="1960" w:type="dxa"/>
            <w:vAlign w:val="bottom"/>
            <w:tcBorders>
              <w:bottom w:val="single" w:sz="8" w:color="E8E8E8"/>
            </w:tcBorders>
            <w:shd w:val="clear" w:color="auto" w:fill="E8E8E8"/>
          </w:tcPr>
          <w:p>
            <w:pPr>
              <w:spacing w:after="0"/>
              <w:rPr>
                <w:sz w:val="18"/>
                <w:szCs w:val="18"/>
                <w:color w:val="auto"/>
              </w:rPr>
            </w:pPr>
          </w:p>
        </w:tc>
      </w:tr>
      <w:tr>
        <w:trPr>
          <w:trHeight w:val="180"/>
        </w:trPr>
        <w:tc>
          <w:tcPr>
            <w:tcW w:w="700" w:type="dxa"/>
            <w:vAlign w:val="bottom"/>
          </w:tcPr>
          <w:p>
            <w:pPr>
              <w:spacing w:after="0"/>
              <w:rPr>
                <w:sz w:val="15"/>
                <w:szCs w:val="15"/>
                <w:color w:val="auto"/>
              </w:rPr>
            </w:pPr>
          </w:p>
        </w:tc>
        <w:tc>
          <w:tcPr>
            <w:tcW w:w="260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Alpha-syn-PET</w:t>
            </w:r>
          </w:p>
        </w:tc>
        <w:tc>
          <w:tcPr>
            <w:tcW w:w="1620" w:type="dxa"/>
            <w:vAlign w:val="bottom"/>
          </w:tcPr>
          <w:p>
            <w:pPr>
              <w:ind w:left="140"/>
              <w:spacing w:after="0" w:line="180" w:lineRule="exact"/>
              <w:rPr>
                <w:sz w:val="20"/>
                <w:szCs w:val="20"/>
                <w:color w:val="auto"/>
              </w:rPr>
            </w:pPr>
            <w:r>
              <w:rPr>
                <w:rFonts w:ascii="Arial" w:cs="Arial" w:eastAsia="Arial" w:hAnsi="Arial"/>
                <w:sz w:val="18"/>
                <w:szCs w:val="18"/>
                <w:color w:val="auto"/>
              </w:rPr>
              <w:t>alpha-synuclein</w:t>
            </w:r>
          </w:p>
        </w:tc>
        <w:tc>
          <w:tcPr>
            <w:tcW w:w="2660" w:type="dxa"/>
            <w:vAlign w:val="bottom"/>
          </w:tcPr>
          <w:p>
            <w:pPr>
              <w:ind w:left="240"/>
              <w:spacing w:after="0" w:line="180" w:lineRule="exact"/>
              <w:rPr>
                <w:sz w:val="20"/>
                <w:szCs w:val="20"/>
                <w:color w:val="auto"/>
              </w:rPr>
            </w:pPr>
            <w:r>
              <w:rPr>
                <w:rFonts w:ascii="Arial" w:cs="Arial" w:eastAsia="Arial" w:hAnsi="Arial"/>
                <w:sz w:val="18"/>
                <w:szCs w:val="18"/>
                <w:color w:val="auto"/>
              </w:rPr>
              <w:t>Parkinson’s disease</w:t>
            </w:r>
          </w:p>
        </w:tc>
        <w:tc>
          <w:tcPr>
            <w:tcW w:w="1880" w:type="dxa"/>
            <w:vAlign w:val="bottom"/>
          </w:tcPr>
          <w:p>
            <w:pPr>
              <w:ind w:left="200"/>
              <w:spacing w:after="0" w:line="180" w:lineRule="exact"/>
              <w:rPr>
                <w:sz w:val="20"/>
                <w:szCs w:val="20"/>
                <w:color w:val="auto"/>
              </w:rPr>
            </w:pPr>
            <w:r>
              <w:rPr>
                <w:rFonts w:ascii="Arial" w:cs="Arial" w:eastAsia="Arial" w:hAnsi="Arial"/>
                <w:sz w:val="18"/>
                <w:szCs w:val="18"/>
                <w:color w:val="auto"/>
              </w:rPr>
              <w:t>Biogen</w:t>
            </w:r>
          </w:p>
        </w:tc>
        <w:tc>
          <w:tcPr>
            <w:tcW w:w="1960" w:type="dxa"/>
            <w:vAlign w:val="bottom"/>
          </w:tcPr>
          <w:p>
            <w:pPr>
              <w:ind w:left="140"/>
              <w:spacing w:after="0" w:line="180" w:lineRule="exact"/>
              <w:rPr>
                <w:sz w:val="20"/>
                <w:szCs w:val="20"/>
                <w:color w:val="auto"/>
              </w:rPr>
            </w:pPr>
            <w:r>
              <w:rPr>
                <w:rFonts w:ascii="Arial" w:cs="Arial" w:eastAsia="Arial" w:hAnsi="Arial"/>
                <w:sz w:val="18"/>
                <w:szCs w:val="18"/>
                <w:color w:val="auto"/>
              </w:rPr>
              <w:t>Pre-clinical</w:t>
            </w:r>
          </w:p>
        </w:tc>
      </w:tr>
      <w:tr>
        <w:trPr>
          <w:trHeight w:val="239"/>
        </w:trPr>
        <w:tc>
          <w:tcPr>
            <w:tcW w:w="7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imaging agent</w:t>
            </w: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3300" w:type="dxa"/>
            <w:vAlign w:val="bottom"/>
            <w:tcBorders>
              <w:bottom w:val="single" w:sz="8" w:color="A5A5A5"/>
            </w:tcBorders>
            <w:gridSpan w:val="2"/>
          </w:tcPr>
          <w:p>
            <w:pPr>
              <w:spacing w:after="0"/>
              <w:rPr>
                <w:sz w:val="2"/>
                <w:szCs w:val="2"/>
                <w:color w:val="auto"/>
              </w:rPr>
            </w:pPr>
          </w:p>
        </w:tc>
        <w:tc>
          <w:tcPr>
            <w:tcW w:w="1620" w:type="dxa"/>
            <w:vAlign w:val="bottom"/>
            <w:tcBorders>
              <w:bottom w:val="single" w:sz="8" w:color="A5A5A5"/>
            </w:tcBorders>
          </w:tcPr>
          <w:p>
            <w:pPr>
              <w:spacing w:after="0"/>
              <w:rPr>
                <w:sz w:val="2"/>
                <w:szCs w:val="2"/>
                <w:color w:val="auto"/>
              </w:rPr>
            </w:pPr>
          </w:p>
        </w:tc>
        <w:tc>
          <w:tcPr>
            <w:tcW w:w="2660" w:type="dxa"/>
            <w:vAlign w:val="bottom"/>
            <w:tcBorders>
              <w:bottom w:val="single" w:sz="8" w:color="A5A5A5"/>
            </w:tcBorders>
          </w:tcPr>
          <w:p>
            <w:pPr>
              <w:spacing w:after="0"/>
              <w:rPr>
                <w:sz w:val="2"/>
                <w:szCs w:val="2"/>
                <w:color w:val="auto"/>
              </w:rPr>
            </w:pPr>
          </w:p>
        </w:tc>
        <w:tc>
          <w:tcPr>
            <w:tcW w:w="1880" w:type="dxa"/>
            <w:vAlign w:val="bottom"/>
            <w:tcBorders>
              <w:bottom w:val="single" w:sz="8" w:color="A5A5A5"/>
            </w:tcBorders>
          </w:tcPr>
          <w:p>
            <w:pPr>
              <w:spacing w:after="0"/>
              <w:rPr>
                <w:sz w:val="2"/>
                <w:szCs w:val="2"/>
                <w:color w:val="auto"/>
              </w:rPr>
            </w:pPr>
          </w:p>
        </w:tc>
        <w:tc>
          <w:tcPr>
            <w:tcW w:w="1960" w:type="dxa"/>
            <w:vAlign w:val="bottom"/>
            <w:tcBorders>
              <w:bottom w:val="single" w:sz="8" w:color="A5A5A5"/>
            </w:tcBorders>
          </w:tcPr>
          <w:p>
            <w:pPr>
              <w:spacing w:after="0"/>
              <w:rPr>
                <w:sz w:val="2"/>
                <w:szCs w:val="2"/>
                <w:color w:val="auto"/>
              </w:rPr>
            </w:pPr>
          </w:p>
        </w:tc>
      </w:tr>
      <w:tr>
        <w:trPr>
          <w:trHeight w:val="595"/>
        </w:trPr>
        <w:tc>
          <w:tcPr>
            <w:tcW w:w="3300" w:type="dxa"/>
            <w:vAlign w:val="bottom"/>
            <w:gridSpan w:val="2"/>
          </w:tcPr>
          <w:p>
            <w:pPr>
              <w:spacing w:after="0"/>
              <w:rPr>
                <w:sz w:val="20"/>
                <w:szCs w:val="20"/>
                <w:color w:val="auto"/>
              </w:rPr>
            </w:pPr>
            <w:r>
              <w:rPr>
                <w:rFonts w:ascii="Arial" w:cs="Arial" w:eastAsia="Arial" w:hAnsi="Arial"/>
                <w:sz w:val="16"/>
                <w:szCs w:val="16"/>
                <w:color w:val="auto"/>
              </w:rPr>
              <w:t>AD = Alzheimer’s disease</w:t>
            </w: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8"/>
        </w:trPr>
        <w:tc>
          <w:tcPr>
            <w:tcW w:w="3300" w:type="dxa"/>
            <w:vAlign w:val="bottom"/>
            <w:gridSpan w:val="2"/>
          </w:tcPr>
          <w:p>
            <w:pPr>
              <w:spacing w:after="0"/>
              <w:rPr>
                <w:sz w:val="20"/>
                <w:szCs w:val="20"/>
                <w:color w:val="auto"/>
              </w:rPr>
            </w:pPr>
            <w:r>
              <w:rPr>
                <w:rFonts w:ascii="Arial" w:cs="Arial" w:eastAsia="Arial" w:hAnsi="Arial"/>
                <w:sz w:val="16"/>
                <w:szCs w:val="16"/>
                <w:color w:val="auto"/>
              </w:rPr>
              <w:t>* Genentech, a member of the Roche group</w:t>
            </w: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-4420870</wp:posOffset>
            </wp:positionV>
            <wp:extent cx="437515" cy="3790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515" cy="3790315"/>
                    </a:xfrm>
                    <a:prstGeom prst="rect">
                      <a:avLst/>
                    </a:prstGeom>
                    <a:noFill/>
                  </pic:spPr>
                </pic:pic>
              </a:graphicData>
            </a:graphic>
          </wp:anchor>
        </w:drawing>
      </w:r>
    </w:p>
    <w:p>
      <w:pPr>
        <w:spacing w:after="0" w:line="88"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AD and cognitive impairment associated with Down syndrome</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Analysis of Financial Statements for 12 month period ended December 31, 2017</w:t>
      </w:r>
    </w:p>
    <w:p>
      <w:pPr>
        <w:spacing w:after="0" w:line="21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C00000"/>
        </w:rPr>
      </w:pPr>
      <w:r>
        <w:rPr>
          <w:rFonts w:ascii="Arial" w:cs="Arial" w:eastAsia="Arial" w:hAnsi="Arial"/>
          <w:sz w:val="18"/>
          <w:szCs w:val="18"/>
          <w:color w:val="auto"/>
        </w:rPr>
        <w:t>Revenues for 2017 were CHF 20.3 million, which constitutes a decrease of CHF 2.9 million (12.7%) compared to 2016</w:t>
      </w:r>
    </w:p>
    <w:p>
      <w:pPr>
        <w:spacing w:after="0" w:line="211"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6"/>
        </w:numPr>
        <w:rPr>
          <w:rFonts w:ascii="Arial" w:cs="Arial" w:eastAsia="Arial" w:hAnsi="Arial"/>
          <w:sz w:val="18"/>
          <w:szCs w:val="18"/>
          <w:color w:val="C00000"/>
        </w:rPr>
      </w:pPr>
      <w:r>
        <w:rPr>
          <w:rFonts w:ascii="Arial" w:cs="Arial" w:eastAsia="Arial" w:hAnsi="Arial"/>
          <w:sz w:val="18"/>
          <w:szCs w:val="18"/>
          <w:color w:val="auto"/>
        </w:rPr>
        <w:t>Our revenues fluctuate as a result of our collaborations with current and potentially new partners, the timing of milestone achievements and the size of each milestone payment. In 2017 we received:</w:t>
      </w:r>
    </w:p>
    <w:p>
      <w:pPr>
        <w:spacing w:after="0" w:line="183" w:lineRule="exact"/>
        <w:rPr>
          <w:rFonts w:ascii="Arial" w:cs="Arial" w:eastAsia="Arial" w:hAnsi="Arial"/>
          <w:sz w:val="18"/>
          <w:szCs w:val="18"/>
          <w:color w:val="C00000"/>
        </w:rPr>
      </w:pPr>
    </w:p>
    <w:p>
      <w:pPr>
        <w:ind w:left="660" w:hanging="328"/>
        <w:spacing w:after="0"/>
        <w:tabs>
          <w:tab w:leader="none" w:pos="660" w:val="left"/>
        </w:tabs>
        <w:numPr>
          <w:ilvl w:val="1"/>
          <w:numId w:val="6"/>
        </w:numPr>
        <w:rPr>
          <w:rFonts w:ascii="Arial" w:cs="Arial" w:eastAsia="Arial" w:hAnsi="Arial"/>
          <w:sz w:val="18"/>
          <w:szCs w:val="18"/>
          <w:color w:val="C00000"/>
        </w:rPr>
      </w:pPr>
      <w:r>
        <w:rPr>
          <w:rFonts w:ascii="Arial" w:cs="Arial" w:eastAsia="Arial" w:hAnsi="Arial"/>
          <w:sz w:val="18"/>
          <w:szCs w:val="18"/>
          <w:color w:val="auto"/>
        </w:rPr>
        <w:t>CHF 14 million milestone payment from Genentech for dosing the first patient in a Phase 2 clinical trial for Alzheimer’s disease</w:t>
      </w:r>
    </w:p>
    <w:p>
      <w:pPr>
        <w:spacing w:after="0" w:line="211" w:lineRule="exact"/>
        <w:rPr>
          <w:rFonts w:ascii="Arial" w:cs="Arial" w:eastAsia="Arial" w:hAnsi="Arial"/>
          <w:sz w:val="18"/>
          <w:szCs w:val="18"/>
          <w:color w:val="C00000"/>
        </w:rPr>
      </w:pPr>
    </w:p>
    <w:p>
      <w:pPr>
        <w:ind w:left="660" w:hanging="328"/>
        <w:spacing w:after="0"/>
        <w:tabs>
          <w:tab w:leader="none" w:pos="660" w:val="left"/>
        </w:tabs>
        <w:numPr>
          <w:ilvl w:val="1"/>
          <w:numId w:val="6"/>
        </w:numPr>
        <w:rPr>
          <w:rFonts w:ascii="Arial" w:cs="Arial" w:eastAsia="Arial" w:hAnsi="Arial"/>
          <w:sz w:val="18"/>
          <w:szCs w:val="18"/>
          <w:color w:val="C00000"/>
        </w:rPr>
      </w:pPr>
      <w:r>
        <w:rPr>
          <w:rFonts w:ascii="Arial" w:cs="Arial" w:eastAsia="Arial" w:hAnsi="Arial"/>
          <w:sz w:val="18"/>
          <w:szCs w:val="18"/>
          <w:color w:val="auto"/>
        </w:rPr>
        <w:t>CHF 3.4 million for research and collaboration services as part of our Biogen collaboration</w:t>
      </w:r>
    </w:p>
    <w:p>
      <w:pPr>
        <w:spacing w:after="0" w:line="211" w:lineRule="exact"/>
        <w:rPr>
          <w:rFonts w:ascii="Arial" w:cs="Arial" w:eastAsia="Arial" w:hAnsi="Arial"/>
          <w:sz w:val="18"/>
          <w:szCs w:val="18"/>
          <w:color w:val="C00000"/>
        </w:rPr>
      </w:pPr>
    </w:p>
    <w:p>
      <w:pPr>
        <w:ind w:left="660" w:hanging="328"/>
        <w:spacing w:after="0" w:line="246" w:lineRule="auto"/>
        <w:tabs>
          <w:tab w:leader="none" w:pos="660" w:val="left"/>
        </w:tabs>
        <w:numPr>
          <w:ilvl w:val="1"/>
          <w:numId w:val="6"/>
        </w:numPr>
        <w:rPr>
          <w:rFonts w:ascii="Arial" w:cs="Arial" w:eastAsia="Arial" w:hAnsi="Arial"/>
          <w:sz w:val="18"/>
          <w:szCs w:val="18"/>
          <w:color w:val="C00000"/>
        </w:rPr>
      </w:pPr>
      <w:r>
        <w:rPr>
          <w:rFonts w:ascii="Arial" w:cs="Arial" w:eastAsia="Arial" w:hAnsi="Arial"/>
          <w:sz w:val="18"/>
          <w:szCs w:val="18"/>
          <w:color w:val="auto"/>
        </w:rPr>
        <w:t>CHF 1.1 million milestone payment from Piramal related to the initiation of “Part B” of the first-in-man Phase 1 clinical trial for PSP (Progressive Supranuclear Palsy)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C00000"/>
        </w:rPr>
      </w:pPr>
      <w:r>
        <w:rPr>
          <w:rFonts w:ascii="Arial" w:cs="Arial" w:eastAsia="Arial" w:hAnsi="Arial"/>
          <w:sz w:val="18"/>
          <w:szCs w:val="18"/>
          <w:color w:val="auto"/>
        </w:rPr>
        <w:t>Total R&amp;D expenditures in 2017 were CHF 32.7 million, up CHF 6.9 million (+27%) compared to 2016</w:t>
      </w:r>
    </w:p>
    <w:p>
      <w:pPr>
        <w:spacing w:after="0" w:line="211" w:lineRule="exact"/>
        <w:rPr>
          <w:rFonts w:ascii="Arial" w:cs="Arial" w:eastAsia="Arial" w:hAnsi="Arial"/>
          <w:sz w:val="18"/>
          <w:szCs w:val="18"/>
          <w:color w:val="C00000"/>
        </w:rPr>
      </w:pPr>
    </w:p>
    <w:p>
      <w:pPr>
        <w:jc w:val="both"/>
        <w:ind w:left="260" w:hanging="252"/>
        <w:spacing w:after="0" w:line="239" w:lineRule="auto"/>
        <w:tabs>
          <w:tab w:leader="none" w:pos="260" w:val="left"/>
        </w:tabs>
        <w:numPr>
          <w:ilvl w:val="0"/>
          <w:numId w:val="7"/>
        </w:numPr>
        <w:rPr>
          <w:rFonts w:ascii="Arial" w:cs="Arial" w:eastAsia="Arial" w:hAnsi="Arial"/>
          <w:sz w:val="18"/>
          <w:szCs w:val="18"/>
          <w:color w:val="C00000"/>
        </w:rPr>
      </w:pPr>
      <w:r>
        <w:rPr>
          <w:rFonts w:ascii="Arial" w:cs="Arial" w:eastAsia="Arial" w:hAnsi="Arial"/>
          <w:sz w:val="18"/>
          <w:szCs w:val="18"/>
          <w:color w:val="auto"/>
        </w:rPr>
        <w:t>The company increased Non-Alzheimer’s disease, diagnostics and new discovery programs spending by CHF 4.7 million, with CHF 3.3 million related to finalizing the proof-of-concept and manufacturing activities for studies related to our lead compounds in the Anti-Tau Morphomer program. The Company continued to incur costs in ACI-24 for the Phase 1b clinical study in Down syndrome and spending increased for the Company’s alpha-synuclein and TDP-43 PET tracer programs</w:t>
      </w:r>
    </w:p>
    <w:p>
      <w:pPr>
        <w:spacing w:after="0" w:line="188" w:lineRule="exact"/>
        <w:rPr>
          <w:rFonts w:ascii="Arial" w:cs="Arial" w:eastAsia="Arial" w:hAnsi="Arial"/>
          <w:sz w:val="18"/>
          <w:szCs w:val="18"/>
          <w:color w:val="C00000"/>
        </w:rPr>
      </w:pPr>
    </w:p>
    <w:p>
      <w:pPr>
        <w:ind w:left="260" w:hanging="252"/>
        <w:spacing w:after="0"/>
        <w:tabs>
          <w:tab w:leader="none" w:pos="260" w:val="left"/>
        </w:tabs>
        <w:numPr>
          <w:ilvl w:val="0"/>
          <w:numId w:val="7"/>
        </w:numPr>
        <w:rPr>
          <w:rFonts w:ascii="Arial" w:cs="Arial" w:eastAsia="Arial" w:hAnsi="Arial"/>
          <w:sz w:val="18"/>
          <w:szCs w:val="18"/>
          <w:color w:val="C00000"/>
        </w:rPr>
      </w:pPr>
      <w:r>
        <w:rPr>
          <w:rFonts w:ascii="Arial" w:cs="Arial" w:eastAsia="Arial" w:hAnsi="Arial"/>
          <w:sz w:val="18"/>
          <w:szCs w:val="18"/>
          <w:color w:val="auto"/>
        </w:rPr>
        <w:t>Increase in R&amp;D personnel expenses of CHF 1.8 million was linked to an augmentation of 15 FTEs (+28%)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&amp; Administrative (G&amp;A) Expenses</w:t>
      </w:r>
    </w:p>
    <w:p>
      <w:pPr>
        <w:spacing w:after="0" w:line="22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C00000"/>
        </w:rPr>
      </w:pPr>
      <w:r>
        <w:rPr>
          <w:rFonts w:ascii="Arial" w:cs="Arial" w:eastAsia="Arial" w:hAnsi="Arial"/>
          <w:sz w:val="18"/>
          <w:szCs w:val="18"/>
          <w:color w:val="auto"/>
        </w:rPr>
        <w:t>G&amp;A expenditures were CHF 10.1 million in 2017, up CHF 2.2 million (28%) compared to 2016</w:t>
      </w:r>
    </w:p>
    <w:p>
      <w:pPr>
        <w:spacing w:after="0" w:line="211"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8"/>
        </w:numPr>
        <w:rPr>
          <w:rFonts w:ascii="Arial" w:cs="Arial" w:eastAsia="Arial" w:hAnsi="Arial"/>
          <w:sz w:val="18"/>
          <w:szCs w:val="18"/>
          <w:color w:val="C00000"/>
        </w:rPr>
      </w:pPr>
      <w:r>
        <w:rPr>
          <w:rFonts w:ascii="Arial" w:cs="Arial" w:eastAsia="Arial" w:hAnsi="Arial"/>
          <w:sz w:val="18"/>
          <w:szCs w:val="18"/>
          <w:color w:val="auto"/>
        </w:rPr>
        <w:t>Increase was driven by personnel expenses including share-based compensation and higher professional service costs, such as legal and audit fees, related to AC Immune’s US public listing on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2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C00000"/>
        </w:rPr>
      </w:pPr>
      <w:r>
        <w:rPr>
          <w:rFonts w:ascii="Arial" w:cs="Arial" w:eastAsia="Arial" w:hAnsi="Arial"/>
          <w:sz w:val="18"/>
          <w:szCs w:val="18"/>
          <w:color w:val="auto"/>
        </w:rPr>
        <w:t>Net loss after taxes was CHF 26.4 million in 2017 compared with net loss of CHF 7.1 million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0" w:lineRule="exact"/>
        <w:rPr>
          <w:sz w:val="20"/>
          <w:szCs w:val="20"/>
          <w:color w:val="auto"/>
        </w:rPr>
      </w:pPr>
    </w:p>
    <w:p>
      <w:pPr>
        <w:jc w:val="both"/>
        <w:ind w:left="340" w:right="20" w:hanging="332"/>
        <w:spacing w:after="0"/>
        <w:tabs>
          <w:tab w:leader="none" w:pos="34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company had a total cash balance of CHF 124.4 million at December 31, 2017, compared to CHF 152.2 million at year end 2016. The decrease of CHF 27.8 million was principally due to the net loss of CHF 26.4 million for the year. Further details are available in our Statements of Cash flows in the Form 20-F, published on the company website</w:t>
      </w:r>
    </w:p>
    <w:p>
      <w:pPr>
        <w:spacing w:after="0" w:line="189" w:lineRule="exact"/>
        <w:rPr>
          <w:rFonts w:ascii="Arial" w:cs="Arial" w:eastAsia="Arial" w:hAnsi="Arial"/>
          <w:sz w:val="18"/>
          <w:szCs w:val="18"/>
          <w:color w:val="C00000"/>
        </w:rPr>
      </w:pPr>
    </w:p>
    <w:p>
      <w:pPr>
        <w:ind w:left="340" w:right="20" w:hanging="332"/>
        <w:spacing w:after="0" w:line="246" w:lineRule="auto"/>
        <w:tabs>
          <w:tab w:leader="none" w:pos="34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cash balance is strong and provides liquidity for the Company through Q2 2019, excluding potential incoming milestones. The company continued to be debt-free through 2017</w:t>
      </w:r>
    </w:p>
    <w:p>
      <w:pPr>
        <w:spacing w:after="0" w:line="183" w:lineRule="exact"/>
        <w:rPr>
          <w:rFonts w:ascii="Arial" w:cs="Arial" w:eastAsia="Arial" w:hAnsi="Arial"/>
          <w:sz w:val="18"/>
          <w:szCs w:val="18"/>
          <w:color w:val="C00000"/>
        </w:rPr>
      </w:pPr>
    </w:p>
    <w:p>
      <w:pPr>
        <w:jc w:val="both"/>
        <w:ind w:left="340" w:hanging="332"/>
        <w:spacing w:after="0"/>
        <w:tabs>
          <w:tab w:leader="none" w:pos="34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total shareholders’ equity position decreased year-over-year to CHF 116.8 million as of December 31, 2017, from CHF 142.4 million at year end 2016. Further details are available in our corresponding Financial Statements filed in the Form 20-F, published on the company website</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Non-IFRS Financial Measures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income/(loss) and earnings/(loss) per share. The following table reconciles net income/(loss) and earnings/(loss) per share to Adjusted Net Earnings/(Loss) and Adjusted Net Earnings/(Loss) per share for the periods presented: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Reconciliation of Income/(Loss) to Adjusted Income/(Loss) and Earnings/(Loss) Per Share to Adjusted Earnings/(Loss) Per Share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6157595" cy="2238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223837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2"/>
          </w:tcPr>
          <w:p>
            <w:pPr>
              <w:jc w:val="center"/>
              <w:ind w:right="230"/>
              <w:spacing w:after="0" w:line="194" w:lineRule="exact"/>
              <w:rPr>
                <w:sz w:val="20"/>
                <w:szCs w:val="20"/>
                <w:color w:val="auto"/>
              </w:rPr>
            </w:pPr>
            <w:r>
              <w:rPr>
                <w:rFonts w:ascii="Arial" w:cs="Arial" w:eastAsia="Arial" w:hAnsi="Arial"/>
                <w:sz w:val="18"/>
                <w:szCs w:val="18"/>
                <w:b w:val="1"/>
                <w:bCs w:val="1"/>
                <w:color w:val="auto"/>
              </w:rPr>
              <w:t>For the year ended</w:t>
            </w:r>
          </w:p>
        </w:tc>
        <w:tc>
          <w:tcPr>
            <w:tcW w:w="1300" w:type="dxa"/>
            <w:vAlign w:val="bottom"/>
            <w:tcBorders>
              <w:top w:val="single" w:sz="8" w:color="auto"/>
            </w:tcBorders>
          </w:tcPr>
          <w:p>
            <w:pPr>
              <w:jc w:val="right"/>
              <w:ind w:right="350"/>
              <w:spacing w:after="0" w:line="194" w:lineRule="exact"/>
              <w:rPr>
                <w:sz w:val="20"/>
                <w:szCs w:val="20"/>
                <w:color w:val="auto"/>
              </w:rPr>
            </w:pPr>
            <w:r>
              <w:rPr>
                <w:rFonts w:ascii="Arial" w:cs="Arial" w:eastAsia="Arial" w:hAnsi="Arial"/>
                <w:sz w:val="18"/>
                <w:szCs w:val="18"/>
                <w:b w:val="1"/>
                <w:bCs w:val="1"/>
                <w:color w:val="auto"/>
              </w:rPr>
              <w:t>Change</w:t>
            </w:r>
          </w:p>
        </w:tc>
      </w:tr>
      <w:tr>
        <w:trPr>
          <w:trHeight w:val="225"/>
        </w:trPr>
        <w:tc>
          <w:tcPr>
            <w:tcW w:w="54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c>
          <w:tcPr>
            <w:tcW w:w="1300" w:type="dxa"/>
            <w:vAlign w:val="bottom"/>
            <w:tcBorders>
              <w:bottom w:val="single" w:sz="8" w:color="auto"/>
            </w:tcBorders>
          </w:tcPr>
          <w:p>
            <w:pPr>
              <w:spacing w:after="0"/>
              <w:rPr>
                <w:sz w:val="19"/>
                <w:szCs w:val="19"/>
                <w:color w:val="auto"/>
              </w:rPr>
            </w:pPr>
          </w:p>
        </w:tc>
      </w:tr>
      <w:tr>
        <w:trPr>
          <w:trHeight w:val="196"/>
        </w:trPr>
        <w:tc>
          <w:tcPr>
            <w:tcW w:w="54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2017</w:t>
            </w:r>
          </w:p>
        </w:tc>
        <w:tc>
          <w:tcPr>
            <w:tcW w:w="15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2016</w:t>
            </w:r>
          </w:p>
        </w:tc>
        <w:tc>
          <w:tcPr>
            <w:tcW w:w="13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CHF</w:t>
            </w:r>
          </w:p>
        </w:tc>
      </w:tr>
      <w:tr>
        <w:trPr>
          <w:trHeight w:val="195"/>
        </w:trPr>
        <w:tc>
          <w:tcPr>
            <w:tcW w:w="5460" w:type="dxa"/>
            <w:vAlign w:val="bottom"/>
          </w:tcPr>
          <w:p>
            <w:pPr>
              <w:spacing w:after="0"/>
              <w:rPr>
                <w:sz w:val="16"/>
                <w:szCs w:val="16"/>
                <w:color w:val="auto"/>
              </w:rPr>
            </w:pPr>
          </w:p>
        </w:tc>
        <w:tc>
          <w:tcPr>
            <w:tcW w:w="29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9"/>
              </w:rPr>
              <w:t>(in CHF millions</w:t>
            </w:r>
          </w:p>
        </w:tc>
        <w:tc>
          <w:tcPr>
            <w:tcW w:w="1300" w:type="dxa"/>
            <w:vAlign w:val="bottom"/>
          </w:tcPr>
          <w:p>
            <w:pPr>
              <w:spacing w:after="0"/>
              <w:rPr>
                <w:sz w:val="16"/>
                <w:szCs w:val="16"/>
                <w:color w:val="auto"/>
              </w:rPr>
            </w:pPr>
          </w:p>
        </w:tc>
      </w:tr>
      <w:tr>
        <w:trPr>
          <w:trHeight w:val="203"/>
        </w:trPr>
        <w:tc>
          <w:tcPr>
            <w:tcW w:w="54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2"/>
          </w:tcPr>
          <w:p>
            <w:pPr>
              <w:jc w:val="center"/>
              <w:ind w:right="250"/>
              <w:spacing w:after="0" w:line="203" w:lineRule="exact"/>
              <w:rPr>
                <w:sz w:val="20"/>
                <w:szCs w:val="20"/>
                <w:color w:val="auto"/>
              </w:rPr>
            </w:pPr>
            <w:r>
              <w:rPr>
                <w:rFonts w:ascii="Arial" w:cs="Arial" w:eastAsia="Arial" w:hAnsi="Arial"/>
                <w:sz w:val="18"/>
                <w:szCs w:val="18"/>
                <w:color w:val="auto"/>
                <w:w w:val="99"/>
              </w:rPr>
              <w:t>except per share data)</w:t>
            </w:r>
          </w:p>
        </w:tc>
        <w:tc>
          <w:tcPr>
            <w:tcW w:w="1300" w:type="dxa"/>
            <w:vAlign w:val="bottom"/>
            <w:tcBorders>
              <w:bottom w:val="single" w:sz="8" w:color="auto"/>
            </w:tcBorders>
          </w:tcPr>
          <w:p>
            <w:pPr>
              <w:spacing w:after="0"/>
              <w:rPr>
                <w:sz w:val="17"/>
                <w:szCs w:val="17"/>
                <w:color w:val="auto"/>
              </w:rPr>
            </w:pPr>
          </w:p>
        </w:tc>
      </w:tr>
      <w:tr>
        <w:trPr>
          <w:trHeight w:val="196"/>
        </w:trPr>
        <w:tc>
          <w:tcPr>
            <w:tcW w:w="5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Income/(Loss)</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(26.4)</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(7.1)</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195"/>
        </w:trPr>
        <w:tc>
          <w:tcPr>
            <w:tcW w:w="5460" w:type="dxa"/>
            <w:vAlign w:val="bottom"/>
          </w:tcPr>
          <w:p>
            <w:pPr>
              <w:ind w:left="60"/>
              <w:spacing w:after="0" w:line="195" w:lineRule="exact"/>
              <w:rPr>
                <w:sz w:val="20"/>
                <w:szCs w:val="20"/>
                <w:color w:val="auto"/>
              </w:rPr>
            </w:pPr>
            <w:r>
              <w:rPr>
                <w:rFonts w:ascii="Arial" w:cs="Arial" w:eastAsia="Arial" w:hAnsi="Arial"/>
                <w:sz w:val="18"/>
                <w:szCs w:val="18"/>
                <w:color w:val="auto"/>
              </w:rPr>
              <w:t>Adjustments:</w:t>
            </w:r>
          </w:p>
        </w:tc>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5460" w:type="dxa"/>
            <w:vAlign w:val="bottom"/>
          </w:tcPr>
          <w:p>
            <w:pPr>
              <w:ind w:left="260"/>
              <w:spacing w:after="0" w:line="243" w:lineRule="exact"/>
              <w:rPr>
                <w:sz w:val="20"/>
                <w:szCs w:val="20"/>
                <w:color w:val="auto"/>
              </w:rPr>
            </w:pPr>
            <w:r>
              <w:rPr>
                <w:rFonts w:ascii="Arial" w:cs="Arial" w:eastAsia="Arial" w:hAnsi="Arial"/>
                <w:sz w:val="17"/>
                <w:szCs w:val="17"/>
                <w:color w:val="auto"/>
              </w:rPr>
              <w:t>Non-Cash share-based compensation</w:t>
            </w:r>
            <w:r>
              <w:rPr>
                <w:rFonts w:ascii="Arial" w:cs="Arial" w:eastAsia="Arial" w:hAnsi="Arial"/>
                <w:sz w:val="28"/>
                <w:szCs w:val="28"/>
                <w:color w:val="auto"/>
                <w:vertAlign w:val="superscript"/>
              </w:rPr>
              <w:t>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4"/>
        </w:trPr>
        <w:tc>
          <w:tcPr>
            <w:tcW w:w="5460" w:type="dxa"/>
            <w:vAlign w:val="bottom"/>
            <w:tcBorders>
              <w:bottom w:val="single" w:sz="8" w:color="auto"/>
            </w:tcBorders>
          </w:tcPr>
          <w:p>
            <w:pPr>
              <w:ind w:left="260"/>
              <w:spacing w:after="0" w:line="243" w:lineRule="exact"/>
              <w:rPr>
                <w:sz w:val="20"/>
                <w:szCs w:val="20"/>
                <w:color w:val="auto"/>
              </w:rPr>
            </w:pPr>
            <w:r>
              <w:rPr>
                <w:rFonts w:ascii="Arial" w:cs="Arial" w:eastAsia="Arial" w:hAnsi="Arial"/>
                <w:sz w:val="17"/>
                <w:szCs w:val="17"/>
                <w:color w:val="auto"/>
              </w:rPr>
              <w:t>Foreign currency remeasurement (Gains)/Losses</w:t>
            </w:r>
            <w:r>
              <w:rPr>
                <w:rFonts w:ascii="Arial" w:cs="Arial" w:eastAsia="Arial" w:hAnsi="Arial"/>
                <w:sz w:val="28"/>
                <w:szCs w:val="28"/>
                <w:color w:val="auto"/>
                <w:vertAlign w:val="superscript"/>
              </w:rPr>
              <w:t>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5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Adjusted Income (Loss) for the period</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(9.2)</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5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5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EPS – basic and diluted</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(0.46)</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(0.14)</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r>
      <w:tr>
        <w:trPr>
          <w:trHeight w:val="196"/>
        </w:trPr>
        <w:tc>
          <w:tcPr>
            <w:tcW w:w="5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Adjustment to EPS – basic and diluted</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0.10</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(0.04)</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r>
      <w:tr>
        <w:trPr>
          <w:trHeight w:val="237"/>
        </w:trPr>
        <w:tc>
          <w:tcPr>
            <w:tcW w:w="54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EPS – basic and diluted</w:t>
            </w:r>
            <w:r>
              <w:rPr>
                <w:rFonts w:ascii="Arial" w:cs="Arial" w:eastAsia="Arial" w:hAnsi="Arial"/>
                <w:sz w:val="27"/>
                <w:szCs w:val="27"/>
                <w:color w:val="auto"/>
                <w:vertAlign w:val="superscript"/>
              </w:rPr>
              <w:t>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r>
        <w:trPr>
          <w:trHeight w:val="195"/>
        </w:trPr>
        <w:tc>
          <w:tcPr>
            <w:tcW w:w="5460" w:type="dxa"/>
            <w:vAlign w:val="bottom"/>
          </w:tcPr>
          <w:p>
            <w:pPr>
              <w:ind w:left="60"/>
              <w:spacing w:after="0" w:line="195" w:lineRule="exact"/>
              <w:rPr>
                <w:sz w:val="20"/>
                <w:szCs w:val="20"/>
                <w:color w:val="auto"/>
              </w:rPr>
            </w:pPr>
            <w:r>
              <w:rPr>
                <w:rFonts w:ascii="Arial" w:cs="Arial" w:eastAsia="Arial" w:hAnsi="Arial"/>
                <w:sz w:val="18"/>
                <w:szCs w:val="18"/>
                <w:color w:val="auto"/>
              </w:rPr>
              <w:t>Weighted-average number of shares used to compute Adjusted</w:t>
            </w:r>
          </w:p>
        </w:tc>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5460" w:type="dxa"/>
            <w:vAlign w:val="bottom"/>
          </w:tcPr>
          <w:p>
            <w:pPr>
              <w:ind w:left="60"/>
              <w:spacing w:after="0"/>
              <w:rPr>
                <w:sz w:val="20"/>
                <w:szCs w:val="20"/>
                <w:color w:val="auto"/>
              </w:rPr>
            </w:pPr>
            <w:r>
              <w:rPr>
                <w:rFonts w:ascii="Arial" w:cs="Arial" w:eastAsia="Arial" w:hAnsi="Arial"/>
                <w:sz w:val="18"/>
                <w:szCs w:val="18"/>
                <w:color w:val="auto"/>
              </w:rPr>
              <w:t>Earnings (Loss) per share – basic and diluted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57,084,295</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50,096,859</w:t>
            </w:r>
          </w:p>
        </w:tc>
        <w:tc>
          <w:tcPr>
            <w:tcW w:w="1300" w:type="dxa"/>
            <w:vAlign w:val="bottom"/>
          </w:tcPr>
          <w:p>
            <w:pPr>
              <w:jc w:val="right"/>
              <w:spacing w:after="0"/>
              <w:rPr>
                <w:sz w:val="20"/>
                <w:szCs w:val="20"/>
                <w:color w:val="auto"/>
              </w:rPr>
            </w:pPr>
            <w:r>
              <w:rPr>
                <w:rFonts w:ascii="Arial" w:cs="Arial" w:eastAsia="Arial" w:hAnsi="Arial"/>
                <w:sz w:val="18"/>
                <w:szCs w:val="18"/>
                <w:color w:val="auto"/>
              </w:rPr>
              <w:t>6,987,436</w:t>
            </w:r>
          </w:p>
        </w:tc>
      </w:tr>
    </w:tbl>
    <w:p>
      <w:pPr>
        <w:ind w:left="180" w:hanging="172"/>
        <w:spacing w:after="0" w:line="181" w:lineRule="auto"/>
        <w:tabs>
          <w:tab w:leader="none" w:pos="18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Reflects non-cash expenses associated with share-based compensation for equity awards issued to Directors, Management and employees of the company.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This expense reflects the awards’ fair value recognized for the portion of the equity award which is vesting over the period.</w:t>
      </w:r>
    </w:p>
    <w:p>
      <w:pPr>
        <w:spacing w:after="0" w:line="5" w:lineRule="exact"/>
        <w:rPr>
          <w:sz w:val="20"/>
          <w:szCs w:val="20"/>
          <w:color w:val="auto"/>
        </w:rPr>
      </w:pPr>
    </w:p>
    <w:p>
      <w:pPr>
        <w:ind w:left="180" w:hanging="172"/>
        <w:spacing w:after="0" w:line="186" w:lineRule="auto"/>
        <w:tabs>
          <w:tab w:leader="none" w:pos="18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Reflects foreign currency remeasurement gains and losses for the period, predominantly impacted by the change in the exchange rate between the US Dollar and the Swiss Franc.</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Non-IFRS Expenditures</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Adjustments for the years ended December 31, 2017 and 2016 were CHF 5.8 million in net losses and CHF 2.1 million in net gains, respectively. These were largely due to foreign currency remeasurement losses and gains of CHF 4.2 million and CHF 3.4 million, respectively, predominantly related to the cash balance of the company as a result of a weakening of the US Dollar against the Swiss Franc for most of the first half of 2017. The company also recorded CHF 1.6 million and CHF 1.3 million for share-based compensation expenses for the years ended December 31, 2017 and 2016, respectively. Further details are available in our corresponding Financial Statements filed in the Form 20-F, published on the company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Guidance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2018, the company expects a total cash burn of CHF 55-70 million at constant exchange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five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The Company’s pipeline features nine therapeutic and three diagnostic product candidates. The most advanced of these is crenezumab, a humanized anti-amyloid -β monoclonal IgG4 antibody that targets monomeric and aggregated forms of amyloid-β, with highest affinity for neurotoxic oligomers currently in Phase 3 clinical studies for AD. This global program is being conducted by the collaboration partner Genentech (a member of the Roche group). Other collaborations include Biogen, Janssen Pharmaceuticals, Nestlé Institute of Health Sciences, Piramal Imaging and Essex Bio-Technology.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18"/>
          <w:szCs w:val="18"/>
          <w:color w:val="auto"/>
        </w:rPr>
        <w:t>“should,”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8"/>
        </w:trPr>
        <w:tc>
          <w:tcPr>
            <w:tcW w:w="80" w:type="dxa"/>
            <w:vAlign w:val="bottom"/>
          </w:tcPr>
          <w:p>
            <w:pPr>
              <w:spacing w:after="0"/>
              <w:rPr>
                <w:sz w:val="24"/>
                <w:szCs w:val="24"/>
                <w:color w:val="auto"/>
              </w:rPr>
            </w:pPr>
          </w:p>
        </w:tc>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In Europe</w:t>
            </w:r>
          </w:p>
        </w:tc>
        <w:tc>
          <w:tcPr>
            <w:tcW w:w="412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80" w:type="dxa"/>
            <w:vAlign w:val="bottom"/>
          </w:tcPr>
          <w:p>
            <w:pPr>
              <w:spacing w:after="0"/>
              <w:rPr>
                <w:sz w:val="17"/>
                <w:szCs w:val="17"/>
                <w:color w:val="auto"/>
              </w:rPr>
            </w:pPr>
          </w:p>
        </w:tc>
        <w:tc>
          <w:tcPr>
            <w:tcW w:w="4120" w:type="dxa"/>
            <w:vAlign w:val="bottom"/>
            <w:gridSpan w:val="5"/>
          </w:tcPr>
          <w:p>
            <w:pPr>
              <w:spacing w:after="0" w:line="202" w:lineRule="exact"/>
              <w:rPr>
                <w:sz w:val="20"/>
                <w:szCs w:val="20"/>
                <w:color w:val="auto"/>
              </w:rPr>
            </w:pPr>
            <w:r>
              <w:rPr>
                <w:rFonts w:ascii="Arial" w:cs="Arial" w:eastAsia="Arial" w:hAnsi="Arial"/>
                <w:sz w:val="18"/>
                <w:szCs w:val="18"/>
                <w:color w:val="auto"/>
              </w:rPr>
              <w:t>Beatrix Benz</w:t>
            </w:r>
          </w:p>
        </w:tc>
        <w:tc>
          <w:tcPr>
            <w:tcW w:w="4120" w:type="dxa"/>
            <w:vAlign w:val="bottom"/>
            <w:gridSpan w:val="4"/>
          </w:tcPr>
          <w:p>
            <w:pPr>
              <w:ind w:left="80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80" w:type="dxa"/>
            <w:vAlign w:val="bottom"/>
          </w:tcPr>
          <w:p>
            <w:pPr>
              <w:spacing w:after="0"/>
              <w:rPr>
                <w:sz w:val="17"/>
                <w:szCs w:val="17"/>
                <w:color w:val="auto"/>
              </w:rPr>
            </w:pPr>
          </w:p>
        </w:tc>
        <w:tc>
          <w:tcPr>
            <w:tcW w:w="4120" w:type="dxa"/>
            <w:vAlign w:val="bottom"/>
            <w:gridSpan w:val="5"/>
          </w:tcPr>
          <w:p>
            <w:pPr>
              <w:spacing w:after="0" w:line="202" w:lineRule="exact"/>
              <w:rPr>
                <w:sz w:val="20"/>
                <w:szCs w:val="20"/>
                <w:color w:val="auto"/>
              </w:rPr>
            </w:pPr>
            <w:r>
              <w:rPr>
                <w:rFonts w:ascii="Arial" w:cs="Arial" w:eastAsia="Arial" w:hAnsi="Arial"/>
                <w:sz w:val="18"/>
                <w:szCs w:val="18"/>
                <w:color w:val="auto"/>
              </w:rPr>
              <w:t>AC Immune Corporate Communications</w:t>
            </w:r>
          </w:p>
        </w:tc>
        <w:tc>
          <w:tcPr>
            <w:tcW w:w="4120" w:type="dxa"/>
            <w:vAlign w:val="bottom"/>
            <w:gridSpan w:val="4"/>
          </w:tcPr>
          <w:p>
            <w:pPr>
              <w:ind w:left="80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80" w:type="dxa"/>
            <w:vAlign w:val="bottom"/>
          </w:tcPr>
          <w:p>
            <w:pPr>
              <w:spacing w:after="0"/>
              <w:rPr>
                <w:sz w:val="17"/>
                <w:szCs w:val="17"/>
                <w:color w:val="auto"/>
              </w:rPr>
            </w:pPr>
          </w:p>
        </w:tc>
        <w:tc>
          <w:tcPr>
            <w:tcW w:w="4120" w:type="dxa"/>
            <w:vAlign w:val="bottom"/>
            <w:gridSpan w:val="5"/>
          </w:tcPr>
          <w:p>
            <w:pPr>
              <w:spacing w:after="0" w:line="202" w:lineRule="exact"/>
              <w:rPr>
                <w:sz w:val="20"/>
                <w:szCs w:val="20"/>
                <w:color w:val="auto"/>
              </w:rPr>
            </w:pPr>
            <w:r>
              <w:rPr>
                <w:rFonts w:ascii="Arial" w:cs="Arial" w:eastAsia="Arial" w:hAnsi="Arial"/>
                <w:sz w:val="18"/>
                <w:szCs w:val="18"/>
                <w:color w:val="auto"/>
              </w:rPr>
              <w:t>Phone: +41 21 345 91 34</w:t>
            </w:r>
          </w:p>
        </w:tc>
        <w:tc>
          <w:tcPr>
            <w:tcW w:w="4120" w:type="dxa"/>
            <w:vAlign w:val="bottom"/>
            <w:gridSpan w:val="4"/>
          </w:tcPr>
          <w:p>
            <w:pPr>
              <w:ind w:left="800"/>
              <w:spacing w:after="0" w:line="202" w:lineRule="exact"/>
              <w:rPr>
                <w:sz w:val="20"/>
                <w:szCs w:val="20"/>
                <w:color w:val="auto"/>
              </w:rPr>
            </w:pPr>
            <w:r>
              <w:rPr>
                <w:rFonts w:ascii="Arial" w:cs="Arial" w:eastAsia="Arial" w:hAnsi="Arial"/>
                <w:sz w:val="18"/>
                <w:szCs w:val="18"/>
                <w:color w:val="auto"/>
              </w:rPr>
              <w:t>Phone: +1 970 987 26 54</w:t>
            </w:r>
          </w:p>
        </w:tc>
      </w:tr>
      <w:tr>
        <w:trPr>
          <w:trHeight w:val="176"/>
        </w:trPr>
        <w:tc>
          <w:tcPr>
            <w:tcW w:w="80" w:type="dxa"/>
            <w:vAlign w:val="bottom"/>
          </w:tcPr>
          <w:p>
            <w:pPr>
              <w:spacing w:after="0"/>
              <w:rPr>
                <w:sz w:val="15"/>
                <w:szCs w:val="15"/>
                <w:color w:val="auto"/>
              </w:rPr>
            </w:pPr>
          </w:p>
        </w:tc>
        <w:tc>
          <w:tcPr>
            <w:tcW w:w="4120" w:type="dxa"/>
            <w:vAlign w:val="bottom"/>
            <w:gridSpan w:val="5"/>
          </w:tcPr>
          <w:p>
            <w:pPr>
              <w:spacing w:after="0" w:line="176" w:lineRule="exact"/>
              <w:rPr>
                <w:sz w:val="20"/>
                <w:szCs w:val="20"/>
                <w:color w:val="auto"/>
              </w:rPr>
            </w:pPr>
            <w:r>
              <w:rPr>
                <w:rFonts w:ascii="Arial" w:cs="Arial" w:eastAsia="Arial" w:hAnsi="Arial"/>
                <w:sz w:val="18"/>
                <w:szCs w:val="18"/>
                <w:color w:val="auto"/>
              </w:rPr>
              <w:t>E-mail: beatrix.benz@acimmune.com</w:t>
            </w:r>
          </w:p>
        </w:tc>
        <w:tc>
          <w:tcPr>
            <w:tcW w:w="4120" w:type="dxa"/>
            <w:vAlign w:val="bottom"/>
            <w:gridSpan w:val="4"/>
          </w:tcPr>
          <w:p>
            <w:pPr>
              <w:ind w:left="800"/>
              <w:spacing w:after="0" w:line="176" w:lineRule="exact"/>
              <w:rPr>
                <w:sz w:val="20"/>
                <w:szCs w:val="20"/>
                <w:color w:val="auto"/>
              </w:rPr>
            </w:pPr>
            <w:r>
              <w:rPr>
                <w:rFonts w:ascii="Arial" w:cs="Arial" w:eastAsia="Arial" w:hAnsi="Arial"/>
                <w:sz w:val="18"/>
                <w:szCs w:val="18"/>
                <w:color w:val="auto"/>
              </w:rPr>
              <w:t>E-mail: lisa.sher@acimmune.com</w:t>
            </w: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4"/>
        </w:trPr>
        <w:tc>
          <w:tcPr>
            <w:tcW w:w="80" w:type="dxa"/>
            <w:vAlign w:val="bottom"/>
          </w:tcPr>
          <w:p>
            <w:pPr>
              <w:spacing w:after="0"/>
              <w:rPr>
                <w:sz w:val="24"/>
                <w:szCs w:val="24"/>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auto"/>
              </w:rPr>
              <w:t>Nick Miles /Toomas Kull</w:t>
            </w:r>
          </w:p>
        </w:tc>
        <w:tc>
          <w:tcPr>
            <w:tcW w:w="4120" w:type="dxa"/>
            <w:vAlign w:val="bottom"/>
            <w:gridSpan w:val="4"/>
          </w:tcPr>
          <w:p>
            <w:pPr>
              <w:ind w:left="800"/>
              <w:spacing w:after="0"/>
              <w:rPr>
                <w:sz w:val="20"/>
                <w:szCs w:val="20"/>
                <w:color w:val="auto"/>
              </w:rPr>
            </w:pPr>
            <w:r>
              <w:rPr>
                <w:rFonts w:ascii="Arial" w:cs="Arial" w:eastAsia="Arial" w:hAnsi="Arial"/>
                <w:sz w:val="18"/>
                <w:szCs w:val="18"/>
                <w:color w:val="auto"/>
              </w:rPr>
              <w:t>Ted Agne</w:t>
            </w:r>
          </w:p>
        </w:tc>
      </w:tr>
      <w:tr>
        <w:trPr>
          <w:trHeight w:val="203"/>
        </w:trPr>
        <w:tc>
          <w:tcPr>
            <w:tcW w:w="80" w:type="dxa"/>
            <w:vAlign w:val="bottom"/>
          </w:tcPr>
          <w:p>
            <w:pPr>
              <w:spacing w:after="0"/>
              <w:rPr>
                <w:sz w:val="17"/>
                <w:szCs w:val="17"/>
                <w:color w:val="auto"/>
              </w:rPr>
            </w:pPr>
          </w:p>
        </w:tc>
        <w:tc>
          <w:tcPr>
            <w:tcW w:w="4120" w:type="dxa"/>
            <w:vAlign w:val="bottom"/>
            <w:gridSpan w:val="5"/>
          </w:tcPr>
          <w:p>
            <w:pPr>
              <w:spacing w:after="0" w:line="202" w:lineRule="exact"/>
              <w:rPr>
                <w:sz w:val="20"/>
                <w:szCs w:val="20"/>
                <w:color w:val="auto"/>
              </w:rPr>
            </w:pPr>
            <w:r>
              <w:rPr>
                <w:rFonts w:ascii="Arial" w:cs="Arial" w:eastAsia="Arial" w:hAnsi="Arial"/>
                <w:sz w:val="18"/>
                <w:szCs w:val="18"/>
                <w:color w:val="auto"/>
              </w:rPr>
              <w:t>Cabinet Privé de Conseils s.a.</w:t>
            </w:r>
          </w:p>
        </w:tc>
        <w:tc>
          <w:tcPr>
            <w:tcW w:w="4120" w:type="dxa"/>
            <w:vAlign w:val="bottom"/>
            <w:gridSpan w:val="4"/>
          </w:tcPr>
          <w:p>
            <w:pPr>
              <w:ind w:left="800"/>
              <w:spacing w:after="0" w:line="202" w:lineRule="exact"/>
              <w:rPr>
                <w:sz w:val="20"/>
                <w:szCs w:val="20"/>
                <w:color w:val="auto"/>
              </w:rPr>
            </w:pPr>
            <w:r>
              <w:rPr>
                <w:rFonts w:ascii="Arial" w:cs="Arial" w:eastAsia="Arial" w:hAnsi="Arial"/>
                <w:sz w:val="18"/>
                <w:szCs w:val="18"/>
                <w:color w:val="auto"/>
                <w:w w:val="99"/>
              </w:rPr>
              <w:t>The Communications Strategy Group Inc.</w:t>
            </w:r>
          </w:p>
        </w:tc>
      </w:tr>
      <w:tr>
        <w:trPr>
          <w:trHeight w:val="203"/>
        </w:trPr>
        <w:tc>
          <w:tcPr>
            <w:tcW w:w="80" w:type="dxa"/>
            <w:vAlign w:val="bottom"/>
          </w:tcPr>
          <w:p>
            <w:pPr>
              <w:spacing w:after="0"/>
              <w:rPr>
                <w:sz w:val="17"/>
                <w:szCs w:val="17"/>
                <w:color w:val="auto"/>
              </w:rPr>
            </w:pPr>
          </w:p>
        </w:tc>
        <w:tc>
          <w:tcPr>
            <w:tcW w:w="4120" w:type="dxa"/>
            <w:vAlign w:val="bottom"/>
            <w:gridSpan w:val="5"/>
          </w:tcPr>
          <w:p>
            <w:pPr>
              <w:spacing w:after="0" w:line="202" w:lineRule="exact"/>
              <w:rPr>
                <w:sz w:val="20"/>
                <w:szCs w:val="20"/>
                <w:color w:val="auto"/>
              </w:rPr>
            </w:pPr>
            <w:r>
              <w:rPr>
                <w:rFonts w:ascii="Arial" w:cs="Arial" w:eastAsia="Arial" w:hAnsi="Arial"/>
                <w:sz w:val="18"/>
                <w:szCs w:val="18"/>
                <w:color w:val="auto"/>
              </w:rPr>
              <w:t>Phone: +41 22 552 46 46</w:t>
            </w:r>
          </w:p>
        </w:tc>
        <w:tc>
          <w:tcPr>
            <w:tcW w:w="4120" w:type="dxa"/>
            <w:vAlign w:val="bottom"/>
            <w:gridSpan w:val="4"/>
          </w:tcPr>
          <w:p>
            <w:pPr>
              <w:ind w:left="800"/>
              <w:spacing w:after="0" w:line="202" w:lineRule="exact"/>
              <w:rPr>
                <w:sz w:val="20"/>
                <w:szCs w:val="20"/>
                <w:color w:val="auto"/>
              </w:rPr>
            </w:pPr>
            <w:r>
              <w:rPr>
                <w:rFonts w:ascii="Arial" w:cs="Arial" w:eastAsia="Arial" w:hAnsi="Arial"/>
                <w:sz w:val="18"/>
                <w:szCs w:val="18"/>
                <w:color w:val="auto"/>
              </w:rPr>
              <w:t>Phone: +1 781 631 3117</w:t>
            </w:r>
          </w:p>
        </w:tc>
      </w:tr>
      <w:tr>
        <w:trPr>
          <w:trHeight w:val="176"/>
        </w:trPr>
        <w:tc>
          <w:tcPr>
            <w:tcW w:w="80" w:type="dxa"/>
            <w:vAlign w:val="bottom"/>
          </w:tcPr>
          <w:p>
            <w:pPr>
              <w:spacing w:after="0"/>
              <w:rPr>
                <w:sz w:val="15"/>
                <w:szCs w:val="15"/>
                <w:color w:val="auto"/>
              </w:rPr>
            </w:pPr>
          </w:p>
        </w:tc>
        <w:tc>
          <w:tcPr>
            <w:tcW w:w="4120" w:type="dxa"/>
            <w:vAlign w:val="bottom"/>
            <w:gridSpan w:val="5"/>
          </w:tcPr>
          <w:p>
            <w:pPr>
              <w:spacing w:after="0" w:line="176" w:lineRule="exact"/>
              <w:rPr>
                <w:sz w:val="20"/>
                <w:szCs w:val="20"/>
                <w:color w:val="auto"/>
              </w:rPr>
            </w:pPr>
            <w:r>
              <w:rPr>
                <w:rFonts w:ascii="Arial" w:cs="Arial" w:eastAsia="Arial" w:hAnsi="Arial"/>
                <w:sz w:val="18"/>
                <w:szCs w:val="18"/>
                <w:color w:val="auto"/>
              </w:rPr>
              <w:t>E-mail: miles@cpc-pr.com</w:t>
            </w:r>
          </w:p>
        </w:tc>
        <w:tc>
          <w:tcPr>
            <w:tcW w:w="4120" w:type="dxa"/>
            <w:vAlign w:val="bottom"/>
            <w:gridSpan w:val="4"/>
          </w:tcPr>
          <w:p>
            <w:pPr>
              <w:ind w:left="800"/>
              <w:spacing w:after="0" w:line="176" w:lineRule="exact"/>
              <w:rPr>
                <w:sz w:val="20"/>
                <w:szCs w:val="20"/>
                <w:color w:val="auto"/>
              </w:rPr>
            </w:pPr>
            <w:r>
              <w:rPr>
                <w:rFonts w:ascii="Arial" w:cs="Arial" w:eastAsia="Arial" w:hAnsi="Arial"/>
                <w:sz w:val="18"/>
                <w:szCs w:val="18"/>
                <w:color w:val="auto"/>
              </w:rPr>
              <w:t>E-mail: edagne@comstratgroup.com</w:t>
            </w: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13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98"/>
              </w:rPr>
              <w:t>kull@cpc-pr.com</w:t>
            </w:r>
          </w:p>
        </w:tc>
        <w:tc>
          <w:tcPr>
            <w:tcW w:w="2780" w:type="dxa"/>
            <w:vAlign w:val="bottom"/>
            <w:gridSpan w:val="3"/>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314960</wp:posOffset>
            </wp:positionV>
            <wp:extent cx="7246620" cy="608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Statutory Financial Statements (Swiss CO)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January - 31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97"/>
        </w:trPr>
        <w:tc>
          <w:tcPr>
            <w:tcW w:w="516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68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329"/>
        </w:trPr>
        <w:tc>
          <w:tcPr>
            <w:tcW w:w="5160" w:type="dxa"/>
            <w:vAlign w:val="bottom"/>
          </w:tcPr>
          <w:p>
            <w:pPr>
              <w:spacing w:after="0"/>
              <w:rPr>
                <w:sz w:val="20"/>
                <w:szCs w:val="20"/>
                <w:color w:val="auto"/>
              </w:rPr>
            </w:pPr>
            <w:r>
              <w:rPr>
                <w:rFonts w:ascii="Arial" w:cs="Arial" w:eastAsia="Arial" w:hAnsi="Arial"/>
                <w:sz w:val="25"/>
                <w:szCs w:val="25"/>
                <w:b w:val="1"/>
                <w:bCs w:val="1"/>
                <w:color w:val="auto"/>
              </w:rPr>
              <w:t>Notes to the Financial Statements</w:t>
            </w:r>
          </w:p>
        </w:tc>
        <w:tc>
          <w:tcPr>
            <w:tcW w:w="168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348615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 w:name="page14"/>
    <w:bookmarkEnd w:id="1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72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tbl>
      <w:tblPr>
        <w:tblLayout w:type="fixed"/>
        <w:tblInd w:w="288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808080"/>
              </w:rPr>
              <w:t>Ernst &amp; Young Ltd</w:t>
            </w:r>
          </w:p>
        </w:tc>
        <w:tc>
          <w:tcPr>
            <w:tcW w:w="1480" w:type="dxa"/>
            <w:vAlign w:val="bottom"/>
          </w:tcPr>
          <w:p>
            <w:pPr>
              <w:ind w:left="960"/>
              <w:spacing w:after="0"/>
              <w:rPr>
                <w:sz w:val="20"/>
                <w:szCs w:val="20"/>
                <w:color w:val="auto"/>
              </w:rPr>
            </w:pPr>
            <w:r>
              <w:rPr>
                <w:rFonts w:ascii="Arial" w:cs="Arial" w:eastAsia="Arial" w:hAnsi="Arial"/>
                <w:sz w:val="18"/>
                <w:szCs w:val="18"/>
                <w:color w:val="808080"/>
                <w:w w:val="95"/>
              </w:rPr>
              <w:t>Phone</w:t>
            </w:r>
          </w:p>
        </w:tc>
        <w:tc>
          <w:tcPr>
            <w:tcW w:w="1340" w:type="dxa"/>
            <w:vAlign w:val="bottom"/>
          </w:tcPr>
          <w:p>
            <w:pPr>
              <w:jc w:val="right"/>
              <w:spacing w:after="0"/>
              <w:rPr>
                <w:sz w:val="20"/>
                <w:szCs w:val="20"/>
                <w:color w:val="auto"/>
              </w:rPr>
            </w:pPr>
            <w:r>
              <w:rPr>
                <w:rFonts w:ascii="Arial" w:cs="Arial" w:eastAsia="Arial" w:hAnsi="Arial"/>
                <w:sz w:val="18"/>
                <w:szCs w:val="18"/>
                <w:color w:val="808080"/>
                <w:w w:val="93"/>
              </w:rPr>
              <w:t>+41 58 286 86 86</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808080"/>
              </w:rPr>
              <w:t>Rue de Chancey 59</w:t>
            </w:r>
          </w:p>
        </w:tc>
        <w:tc>
          <w:tcPr>
            <w:tcW w:w="1480" w:type="dxa"/>
            <w:vAlign w:val="bottom"/>
          </w:tcPr>
          <w:p>
            <w:pPr>
              <w:ind w:left="960"/>
              <w:spacing w:after="0"/>
              <w:rPr>
                <w:sz w:val="20"/>
                <w:szCs w:val="20"/>
                <w:color w:val="auto"/>
              </w:rPr>
            </w:pPr>
            <w:r>
              <w:rPr>
                <w:rFonts w:ascii="Arial" w:cs="Arial" w:eastAsia="Arial" w:hAnsi="Arial"/>
                <w:sz w:val="18"/>
                <w:szCs w:val="18"/>
                <w:color w:val="808080"/>
              </w:rPr>
              <w:t>Fax</w:t>
            </w:r>
          </w:p>
        </w:tc>
        <w:tc>
          <w:tcPr>
            <w:tcW w:w="1340" w:type="dxa"/>
            <w:vAlign w:val="bottom"/>
          </w:tcPr>
          <w:p>
            <w:pPr>
              <w:jc w:val="right"/>
              <w:spacing w:after="0"/>
              <w:rPr>
                <w:sz w:val="20"/>
                <w:szCs w:val="20"/>
                <w:color w:val="auto"/>
              </w:rPr>
            </w:pPr>
            <w:r>
              <w:rPr>
                <w:rFonts w:ascii="Arial" w:cs="Arial" w:eastAsia="Arial" w:hAnsi="Arial"/>
                <w:sz w:val="18"/>
                <w:szCs w:val="18"/>
                <w:color w:val="808080"/>
                <w:w w:val="93"/>
              </w:rPr>
              <w:t>+41 58 286 86 00</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808080"/>
              </w:rPr>
              <w:t>P.O. Box</w:t>
            </w:r>
          </w:p>
        </w:tc>
        <w:tc>
          <w:tcPr>
            <w:tcW w:w="2820" w:type="dxa"/>
            <w:vAlign w:val="bottom"/>
            <w:gridSpan w:val="2"/>
          </w:tcPr>
          <w:p>
            <w:pPr>
              <w:ind w:left="960"/>
              <w:spacing w:after="0"/>
              <w:rPr>
                <w:sz w:val="20"/>
                <w:szCs w:val="20"/>
                <w:color w:val="auto"/>
              </w:rPr>
            </w:pPr>
            <w:r>
              <w:rPr>
                <w:rFonts w:ascii="Arial" w:cs="Arial" w:eastAsia="Arial" w:hAnsi="Arial"/>
                <w:sz w:val="18"/>
                <w:szCs w:val="18"/>
                <w:color w:val="808080"/>
              </w:rPr>
              <w:t>www.ey.com/ch</w:t>
            </w:r>
          </w:p>
        </w:tc>
      </w:tr>
    </w:tbl>
    <w:p>
      <w:pPr>
        <w:spacing w:after="0" w:line="1" w:lineRule="exact"/>
        <w:rPr>
          <w:sz w:val="20"/>
          <w:szCs w:val="20"/>
          <w:color w:val="auto"/>
        </w:rPr>
      </w:pPr>
    </w:p>
    <w:p>
      <w:pPr>
        <w:sectPr>
          <w:pgSz w:w="11900" w:h="16838" w:orient="portrait"/>
          <w:cols w:equalWidth="0" w:num="1">
            <w:col w:w="11420"/>
          </w:cols>
          <w:pgMar w:left="240" w:top="1440" w:right="239" w:bottom="1440" w:gutter="0" w:footer="0" w:header="0"/>
        </w:sectPr>
      </w:pPr>
    </w:p>
    <w:p>
      <w:pPr>
        <w:ind w:left="2880"/>
        <w:spacing w:after="0"/>
        <w:rPr>
          <w:sz w:val="20"/>
          <w:szCs w:val="20"/>
          <w:color w:val="auto"/>
        </w:rPr>
      </w:pPr>
      <w:r>
        <w:rPr>
          <w:rFonts w:ascii="Arial" w:cs="Arial" w:eastAsia="Arial" w:hAnsi="Arial"/>
          <w:sz w:val="16"/>
          <w:szCs w:val="16"/>
          <w:color w:val="808080"/>
        </w:rPr>
        <w:t>CH-1213 Lancy</w:t>
      </w:r>
    </w:p>
    <w:p>
      <w:pPr>
        <w:sectPr>
          <w:pgSz w:w="11900" w:h="16838" w:orient="portrait"/>
          <w:cols w:equalWidth="0" w:num="1">
            <w:col w:w="11420"/>
          </w:cols>
          <w:pgMar w:left="240" w:top="1440"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 the General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Lancy, 20 March 2018</w:t>
      </w:r>
    </w:p>
    <w:p>
      <w:pPr>
        <w:spacing w:after="0" w:line="430" w:lineRule="exact"/>
        <w:rPr>
          <w:sz w:val="20"/>
          <w:szCs w:val="20"/>
          <w:color w:val="auto"/>
        </w:rPr>
      </w:pPr>
    </w:p>
    <w:p>
      <w:pPr>
        <w:sectPr>
          <w:pgSz w:w="11900" w:h="16838" w:orient="portrait"/>
          <w:cols w:equalWidth="0" w:num="2">
            <w:col w:w="9080" w:space="720"/>
            <w:col w:w="1620"/>
          </w:cols>
          <w:pgMar w:left="240" w:top="1440"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statutory auditor on the financial statements</w:t>
      </w:r>
    </w:p>
    <w:p>
      <w:pPr>
        <w:spacing w:after="0" w:line="229" w:lineRule="exact"/>
        <w:rPr>
          <w:sz w:val="20"/>
          <w:szCs w:val="20"/>
          <w:color w:val="auto"/>
        </w:rPr>
      </w:pPr>
    </w:p>
    <w:p>
      <w:pPr>
        <w:ind w:left="1620" w:right="320"/>
        <w:spacing w:after="0" w:line="277"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2017.</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7180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805" cy="360045"/>
                    </a:xfrm>
                    <a:prstGeom prst="rect">
                      <a:avLst/>
                    </a:prstGeom>
                    <a:noFill/>
                  </pic:spPr>
                </pic:pic>
              </a:graphicData>
            </a:graphic>
          </wp:anchor>
        </w:drawing>
      </w:r>
    </w:p>
    <w:p>
      <w:pPr>
        <w:spacing w:after="0" w:line="7" w:lineRule="exact"/>
        <w:rPr>
          <w:sz w:val="20"/>
          <w:szCs w:val="20"/>
          <w:color w:val="auto"/>
        </w:rPr>
      </w:pPr>
    </w:p>
    <w:p>
      <w:pPr>
        <w:jc w:val="both"/>
        <w:ind w:left="1620" w:right="160"/>
        <w:spacing w:after="0" w:line="253"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11480" cy="53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480" cy="531495"/>
                    </a:xfrm>
                    <a:prstGeom prst="rect">
                      <a:avLst/>
                    </a:prstGeom>
                    <a:noFill/>
                  </pic:spPr>
                </pic:pic>
              </a:graphicData>
            </a:graphic>
          </wp:anchor>
        </w:drawing>
      </w:r>
    </w:p>
    <w:p>
      <w:pPr>
        <w:spacing w:after="0" w:line="7" w:lineRule="exact"/>
        <w:rPr>
          <w:sz w:val="20"/>
          <w:szCs w:val="20"/>
          <w:color w:val="auto"/>
        </w:rPr>
      </w:pPr>
    </w:p>
    <w:p>
      <w:pPr>
        <w:ind w:left="1620" w:right="6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90" w:lineRule="exact"/>
        <w:rPr>
          <w:sz w:val="20"/>
          <w:szCs w:val="20"/>
          <w:color w:val="auto"/>
        </w:rPr>
      </w:pPr>
    </w:p>
    <w:p>
      <w:pPr>
        <w:ind w:left="1620" w:right="4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51790"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1790" cy="325755"/>
                    </a:xfrm>
                    <a:prstGeom prst="rect">
                      <a:avLst/>
                    </a:prstGeom>
                    <a:noFill/>
                  </pic:spPr>
                </pic:pic>
              </a:graphicData>
            </a:graphic>
          </wp:anchor>
        </w:drawing>
      </w:r>
    </w:p>
    <w:p>
      <w:pPr>
        <w:spacing w:after="0" w:line="7" w:lineRule="exact"/>
        <w:rPr>
          <w:sz w:val="20"/>
          <w:szCs w:val="20"/>
          <w:color w:val="auto"/>
        </w:rPr>
      </w:pPr>
    </w:p>
    <w:p>
      <w:pPr>
        <w:ind w:left="1620" w:right="340"/>
        <w:spacing w:after="0" w:line="261" w:lineRule="auto"/>
        <w:rPr>
          <w:sz w:val="20"/>
          <w:szCs w:val="20"/>
          <w:color w:val="auto"/>
        </w:rPr>
      </w:pPr>
      <w:r>
        <w:rPr>
          <w:rFonts w:ascii="Arial" w:cs="Arial" w:eastAsia="Arial" w:hAnsi="Arial"/>
          <w:sz w:val="18"/>
          <w:szCs w:val="18"/>
          <w:color w:val="auto"/>
        </w:rPr>
        <w:t>In our opinion, the financial statements for the year ended 31 December 2017 comply with Swiss law and the company’s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20" w:right="2220"/>
        <w:spacing w:after="0" w:line="347" w:lineRule="auto"/>
        <w:rPr>
          <w:sz w:val="20"/>
          <w:szCs w:val="20"/>
          <w:color w:val="auto"/>
        </w:rPr>
      </w:pPr>
      <w:r>
        <w:rPr>
          <w:rFonts w:ascii="Arial" w:cs="Arial" w:eastAsia="Arial" w:hAnsi="Arial"/>
          <w:sz w:val="16"/>
          <w:szCs w:val="16"/>
          <w:b w:val="1"/>
          <w:bCs w:val="1"/>
          <w:color w:val="auto"/>
        </w:rPr>
        <w:t xml:space="preserve">Report on key audit matters based on the circular 1/2015 of the Federal Audit Oversight Authority </w:t>
      </w:r>
      <w:r>
        <w:rPr>
          <w:rFonts w:ascii="Arial" w:cs="Arial" w:eastAsia="Arial" w:hAnsi="Arial"/>
          <w:sz w:val="16"/>
          <w:szCs w:val="16"/>
          <w:color w:val="auto"/>
        </w:rPr>
        <w:t>Key audit matters are those matters that, in our professional judgment, were of most significance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4" w:name="page15"/>
    <w:bookmarkEnd w:id="14"/>
    <w:p>
      <w:pPr>
        <w:ind w:left="420" w:right="80"/>
        <w:spacing w:after="0" w:line="264" w:lineRule="auto"/>
        <w:rPr>
          <w:sz w:val="20"/>
          <w:szCs w:val="20"/>
          <w:color w:val="auto"/>
        </w:rPr>
      </w:pPr>
      <w:r>
        <w:rPr>
          <w:rFonts w:ascii="Arial" w:cs="Arial" w:eastAsia="Arial" w:hAnsi="Arial"/>
          <w:sz w:val="18"/>
          <w:szCs w:val="18"/>
          <w:color w:val="auto"/>
        </w:rPr>
        <w:t>audit of the financial statements of the current period. These matters were addressed in the context of our audit of the financial statements as a whole, and in forming our opinion thereon, and we do not provide a separate opinion on these matters. For each matter below, our description of how our audit addressed the matter is provided in that context.</w:t>
      </w:r>
    </w:p>
    <w:p>
      <w:pPr>
        <w:spacing w:after="0" w:line="181"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color w:val="auto"/>
        </w:rPr>
        <w:t xml:space="preserve">We have fulfilled the responsibilities described in the </w:t>
      </w:r>
      <w:r>
        <w:rPr>
          <w:rFonts w:ascii="Arial" w:cs="Arial" w:eastAsia="Arial" w:hAnsi="Arial"/>
          <w:sz w:val="17"/>
          <w:szCs w:val="17"/>
          <w:i w:val="1"/>
          <w:iCs w:val="1"/>
          <w:color w:val="auto"/>
        </w:rPr>
        <w:t>Auditor’s responsibilities</w:t>
      </w:r>
      <w:r>
        <w:rPr>
          <w:rFonts w:ascii="Arial" w:cs="Arial" w:eastAsia="Arial" w:hAnsi="Arial"/>
          <w:sz w:val="17"/>
          <w:szCs w:val="17"/>
          <w:color w:val="auto"/>
        </w:rPr>
        <w:t xml:space="preserve"> section of our report, including in relation to these matters. Accordingly, our audit included the performance of procedures designed to respond to our assessment of the risks of material misstatement of the financial statements. The results of our audit procedures, including the procedures performed to address the matters below, provide the basis for our audit opinion on the accompanying financial statements.</w:t>
      </w:r>
    </w:p>
    <w:p>
      <w:pPr>
        <w:spacing w:after="0" w:line="38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Collaboration arrangements - revenue recognition</w:t>
      </w:r>
    </w:p>
    <w:p>
      <w:pPr>
        <w:spacing w:after="0" w:line="90" w:lineRule="exact"/>
        <w:rPr>
          <w:sz w:val="20"/>
          <w:szCs w:val="20"/>
          <w:color w:val="auto"/>
        </w:rPr>
      </w:pPr>
    </w:p>
    <w:p>
      <w:pPr>
        <w:ind w:left="2400" w:right="2320" w:hanging="1241"/>
        <w:spacing w:after="0" w:line="291" w:lineRule="auto"/>
        <w:tabs>
          <w:tab w:leader="none" w:pos="2380" w:val="left"/>
        </w:tabs>
        <w:rPr>
          <w:sz w:val="20"/>
          <w:szCs w:val="20"/>
          <w:color w:val="auto"/>
        </w:rPr>
      </w:pPr>
      <w:r>
        <w:rPr>
          <w:rFonts w:ascii="Arial" w:cs="Arial" w:eastAsia="Arial" w:hAnsi="Arial"/>
          <w:sz w:val="18"/>
          <w:szCs w:val="18"/>
          <w:b w:val="1"/>
          <w:bCs w:val="1"/>
          <w:color w:val="auto"/>
        </w:rPr>
        <w:t>Area of focus</w:t>
      </w:r>
      <w:r>
        <w:rPr>
          <w:sz w:val="20"/>
          <w:szCs w:val="20"/>
          <w:color w:val="auto"/>
        </w:rPr>
        <w:tab/>
      </w:r>
      <w:r>
        <w:rPr>
          <w:rFonts w:ascii="Arial" w:cs="Arial" w:eastAsia="Arial" w:hAnsi="Arial"/>
          <w:sz w:val="16"/>
          <w:szCs w:val="16"/>
          <w:color w:val="auto"/>
        </w:rPr>
        <w:t>AC Immune SA has entered into material revenue generating collaboration agreements with various collaboration partners. These arrangements vary in type and structure; however, typically include up-front fees, performance milestones and contain separate Research and Development (R&amp;D) service deliverables. Revenue is recognized as Contract Revenue on the Income Statement over the estimated performance or agreement period or upon successful accomplishment of pre-defined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-988060</wp:posOffset>
            </wp:positionV>
            <wp:extent cx="43478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51" w:lineRule="exact"/>
        <w:rPr>
          <w:sz w:val="20"/>
          <w:szCs w:val="20"/>
          <w:color w:val="auto"/>
        </w:rPr>
      </w:pPr>
    </w:p>
    <w:p>
      <w:pPr>
        <w:ind w:left="2400" w:right="2520"/>
        <w:spacing w:after="0" w:line="342" w:lineRule="auto"/>
        <w:rPr>
          <w:sz w:val="20"/>
          <w:szCs w:val="20"/>
          <w:color w:val="auto"/>
        </w:rPr>
      </w:pPr>
      <w:r>
        <w:rPr>
          <w:rFonts w:ascii="Arial" w:cs="Arial" w:eastAsia="Arial" w:hAnsi="Arial"/>
          <w:sz w:val="16"/>
          <w:szCs w:val="16"/>
          <w:color w:val="auto"/>
        </w:rPr>
        <w:t>Given the nature of the collaboration agreements and the complexity and judgement involved, we consider this area as significant to our audit.</w:t>
      </w:r>
    </w:p>
    <w:p>
      <w:pPr>
        <w:spacing w:after="0" w:line="124" w:lineRule="exact"/>
        <w:rPr>
          <w:sz w:val="20"/>
          <w:szCs w:val="20"/>
          <w:color w:val="auto"/>
        </w:rPr>
      </w:pPr>
    </w:p>
    <w:p>
      <w:pPr>
        <w:ind w:left="2400" w:right="2440"/>
        <w:spacing w:after="0" w:line="277" w:lineRule="auto"/>
        <w:rPr>
          <w:sz w:val="20"/>
          <w:szCs w:val="20"/>
          <w:color w:val="auto"/>
        </w:rPr>
      </w:pPr>
      <w:r>
        <w:rPr>
          <w:rFonts w:ascii="Arial" w:cs="Arial" w:eastAsia="Arial" w:hAnsi="Arial"/>
          <w:sz w:val="18"/>
          <w:szCs w:val="18"/>
          <w:color w:val="auto"/>
        </w:rPr>
        <w:t>Refer to Note 2 and Note 11 in the Financial Statements for AC Immune's accounting policy and further details.</w:t>
      </w:r>
    </w:p>
    <w:p>
      <w:pPr>
        <w:spacing w:after="0" w:line="31" w:lineRule="exact"/>
        <w:rPr>
          <w:sz w:val="20"/>
          <w:szCs w:val="20"/>
          <w:color w:val="auto"/>
        </w:rPr>
      </w:pPr>
    </w:p>
    <w:p>
      <w:pPr>
        <w:ind w:left="1160"/>
        <w:spacing w:after="0"/>
        <w:tabs>
          <w:tab w:leader="none" w:pos="2380" w:val="left"/>
        </w:tabs>
        <w:rPr>
          <w:sz w:val="20"/>
          <w:szCs w:val="20"/>
          <w:color w:val="auto"/>
        </w:rPr>
      </w:pPr>
      <w:r>
        <w:rPr>
          <w:rFonts w:ascii="Arial" w:cs="Arial" w:eastAsia="Arial" w:hAnsi="Arial"/>
          <w:sz w:val="18"/>
          <w:szCs w:val="18"/>
          <w:b w:val="1"/>
          <w:bCs w:val="1"/>
          <w:color w:val="auto"/>
        </w:rPr>
        <w:t>Our audit</w:t>
      </w:r>
      <w:r>
        <w:rPr>
          <w:sz w:val="20"/>
          <w:szCs w:val="20"/>
          <w:color w:val="auto"/>
        </w:rPr>
        <w:tab/>
      </w:r>
      <w:r>
        <w:rPr>
          <w:rFonts w:ascii="Arial" w:cs="Arial" w:eastAsia="Arial" w:hAnsi="Arial"/>
          <w:sz w:val="16"/>
          <w:szCs w:val="16"/>
          <w:color w:val="auto"/>
        </w:rPr>
        <w:t>Our audit procedures included assessing the application of the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-127635</wp:posOffset>
            </wp:positionV>
            <wp:extent cx="43478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7" w:lineRule="exact"/>
        <w:rPr>
          <w:sz w:val="20"/>
          <w:szCs w:val="20"/>
          <w:color w:val="auto"/>
        </w:rPr>
      </w:pPr>
    </w:p>
    <w:p>
      <w:pPr>
        <w:ind w:left="2400" w:right="2560" w:hanging="1239"/>
        <w:spacing w:after="0" w:line="273" w:lineRule="auto"/>
        <w:tabs>
          <w:tab w:leader="none" w:pos="238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policy for collaboration agreements. For each significant transaction, we evaluated the revenue recognition timing compared to the timing of fulfillment of contractual terms and conditions and corroborated the key judgements applied in this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Report on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55753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514350"/>
                    </a:xfrm>
                    <a:prstGeom prst="rect">
                      <a:avLst/>
                    </a:prstGeom>
                    <a:noFill/>
                  </pic:spPr>
                </pic:pic>
              </a:graphicData>
            </a:graphic>
          </wp:anchor>
        </w:drawing>
      </w:r>
    </w:p>
    <w:p>
      <w:pPr>
        <w:spacing w:after="0" w:line="7" w:lineRule="exact"/>
        <w:rPr>
          <w:sz w:val="20"/>
          <w:szCs w:val="20"/>
          <w:color w:val="auto"/>
        </w:rPr>
      </w:pPr>
    </w:p>
    <w:p>
      <w:pPr>
        <w:ind w:left="420" w:right="60"/>
        <w:spacing w:after="0" w:line="290" w:lineRule="auto"/>
        <w:rPr>
          <w:sz w:val="20"/>
          <w:szCs w:val="20"/>
          <w:color w:val="auto"/>
        </w:rPr>
      </w:pPr>
      <w:r>
        <w:rPr>
          <w:rFonts w:ascii="Arial" w:cs="Arial" w:eastAsia="Arial" w:hAnsi="Arial"/>
          <w:sz w:val="17"/>
          <w:szCs w:val="17"/>
          <w:color w:val="auto"/>
        </w:rPr>
        <w:t>We confirm that we meet the legal requirements on licensing according to the Auditor Oversight Act (AOA) and independence (article 728 CO and article 11 AOA) and that there are no circumstances incompatible with our independence.</w:t>
      </w:r>
    </w:p>
    <w:p>
      <w:pPr>
        <w:spacing w:after="0" w:line="162"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color w:val="auto"/>
        </w:rPr>
        <w:t>In accordance with article 728a para. 1 item 3 CO and Swiss Auditing Standard 890, we confirm that an internal control system exists, which has been designed for the preparation of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871855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773" w:right="27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color w:val="auto"/>
        </w:rPr>
        <w:t>according to the instructions of the Board of Directors.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recommend that the financial statements submitted to you be approved.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9019"/>
          </w:cols>
          <w:pgMar w:left="1440" w:top="77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Jürg Zürcher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Jürg Zürcher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Licensed audit expert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Paulina Korecka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Paulina Korecka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w:t>
      </w:r>
    </w:p>
    <w:p>
      <w:pPr>
        <w:spacing w:after="0" w:line="439" w:lineRule="exact"/>
        <w:rPr>
          <w:sz w:val="20"/>
          <w:szCs w:val="20"/>
          <w:color w:val="auto"/>
        </w:rPr>
      </w:pPr>
    </w:p>
    <w:p>
      <w:pPr>
        <w:sectPr>
          <w:pgSz w:w="11900" w:h="16838" w:orient="portrait"/>
          <w:cols w:equalWidth="0" w:num="2">
            <w:col w:w="4820" w:space="720"/>
            <w:col w:w="3479"/>
          </w:cols>
          <w:pgMar w:left="1440" w:top="7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Enclosures</w:t>
      </w:r>
    </w:p>
    <w:p>
      <w:pPr>
        <w:spacing w:after="0" w:line="27" w:lineRule="exact"/>
        <w:rPr>
          <w:sz w:val="20"/>
          <w:szCs w:val="20"/>
          <w:color w:val="auto"/>
        </w:rPr>
      </w:pPr>
    </w:p>
    <w:p>
      <w:pPr>
        <w:ind w:left="580" w:hanging="165"/>
        <w:spacing w:after="0"/>
        <w:tabs>
          <w:tab w:leader="none" w:pos="580" w:val="left"/>
        </w:tabs>
        <w:numPr>
          <w:ilvl w:val="0"/>
          <w:numId w:val="13"/>
        </w:numPr>
        <w:rPr>
          <w:rFonts w:ascii="Arial" w:cs="Arial" w:eastAsia="Arial" w:hAnsi="Arial"/>
          <w:sz w:val="15"/>
          <w:szCs w:val="15"/>
          <w:color w:val="FFE600"/>
        </w:rPr>
      </w:pPr>
      <w:r>
        <w:rPr>
          <w:rFonts w:ascii="Arial" w:cs="Arial" w:eastAsia="Arial" w:hAnsi="Arial"/>
          <w:sz w:val="15"/>
          <w:szCs w:val="15"/>
          <w:color w:val="auto"/>
        </w:rPr>
        <w:t>Financial statements (balance sheet, income statement and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370840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52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Notes</w:t>
            </w: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5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Third parties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Prepaid expenses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Accrued income</w:t>
            </w:r>
          </w:p>
        </w:tc>
        <w:tc>
          <w:tcPr>
            <w:tcW w:w="352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5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129,825</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156,535</w:t>
            </w:r>
          </w:p>
        </w:tc>
        <w:tc>
          <w:tcPr>
            <w:tcW w:w="0" w:type="dxa"/>
            <w:vAlign w:val="bottom"/>
          </w:tcPr>
          <w:p>
            <w:pPr>
              <w:spacing w:after="0"/>
              <w:rPr>
                <w:sz w:val="1"/>
                <w:szCs w:val="1"/>
                <w:color w:val="auto"/>
              </w:rPr>
            </w:pPr>
          </w:p>
        </w:tc>
      </w:tr>
      <w:tr>
        <w:trPr>
          <w:trHeight w:val="411"/>
        </w:trPr>
        <w:tc>
          <w:tcPr>
            <w:tcW w:w="5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Financial assets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Prepaid expenses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5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2,496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426"/>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52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426"/>
        </w:trPr>
        <w:tc>
          <w:tcPr>
            <w:tcW w:w="5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Trade payables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To third parties</w:t>
            </w:r>
          </w:p>
        </w:tc>
        <w:tc>
          <w:tcPr>
            <w:tcW w:w="3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To shareholders</w:t>
            </w:r>
          </w:p>
        </w:tc>
        <w:tc>
          <w:tcPr>
            <w:tcW w:w="3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Accrued expenses and deferred income</w:t>
            </w:r>
          </w:p>
        </w:tc>
        <w:tc>
          <w:tcPr>
            <w:tcW w:w="352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400"/>
        </w:trPr>
        <w:tc>
          <w:tcPr>
            <w:tcW w:w="57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5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1"/>
        </w:trPr>
        <w:tc>
          <w:tcPr>
            <w:tcW w:w="5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Share capital</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Reserves from capital contributions</w:t>
            </w:r>
          </w:p>
        </w:tc>
        <w:tc>
          <w:tcPr>
            <w:tcW w:w="3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179,352</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179,242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3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Loss for the year</w:t>
            </w:r>
          </w:p>
        </w:tc>
        <w:tc>
          <w:tcPr>
            <w:tcW w:w="35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5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122,073</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147,819</w:t>
            </w:r>
          </w:p>
        </w:tc>
        <w:tc>
          <w:tcPr>
            <w:tcW w:w="0" w:type="dxa"/>
            <w:vAlign w:val="bottom"/>
          </w:tcPr>
          <w:p>
            <w:pPr>
              <w:spacing w:after="0"/>
              <w:rPr>
                <w:sz w:val="1"/>
                <w:szCs w:val="1"/>
                <w:color w:val="auto"/>
              </w:rPr>
            </w:pPr>
          </w:p>
        </w:tc>
      </w:tr>
      <w:tr>
        <w:trPr>
          <w:trHeight w:val="426"/>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52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858"/>
        </w:trPr>
        <w:tc>
          <w:tcPr>
            <w:tcW w:w="576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0"/>
        </w:trPr>
        <w:tc>
          <w:tcPr>
            <w:tcW w:w="57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 31</w:t>
            </w:r>
          </w:p>
        </w:tc>
      </w:tr>
      <w:tr>
        <w:trPr>
          <w:trHeight w:val="216"/>
        </w:trPr>
        <w:tc>
          <w:tcPr>
            <w:tcW w:w="53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December,</w:t>
            </w:r>
          </w:p>
        </w:tc>
      </w:t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Pr>
          <w:p>
            <w:pPr>
              <w:jc w:val="center"/>
              <w:ind w:left="2610"/>
              <w:spacing w:after="0"/>
              <w:rPr>
                <w:sz w:val="20"/>
                <w:szCs w:val="20"/>
                <w:color w:val="auto"/>
              </w:rPr>
            </w:pPr>
            <w:r>
              <w:rPr>
                <w:rFonts w:ascii="Arial" w:cs="Arial" w:eastAsia="Arial" w:hAnsi="Arial"/>
                <w:sz w:val="18"/>
                <w:szCs w:val="18"/>
                <w:b w:val="1"/>
                <w:bCs w:val="1"/>
                <w:color w:val="auto"/>
                <w:w w:val="83"/>
              </w:rPr>
              <w:t>Notes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r>
      <w:tr>
        <w:trPr>
          <w:trHeight w:val="426"/>
        </w:trPr>
        <w:tc>
          <w:tcPr>
            <w:tcW w:w="5320" w:type="dxa"/>
            <w:vAlign w:val="bottom"/>
          </w:tcPr>
          <w:p>
            <w:pPr>
              <w:spacing w:after="0"/>
              <w:rPr>
                <w:sz w:val="20"/>
                <w:szCs w:val="20"/>
                <w:color w:val="auto"/>
              </w:rPr>
            </w:pPr>
            <w:r>
              <w:rPr>
                <w:rFonts w:ascii="Arial" w:cs="Arial" w:eastAsia="Arial" w:hAnsi="Arial"/>
                <w:sz w:val="18"/>
                <w:szCs w:val="18"/>
                <w:b w:val="1"/>
                <w:bCs w:val="1"/>
                <w:color w:val="auto"/>
              </w:rPr>
              <w:t>Contract revenue</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11</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20,255</w:t>
            </w: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23,214</w:t>
            </w: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(27,098)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(25,499)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28"/>
        </w:trPr>
        <w:tc>
          <w:tcPr>
            <w:tcW w:w="53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(40,884)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(35,945)</w:t>
            </w:r>
          </w:p>
        </w:tc>
      </w:tr>
      <w:tr>
        <w:trPr>
          <w:trHeight w:val="414"/>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9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(20,629)</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(12,731)</w:t>
            </w:r>
          </w:p>
        </w:tc>
      </w:tr>
      <w:tr>
        <w:trPr>
          <w:trHeight w:val="418"/>
        </w:trPr>
        <w:tc>
          <w:tcPr>
            <w:tcW w:w="5320" w:type="dxa"/>
            <w:vAlign w:val="bottom"/>
          </w:tcPr>
          <w:p>
            <w:pPr>
              <w:spacing w:after="0"/>
              <w:rPr>
                <w:sz w:val="20"/>
                <w:szCs w:val="20"/>
                <w:color w:val="auto"/>
              </w:rPr>
            </w:pPr>
            <w:r>
              <w:rPr>
                <w:rFonts w:ascii="Arial" w:cs="Arial" w:eastAsia="Arial" w:hAnsi="Arial"/>
                <w:sz w:val="18"/>
                <w:szCs w:val="18"/>
                <w:color w:val="auto"/>
              </w:rPr>
              <w:t>Financial income</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5,238</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Financial expenses</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39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(7,628)</w:t>
            </w:r>
          </w:p>
        </w:tc>
      </w:tr>
      <w:tr>
        <w:trPr>
          <w:trHeight w:val="858"/>
        </w:trPr>
        <w:tc>
          <w:tcPr>
            <w:tcW w:w="532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General information</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13 February 2003 in Basel and effective 25 August 2003 was transformed into a stock company. The Company’s corporate headquarters are located at EPFL Innovation Park Building B, Ecublens/Lausanne, Vaud, Switzerland.</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2017 were authorized for issue in accordance with a resolution of the Board of Directors on 19 March 2018 and will be submitted to the next Ordinary General Assembly.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AC Immune had an annual average of more than 50 but less than 250 full time equivalent positions.</w:t>
      </w:r>
    </w:p>
    <w:p>
      <w:pPr>
        <w:spacing w:after="0" w:line="21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Summary of significant accounting principles</w:t>
      </w:r>
    </w:p>
    <w:p>
      <w:pPr>
        <w:spacing w:after="0" w:line="21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The present annual accounts have been prepared in accordance with the provisions of the Swiss law on accounting and financial reporting (32 </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presentation of the financial statements for 2017 and 2016, certain amounts were reclassified in 2016 to conform to the 2017 financial statement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expenditures are recognized as expenses when incurred.</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external research contracts accrued expenses are generally estimated based on a rate of completion related to each research project in a clinical study. The Company estimates its accrued expenses as of the balance sheet date in the financial statement based on facts and circumstances known at the time.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Total research and development related costs, inclusive of operating expenses, payroll related expenses, and depreciation were CHF 32.1M in 2017 and CHF 25.2M in 2016. R&amp;D expenses in Alzheimer’s disease were driven by the investments related to the completion of the Phase 1b study for ACI-35, as well as costs related to the combined Phase 1/2a study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2.5 million predominantly driven by a CHF 1.9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ectPr>
          <w:pgSz w:w="11900" w:h="16838" w:orient="portrait"/>
          <w:cols w:equalWidth="0" w:num="1">
            <w:col w:w="11420"/>
          </w:cols>
          <w:pgMar w:left="240" w:top="557"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 furniture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2600" w:space="600"/>
            <w:col w:w="8220"/>
          </w:cols>
          <w:pgMar w:left="240" w:top="557" w:right="239" w:bottom="1440" w:gutter="0" w:footer="0" w:header="0"/>
          <w:type w:val="continuous"/>
        </w:sectPr>
      </w:pP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Profits and losses on disposals are determined by comparing the disposal proceeds with the carrying amount and are included in the income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 and a long-term financing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less than 3 months’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financing obligation is measured as of the period end date based on the repayment terms when originated.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Significant Shareholders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tcPr>
          <w:p>
            <w:pPr>
              <w:spacing w:after="0"/>
              <w:rPr>
                <w:sz w:val="20"/>
                <w:szCs w:val="20"/>
                <w:color w:val="auto"/>
              </w:rPr>
            </w:pPr>
            <w:r>
              <w:rPr>
                <w:rFonts w:ascii="Arial" w:cs="Arial" w:eastAsia="Arial" w:hAnsi="Arial"/>
                <w:sz w:val="18"/>
                <w:szCs w:val="18"/>
                <w:color w:val="auto"/>
              </w:rPr>
              <w:t>Principal shareholders who own more than 5 percent of the voting rights: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2280" w:type="dxa"/>
            <w:vAlign w:val="bottom"/>
            <w:tcBorders>
              <w:bottom w:val="single" w:sz="8" w:color="auto"/>
            </w:tcBorders>
            <w:gridSpan w:val="4"/>
          </w:tcPr>
          <w:p>
            <w:pPr>
              <w:spacing w:after="0"/>
              <w:rPr>
                <w:sz w:val="18"/>
                <w:szCs w:val="18"/>
                <w:color w:val="auto"/>
              </w:rPr>
            </w:pPr>
          </w:p>
        </w:tc>
        <w:tc>
          <w:tcPr>
            <w:tcW w:w="120" w:type="dxa"/>
            <w:vAlign w:val="bottom"/>
            <w:vMerge w:val="restart"/>
          </w:tcPr>
          <w:p>
            <w:pPr>
              <w:spacing w:after="0"/>
              <w:rPr>
                <w:sz w:val="18"/>
                <w:szCs w:val="18"/>
                <w:color w:val="auto"/>
              </w:rPr>
            </w:pPr>
          </w:p>
        </w:tc>
        <w:tc>
          <w:tcPr>
            <w:tcW w:w="24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20" w:type="dxa"/>
            <w:vAlign w:val="bottom"/>
          </w:tcPr>
          <w:p>
            <w:pPr>
              <w:spacing w:after="0"/>
              <w:rPr>
                <w:sz w:val="16"/>
                <w:szCs w:val="16"/>
                <w:color w:val="auto"/>
              </w:rPr>
            </w:pPr>
          </w:p>
        </w:tc>
        <w:tc>
          <w:tcPr>
            <w:tcW w:w="228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9"/>
              </w:rPr>
              <w:t>Shares Owned</w:t>
            </w:r>
          </w:p>
        </w:tc>
        <w:tc>
          <w:tcPr>
            <w:tcW w:w="120" w:type="dxa"/>
            <w:vAlign w:val="bottom"/>
            <w:vMerge w:val="continue"/>
          </w:tcPr>
          <w:p>
            <w:pPr>
              <w:spacing w:after="0"/>
              <w:rPr>
                <w:sz w:val="16"/>
                <w:szCs w:val="16"/>
                <w:color w:val="auto"/>
              </w:rPr>
            </w:pPr>
          </w:p>
        </w:tc>
        <w:tc>
          <w:tcPr>
            <w:tcW w:w="2400" w:type="dxa"/>
            <w:vAlign w:val="bottom"/>
            <w:gridSpan w:val="4"/>
          </w:tcPr>
          <w:p>
            <w:pPr>
              <w:jc w:val="right"/>
              <w:ind w:right="550"/>
              <w:spacing w:after="0" w:line="191" w:lineRule="exact"/>
              <w:rPr>
                <w:sz w:val="20"/>
                <w:szCs w:val="20"/>
                <w:color w:val="auto"/>
              </w:rPr>
            </w:pPr>
            <w:r>
              <w:rPr>
                <w:rFonts w:ascii="Arial" w:cs="Arial" w:eastAsia="Arial" w:hAnsi="Arial"/>
                <w:sz w:val="18"/>
                <w:szCs w:val="18"/>
                <w:b w:val="1"/>
                <w:bCs w:val="1"/>
                <w:color w:val="auto"/>
              </w:rPr>
              <w:t>Shares Owned</w:t>
            </w:r>
          </w:p>
        </w:tc>
        <w:tc>
          <w:tcPr>
            <w:tcW w:w="0" w:type="dxa"/>
            <w:vAlign w:val="bottom"/>
          </w:tcPr>
          <w:p>
            <w:pPr>
              <w:spacing w:after="0"/>
              <w:rPr>
                <w:sz w:val="1"/>
                <w:szCs w:val="1"/>
                <w:color w:val="auto"/>
              </w:rPr>
            </w:pPr>
          </w:p>
        </w:tc>
      </w:tr>
      <w:tr>
        <w:trPr>
          <w:trHeight w:val="23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Percent</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7"/>
        </w:trPr>
        <w:tc>
          <w:tcPr>
            <w:tcW w:w="6620" w:type="dxa"/>
            <w:vAlign w:val="bottom"/>
          </w:tcPr>
          <w:p>
            <w:pPr>
              <w:spacing w:after="0" w:line="197" w:lineRule="exact"/>
              <w:rPr>
                <w:sz w:val="20"/>
                <w:szCs w:val="20"/>
                <w:color w:val="auto"/>
              </w:rPr>
            </w:pPr>
            <w:r>
              <w:rPr>
                <w:rFonts w:ascii="Arial" w:cs="Arial" w:eastAsia="Arial" w:hAnsi="Arial"/>
                <w:sz w:val="18"/>
                <w:szCs w:val="18"/>
                <w:b w:val="1"/>
                <w:bCs w:val="1"/>
                <w:color w:val="auto"/>
              </w:rPr>
              <w:t>5% Shareholders</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620" w:type="dxa"/>
            <w:vAlign w:val="bottom"/>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18,041,000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18,041,000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82"/>
        </w:trPr>
        <w:tc>
          <w:tcPr>
            <w:tcW w:w="6620" w:type="dxa"/>
            <w:vAlign w:val="bottom"/>
          </w:tcPr>
          <w:p>
            <w:pPr>
              <w:spacing w:after="0" w:line="281"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11,410,700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11,400,000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Andrea Pfeifer, Chief Executive Officer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2,908,500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30"/>
        <w:spacing w:after="0" w:line="257" w:lineRule="auto"/>
        <w:tabs>
          <w:tab w:leader="none" w:pos="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who is a managing director of dievini Hopp BioTech holding CmbH &amp; Co KG. The address for dievini Hopp BioTech holding CmbH &amp; Co KG, Friedrich von Bohlen und Halbach is Johann-Jakob-Astor Str. 57, 69190 Walldorf, Germany.</w:t>
      </w:r>
    </w:p>
    <w:p>
      <w:pPr>
        <w:spacing w:after="0" w:line="188" w:lineRule="exact"/>
        <w:rPr>
          <w:rFonts w:ascii="Arial" w:cs="Arial" w:eastAsia="Arial" w:hAnsi="Arial"/>
          <w:sz w:val="18"/>
          <w:szCs w:val="18"/>
          <w:color w:val="auto"/>
        </w:rPr>
      </w:pPr>
    </w:p>
    <w:p>
      <w:pPr>
        <w:ind w:left="360" w:right="140" w:hanging="230"/>
        <w:spacing w:after="0" w:line="277" w:lineRule="auto"/>
        <w:tabs>
          <w:tab w:leader="none" w:pos="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386"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less than 5 percent held at 31 December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tenant at our current location in the EPFL Innovation Park in Lausanne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As of 31 December 2017, total minimum liability for the remaining term was CHF 243 thousand.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21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Property, plant and equipment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8360" w:type="dxa"/>
            <w:vAlign w:val="bottom"/>
          </w:tcPr>
          <w:p>
            <w:pPr>
              <w:spacing w:after="0" w:line="195" w:lineRule="exact"/>
              <w:rPr>
                <w:sz w:val="20"/>
                <w:szCs w:val="20"/>
                <w:color w:val="auto"/>
              </w:rPr>
            </w:pPr>
            <w:r>
              <w:rPr>
                <w:rFonts w:ascii="Arial" w:cs="Arial" w:eastAsia="Arial" w:hAnsi="Arial"/>
                <w:sz w:val="18"/>
                <w:szCs w:val="18"/>
                <w:color w:val="auto"/>
              </w:rPr>
              <w:t>Furniture</w:t>
            </w:r>
          </w:p>
        </w:tc>
        <w:tc>
          <w:tcPr>
            <w:tcW w:w="1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IT equipment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569</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Lab equipment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4,163</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271</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5,088</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(2,735)</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4.</w:t>
            </w:r>
          </w:p>
        </w:tc>
        <w:tc>
          <w:tcPr>
            <w:tcW w:w="7840" w:type="dxa"/>
            <w:vAlign w:val="bottom"/>
          </w:tcPr>
          <w:p>
            <w:pPr>
              <w:ind w:left="140"/>
              <w:spacing w:after="0"/>
              <w:rPr>
                <w:sz w:val="20"/>
                <w:szCs w:val="20"/>
                <w:color w:val="auto"/>
              </w:rPr>
            </w:pPr>
            <w:r>
              <w:rPr>
                <w:rFonts w:ascii="Arial" w:cs="Arial" w:eastAsia="Arial" w:hAnsi="Arial"/>
                <w:sz w:val="22"/>
                <w:szCs w:val="22"/>
                <w:color w:val="auto"/>
              </w:rPr>
              <w:t>Financial assets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8360" w:type="dxa"/>
            <w:vAlign w:val="bottom"/>
            <w:gridSpan w:val="2"/>
          </w:tcPr>
          <w:p>
            <w:pPr>
              <w:spacing w:after="0" w:line="195" w:lineRule="exact"/>
              <w:rPr>
                <w:sz w:val="20"/>
                <w:szCs w:val="20"/>
                <w:color w:val="auto"/>
              </w:rPr>
            </w:pPr>
            <w:r>
              <w:rPr>
                <w:rFonts w:ascii="Arial" w:cs="Arial" w:eastAsia="Arial" w:hAnsi="Arial"/>
                <w:sz w:val="18"/>
                <w:szCs w:val="18"/>
                <w:color w:val="auto"/>
              </w:rPr>
              <w:t>Rental deposit (restricted cash)</w:t>
            </w:r>
          </w:p>
        </w:tc>
        <w:tc>
          <w:tcPr>
            <w:tcW w:w="1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Security deposit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4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Cash and cash equivalents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836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1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80,631</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Short term deposits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44,000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142,465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By Currency</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CHF</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103,272</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EUR</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3,694</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USD</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17,665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Other current receivables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from third parties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918</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6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15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8"/>
        </w:trPr>
        <w:tc>
          <w:tcPr>
            <w:tcW w:w="8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7.</w:t>
            </w:r>
          </w:p>
        </w:tc>
        <w:tc>
          <w:tcPr>
            <w:tcW w:w="7840" w:type="dxa"/>
            <w:vAlign w:val="bottom"/>
          </w:tcPr>
          <w:p>
            <w:pPr>
              <w:ind w:left="140"/>
              <w:spacing w:after="0"/>
              <w:rPr>
                <w:sz w:val="20"/>
                <w:szCs w:val="20"/>
                <w:color w:val="auto"/>
              </w:rPr>
            </w:pPr>
            <w:r>
              <w:rPr>
                <w:rFonts w:ascii="Arial" w:cs="Arial" w:eastAsia="Arial" w:hAnsi="Arial"/>
                <w:sz w:val="22"/>
                <w:szCs w:val="22"/>
                <w:color w:val="auto"/>
              </w:rPr>
              <w:t>Prepaid expenses</w:t>
            </w:r>
          </w:p>
        </w:tc>
        <w:tc>
          <w:tcPr>
            <w:tcW w:w="1500" w:type="dxa"/>
            <w:vAlign w:val="bottom"/>
          </w:tcPr>
          <w:p>
            <w:pPr>
              <w:spacing w:after="0"/>
              <w:rPr>
                <w:sz w:val="23"/>
                <w:szCs w:val="23"/>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06"/>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8"/>
                <w:szCs w:val="18"/>
                <w:color w:val="auto"/>
              </w:rPr>
              <w:t>Prepaid expenses (current)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1,457</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Prepaid expenses (non-current)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40" w:type="dxa"/>
            <w:vAlign w:val="bottom"/>
          </w:tcPr>
          <w:p>
            <w:pPr>
              <w:spacing w:after="0"/>
              <w:rPr>
                <w:sz w:val="18"/>
                <w:szCs w:val="18"/>
                <w:color w:val="auto"/>
              </w:rPr>
            </w:pP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1,474</w:t>
            </w:r>
          </w:p>
        </w:tc>
        <w:tc>
          <w:tcPr>
            <w:tcW w:w="320" w:type="dxa"/>
            <w:vAlign w:val="bottom"/>
            <w:gridSpan w:val="2"/>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Trade payables and accrued liabilities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Trade payables</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to third parties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1,092</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to shareholders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2,420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R&amp;D costs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5,429</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458</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Current portion of deferred Income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accrued expenses and deferred income</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Long-term financing obligation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Accrued interest – long-term</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Share capital</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at 31 December 2017, the issued share capital amounted to CHF 1,146,984 is comprised of 57,349,190 common shares at a par value of CHF 0.02 per common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11.</w:t>
            </w:r>
          </w:p>
        </w:tc>
        <w:tc>
          <w:tcPr>
            <w:tcW w:w="7840" w:type="dxa"/>
            <w:vAlign w:val="bottom"/>
          </w:tcPr>
          <w:p>
            <w:pPr>
              <w:ind w:left="140"/>
              <w:spacing w:after="0"/>
              <w:rPr>
                <w:sz w:val="20"/>
                <w:szCs w:val="20"/>
                <w:color w:val="auto"/>
              </w:rPr>
            </w:pPr>
            <w:r>
              <w:rPr>
                <w:rFonts w:ascii="Arial" w:cs="Arial" w:eastAsia="Arial" w:hAnsi="Arial"/>
                <w:sz w:val="22"/>
                <w:szCs w:val="22"/>
                <w:color w:val="auto"/>
              </w:rPr>
              <w:t>Revenues</w:t>
            </w:r>
          </w:p>
        </w:tc>
        <w:tc>
          <w:tcPr>
            <w:tcW w:w="30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38"/>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0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8360" w:type="dxa"/>
            <w:vAlign w:val="bottom"/>
            <w:gridSpan w:val="2"/>
          </w:tcPr>
          <w:p>
            <w:pPr>
              <w:spacing w:after="0"/>
              <w:rPr>
                <w:sz w:val="20"/>
                <w:szCs w:val="20"/>
                <w:color w:val="auto"/>
              </w:rPr>
            </w:pPr>
            <w:r>
              <w:rPr>
                <w:rFonts w:ascii="Arial" w:cs="Arial" w:eastAsia="Arial" w:hAnsi="Arial"/>
                <w:sz w:val="18"/>
                <w:szCs w:val="18"/>
                <w:color w:val="auto"/>
              </w:rPr>
              <w:t>Contract revenue</w:t>
            </w:r>
          </w:p>
        </w:tc>
        <w:tc>
          <w:tcPr>
            <w:tcW w:w="15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20,255</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40" w:type="dxa"/>
            <w:vAlign w:val="bottom"/>
          </w:tcPr>
          <w:p>
            <w:pPr>
              <w:spacing w:after="0"/>
              <w:rPr>
                <w:sz w:val="18"/>
                <w:szCs w:val="18"/>
                <w:color w:val="auto"/>
              </w:rPr>
            </w:pPr>
          </w:p>
        </w:tc>
        <w:tc>
          <w:tcPr>
            <w:tcW w:w="15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20,255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60" w:type="dxa"/>
            <w:vAlign w:val="bottom"/>
            <w:gridSpan w:val="2"/>
          </w:tcPr>
          <w:p>
            <w:pPr>
              <w:spacing w:after="0"/>
              <w:rPr>
                <w:sz w:val="20"/>
                <w:szCs w:val="20"/>
                <w:color w:val="auto"/>
              </w:rPr>
            </w:pPr>
            <w:r>
              <w:rPr>
                <w:rFonts w:ascii="Arial" w:cs="Arial" w:eastAsia="Arial" w:hAnsi="Arial"/>
                <w:sz w:val="18"/>
                <w:szCs w:val="18"/>
                <w:color w:val="auto"/>
              </w:rPr>
              <w:t>Statutory Financial Statements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8"/>
        </w:trPr>
        <w:tc>
          <w:tcPr>
            <w:tcW w:w="5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Operating Expenses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Salaries and related costs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 related to research and development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 related to general administrative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 related to research and development expense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23,242</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23,242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 related to regular general and administrative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 related to IPO</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Depreciation of fixed assets</w:t>
            </w: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gridSpan w:val="2"/>
            <w:vMerge w:val="continue"/>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35,945</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22"/>
                <w:szCs w:val="22"/>
                <w:color w:val="auto"/>
              </w:rPr>
              <w:t>13.</w:t>
            </w:r>
          </w:p>
        </w:tc>
        <w:tc>
          <w:tcPr>
            <w:tcW w:w="7900" w:type="dxa"/>
            <w:vAlign w:val="bottom"/>
            <w:vMerge w:val="restart"/>
          </w:tcPr>
          <w:p>
            <w:pPr>
              <w:ind w:left="200"/>
              <w:spacing w:after="0"/>
              <w:rPr>
                <w:sz w:val="20"/>
                <w:szCs w:val="20"/>
                <w:color w:val="auto"/>
              </w:rPr>
            </w:pPr>
            <w:r>
              <w:rPr>
                <w:rFonts w:ascii="Arial" w:cs="Arial" w:eastAsia="Arial" w:hAnsi="Arial"/>
                <w:sz w:val="22"/>
                <w:szCs w:val="22"/>
                <w:color w:val="auto"/>
              </w:rPr>
              <w:t>Financial income and expenses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0" w:type="dxa"/>
            <w:vAlign w:val="bottom"/>
            <w:vMerge w:val="continue"/>
          </w:tcPr>
          <w:p>
            <w:pPr>
              <w:spacing w:after="0"/>
              <w:rPr>
                <w:sz w:val="24"/>
                <w:szCs w:val="24"/>
                <w:color w:val="auto"/>
              </w:rPr>
            </w:pPr>
          </w:p>
        </w:tc>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Financial income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 interest income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 foreign exchange gains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financial income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Financial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 foreign exchange (losses)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 bank fees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 interest expense</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financial expenses</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60" w:type="dxa"/>
            <w:vAlign w:val="bottom"/>
            <w:gridSpan w:val="2"/>
          </w:tcPr>
          <w:p>
            <w:pPr>
              <w:spacing w:after="0"/>
              <w:rPr>
                <w:sz w:val="20"/>
                <w:szCs w:val="20"/>
                <w:color w:val="auto"/>
              </w:rPr>
            </w:pPr>
            <w:r>
              <w:rPr>
                <w:rFonts w:ascii="Arial" w:cs="Arial" w:eastAsia="Arial" w:hAnsi="Arial"/>
                <w:sz w:val="18"/>
                <w:szCs w:val="18"/>
                <w:color w:val="auto"/>
              </w:rPr>
              <w:t>Statutory Financial Statements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4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Shareholders rights and equity awards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on the allocation of shares and equity awards to executive officers, directors and employees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83"/>
              </w:rPr>
              <w:t>Shares</w:t>
            </w: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Equity Awards</w:t>
            </w:r>
          </w:p>
        </w:tc>
        <w:tc>
          <w:tcPr>
            <w:tcW w:w="0" w:type="dxa"/>
            <w:vAlign w:val="bottom"/>
          </w:tcPr>
          <w:p>
            <w:pPr>
              <w:spacing w:after="0"/>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Number</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KCHF</w:t>
            </w:r>
          </w:p>
        </w:tc>
        <w:tc>
          <w:tcPr>
            <w:tcW w:w="2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Number</w:t>
            </w:r>
          </w:p>
        </w:tc>
        <w:tc>
          <w:tcPr>
            <w:tcW w:w="1020" w:type="dxa"/>
            <w:vAlign w:val="bottom"/>
          </w:tcPr>
          <w:p>
            <w:pPr>
              <w:jc w:val="center"/>
              <w:ind w:left="90"/>
              <w:spacing w:after="0"/>
              <w:rPr>
                <w:sz w:val="20"/>
                <w:szCs w:val="20"/>
                <w:color w:val="auto"/>
              </w:rPr>
            </w:pPr>
            <w:r>
              <w:rPr>
                <w:rFonts w:ascii="Arial" w:cs="Arial" w:eastAsia="Arial" w:hAnsi="Arial"/>
                <w:sz w:val="18"/>
                <w:szCs w:val="18"/>
                <w:color w:val="auto"/>
                <w:w w:val="97"/>
              </w:rPr>
              <w:t>KCHF</w:t>
            </w:r>
          </w:p>
        </w:tc>
        <w:tc>
          <w:tcPr>
            <w:tcW w:w="0" w:type="dxa"/>
            <w:vAlign w:val="bottom"/>
          </w:tcPr>
          <w:p>
            <w:pPr>
              <w:spacing w:after="0"/>
              <w:rPr>
                <w:sz w:val="1"/>
                <w:szCs w:val="1"/>
                <w:color w:val="auto"/>
              </w:rPr>
            </w:pP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Issued to executive officers and directors</w:t>
            </w: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4,657,882</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58,922</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930,748</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ind w:left="90"/>
              <w:spacing w:after="0" w:line="195" w:lineRule="exact"/>
              <w:rPr>
                <w:sz w:val="20"/>
                <w:szCs w:val="20"/>
                <w:color w:val="auto"/>
              </w:rPr>
            </w:pPr>
            <w:r>
              <w:rPr>
                <w:rFonts w:ascii="Arial" w:cs="Arial" w:eastAsia="Arial" w:hAnsi="Arial"/>
                <w:sz w:val="18"/>
                <w:szCs w:val="18"/>
                <w:color w:val="auto"/>
                <w:w w:val="88"/>
              </w:rPr>
              <w:t>3,473</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Issued to employees</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504,664</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479,725</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1,119</w:t>
            </w:r>
          </w:p>
        </w:tc>
        <w:tc>
          <w:tcPr>
            <w:tcW w:w="0" w:type="dxa"/>
            <w:vAlign w:val="bottom"/>
          </w:tcPr>
          <w:p>
            <w:pPr>
              <w:spacing w:after="0"/>
              <w:rPr>
                <w:sz w:val="1"/>
                <w:szCs w:val="1"/>
                <w:color w:val="auto"/>
              </w:rPr>
            </w:pPr>
          </w:p>
        </w:tc>
      </w:tr>
      <w:tr>
        <w:trPr>
          <w:trHeight w:val="217"/>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5,162,546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65,306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1,410,473</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4,592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Share values are based on the Company’s share price of $12.80 (CHF 12.65). Equity awards are comprised of options and non-vested stock (restricted shares and restricted share units) awards. The fair value of our options is determined using the Black-Scholes Merton Model and our non-vested stock awards are valued using a reasonable estimate of market value of the common stock on the date of the award. Total shares are derived from our transfer agent’s records as at 31 December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beneficial ownership of executive officers and directors, including affiliated entities, if applicable, in accordance with Article 663c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as at 31 December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Number of Equity</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Number of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Awards</w:t>
            </w:r>
          </w:p>
        </w:tc>
        <w:tc>
          <w:tcPr>
            <w:tcW w:w="0" w:type="dxa"/>
            <w:vAlign w:val="bottom"/>
          </w:tcPr>
          <w:p>
            <w:pPr>
              <w:spacing w:after="0"/>
              <w:rPr>
                <w:sz w:val="1"/>
                <w:szCs w:val="1"/>
                <w:color w:val="auto"/>
              </w:rPr>
            </w:pPr>
          </w:p>
        </w:tc>
      </w:tr>
      <w:tr>
        <w:trPr>
          <w:trHeight w:val="230"/>
        </w:trPr>
        <w:tc>
          <w:tcPr>
            <w:tcW w:w="7900" w:type="dxa"/>
            <w:vAlign w:val="bottom"/>
            <w:vMerge w:val="restart"/>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17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2,596,809</w:t>
            </w:r>
          </w:p>
        </w:tc>
        <w:tc>
          <w:tcPr>
            <w:tcW w:w="120" w:type="dxa"/>
            <w:vAlign w:val="bottom"/>
          </w:tcPr>
          <w:p>
            <w:pPr>
              <w:spacing w:after="0"/>
              <w:rPr>
                <w:sz w:val="16"/>
                <w:szCs w:val="16"/>
                <w:color w:val="auto"/>
              </w:rPr>
            </w:pP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339,352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Jörg Hornstein, Chief Financial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113,981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Andreas Muhs, Ph.D., Chief Scientific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475,050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373,867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Jean-Fabien Monin, Chief Administrative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63,923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Martin Velasco, Chairman and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469,250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Detlev Riesner, Ph.D.,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759,000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Friedrich von Bohlen und Halbach,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78,750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Peter Bollmann,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Post balance sheet events</w:t>
      </w:r>
    </w:p>
    <w:p>
      <w:pPr>
        <w:spacing w:after="0" w:line="21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February 2, 2018, we entered into an additional lease with the EPFL Innovation Park to expand our premises by more than 4,300 square feet effective March 1, 2018. As part of this expansion, the Company agreed to purchase CHF 750 thousand of the previous tenant’s lab equipment.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Pr>
          <w:p>
            <w:pPr>
              <w:spacing w:after="0"/>
              <w:rPr>
                <w:sz w:val="20"/>
                <w:szCs w:val="20"/>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40" w:type="dxa"/>
            <w:vAlign w:val="bottom"/>
          </w:tcPr>
          <w:p>
            <w:pPr>
              <w:spacing w:after="0"/>
              <w:rPr>
                <w:sz w:val="20"/>
                <w:szCs w:val="20"/>
                <w:color w:val="auto"/>
              </w:rPr>
            </w:pPr>
            <w:r>
              <w:rPr>
                <w:rFonts w:ascii="Arial" w:cs="Arial" w:eastAsia="Arial" w:hAnsi="Arial"/>
                <w:sz w:val="18"/>
                <w:szCs w:val="18"/>
                <w:color w:val="auto"/>
              </w:rPr>
              <w:t>Accumulated losses carried forward</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(32,558)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(24,930)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Loss for the year</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(25,868)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Total accumulated losses</w:t>
            </w: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(58,426)</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24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15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148590</wp:posOffset>
            </wp:positionV>
            <wp:extent cx="1912620" cy="600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61" w:lineRule="auto"/>
        <w:rPr>
          <w:sz w:val="20"/>
          <w:szCs w:val="20"/>
          <w:color w:val="auto"/>
        </w:rPr>
      </w:pPr>
      <w:r>
        <w:rPr>
          <w:rFonts w:ascii="Arial" w:cs="Arial" w:eastAsia="Arial" w:hAnsi="Arial"/>
          <w:sz w:val="25"/>
          <w:szCs w:val="25"/>
          <w:color w:val="auto"/>
        </w:rPr>
        <w:t>Report of the Statutory Auditor on the Compensation Report in Accordance with the Ordinance against Excessive Compensation in Stock Exchange Listed Companies (Ordinance)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Contents</w:t>
      </w:r>
    </w:p>
    <w:p>
      <w:pPr>
        <w:spacing w:after="0" w:line="207"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Report of the Statutory Auditor</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Compensation of the Board of Directors</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Compensation of the Members of the Executive Management</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Equity Incentive Plans of the Board of Directors and the Members of the Executive Team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w:t>
      </w:r>
    </w:p>
    <w:p>
      <w:pPr>
        <w:spacing w:after="0" w:line="220"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Philosophy, Principles and Governance</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ind w:left="3900"/>
        <w:spacing w:after="0"/>
        <w:rPr>
          <w:sz w:val="20"/>
          <w:szCs w:val="20"/>
          <w:color w:val="auto"/>
        </w:rPr>
      </w:pPr>
      <w:r>
        <w:rPr>
          <w:rFonts w:ascii="Arial" w:cs="Arial" w:eastAsia="Arial" w:hAnsi="Arial"/>
          <w:sz w:val="14"/>
          <w:szCs w:val="14"/>
          <w:color w:val="808080"/>
        </w:rPr>
        <w:drawing>
          <wp:anchor simplePos="0" relativeHeight="251657728" behindDoc="1" locked="0" layoutInCell="0" allowOverlap="1">
            <wp:simplePos x="0" y="0"/>
            <wp:positionH relativeFrom="page">
              <wp:posOffset>183515</wp:posOffset>
            </wp:positionH>
            <wp:positionV relativeFrom="page">
              <wp:posOffset>363220</wp:posOffset>
            </wp:positionV>
            <wp:extent cx="711835" cy="840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1835" cy="840740"/>
                    </a:xfrm>
                    <a:prstGeom prst="rect">
                      <a:avLst/>
                    </a:prstGeom>
                    <a:noFill/>
                  </pic:spPr>
                </pic:pic>
              </a:graphicData>
            </a:graphic>
          </wp:anchor>
        </w:drawing>
        <w:t>Ernst &amp; Young Ltd</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808080"/>
        </w:rPr>
        <w:t>Route de Chancy 59</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808080"/>
        </w:rPr>
        <w:t>P.O. Box</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808080"/>
        </w:rPr>
        <w:t>1213 Lancy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808080"/>
        </w:rPr>
        <w:t>Phone: +41 58 286 56 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08080"/>
        </w:rPr>
        <w:t>Fax: +41 58 286 56 57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08080"/>
        </w:rPr>
        <w:t>www.ey.com/ch</w:t>
      </w:r>
    </w:p>
    <w:p>
      <w:pPr>
        <w:spacing w:after="0" w:line="362" w:lineRule="exact"/>
        <w:rPr>
          <w:sz w:val="20"/>
          <w:szCs w:val="20"/>
          <w:color w:val="auto"/>
        </w:rPr>
      </w:pPr>
    </w:p>
    <w:p>
      <w:pPr>
        <w:sectPr>
          <w:pgSz w:w="11900" w:h="16838" w:orient="portrait"/>
          <w:cols w:equalWidth="0" w:num="2">
            <w:col w:w="6940" w:space="720"/>
            <w:col w:w="3720"/>
          </w:cols>
          <w:pgMar w:left="240" w:top="57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General Meeting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 Immune SA, Ecublens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00"/>
        <w:spacing w:after="0"/>
        <w:rPr>
          <w:sz w:val="20"/>
          <w:szCs w:val="20"/>
          <w:color w:val="auto"/>
        </w:rPr>
      </w:pPr>
      <w:r>
        <w:rPr>
          <w:rFonts w:ascii="Arial" w:cs="Arial" w:eastAsia="Arial" w:hAnsi="Arial"/>
          <w:sz w:val="17"/>
          <w:szCs w:val="17"/>
          <w:color w:val="auto"/>
        </w:rPr>
        <w:t>Lancy, 20 March 2018</w:t>
      </w:r>
    </w:p>
    <w:p>
      <w:pPr>
        <w:spacing w:after="0" w:line="394" w:lineRule="exact"/>
        <w:rPr>
          <w:sz w:val="20"/>
          <w:szCs w:val="20"/>
          <w:color w:val="auto"/>
        </w:rPr>
      </w:pPr>
    </w:p>
    <w:p>
      <w:pPr>
        <w:sectPr>
          <w:pgSz w:w="11900" w:h="16838" w:orient="portrait"/>
          <w:cols w:equalWidth="0" w:num="2">
            <w:col w:w="5000" w:space="720"/>
            <w:col w:w="5660"/>
          </w:cols>
          <w:pgMar w:left="240" w:top="576" w:right="27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Report of the statutory auditor on the remuneration report</w:t>
      </w:r>
    </w:p>
    <w:p>
      <w:pPr>
        <w:spacing w:after="0" w:line="2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audited the remuneration report of AC Immune SA for the year ended</w:t>
      </w:r>
    </w:p>
    <w:p>
      <w:pPr>
        <w:ind w:left="1620" w:right="220"/>
        <w:spacing w:after="0"/>
        <w:rPr>
          <w:sz w:val="20"/>
          <w:szCs w:val="20"/>
          <w:color w:val="auto"/>
        </w:rPr>
      </w:pPr>
      <w:r>
        <w:rPr>
          <w:rFonts w:ascii="Arial" w:cs="Arial" w:eastAsia="Arial" w:hAnsi="Arial"/>
          <w:sz w:val="18"/>
          <w:szCs w:val="18"/>
          <w:color w:val="auto"/>
        </w:rPr>
        <w:t>31 December 2017. The audit was limited to the information according to articles 14–16 of the Ordinance against Excessive Compensation in Stock Exchange Listed Companies (Ordinance) contained in the tables 1.c., 2.c.and 3., and the information in section 1.b.and 3.of the remuneration report.</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7180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805" cy="360045"/>
                    </a:xfrm>
                    <a:prstGeom prst="rect">
                      <a:avLst/>
                    </a:prstGeom>
                    <a:noFill/>
                  </pic:spPr>
                </pic:pic>
              </a:graphicData>
            </a:graphic>
          </wp:anchor>
        </w:drawing>
      </w:r>
    </w:p>
    <w:p>
      <w:pPr>
        <w:ind w:left="1620" w:right="160"/>
        <w:spacing w:after="0"/>
        <w:rPr>
          <w:sz w:val="20"/>
          <w:szCs w:val="20"/>
          <w:color w:val="auto"/>
        </w:rPr>
      </w:pPr>
      <w:r>
        <w:rPr>
          <w:rFonts w:ascii="Arial" w:cs="Arial" w:eastAsia="Arial" w:hAnsi="Arial"/>
          <w:sz w:val="18"/>
          <w:szCs w:val="18"/>
          <w:color w:val="auto"/>
        </w:rPr>
        <w:t>The Board of Directors is responsible for the preparation and overall fair presentation of the remuneration report in accordance with Swiss law and the Ordinance. The Board of Directors is also responsible for designing the remuneration system and defining individual remuneration packages.</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11480"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480" cy="531495"/>
                    </a:xfrm>
                    <a:prstGeom prst="rect">
                      <a:avLst/>
                    </a:prstGeom>
                    <a:noFill/>
                  </pic:spPr>
                </pic:pic>
              </a:graphicData>
            </a:graphic>
          </wp:anchor>
        </w:drawing>
      </w:r>
    </w:p>
    <w:p>
      <w:pPr>
        <w:jc w:val="both"/>
        <w:ind w:left="1620" w:right="200"/>
        <w:spacing w:after="0" w:line="239" w:lineRule="auto"/>
        <w:rPr>
          <w:sz w:val="20"/>
          <w:szCs w:val="20"/>
          <w:color w:val="auto"/>
        </w:rPr>
      </w:pPr>
      <w:r>
        <w:rPr>
          <w:rFonts w:ascii="Arial" w:cs="Arial" w:eastAsia="Arial" w:hAnsi="Arial"/>
          <w:sz w:val="18"/>
          <w:szCs w:val="18"/>
          <w:color w:val="auto"/>
        </w:rPr>
        <w:t>Our responsibility is to express an opinion on the remuneration report. We conducted our audit in accordance with Swiss Auditing Standards. Those standards require that we comply with ethical requirements and plan and perform the audit to obtain reasonable assurance about whether the remuneration report complies with Swiss law and articles 14 – 16 of the Ordinance.</w:t>
      </w:r>
    </w:p>
    <w:p>
      <w:pPr>
        <w:spacing w:after="0" w:line="188" w:lineRule="exact"/>
        <w:rPr>
          <w:sz w:val="20"/>
          <w:szCs w:val="20"/>
          <w:color w:val="auto"/>
        </w:rPr>
      </w:pPr>
    </w:p>
    <w:p>
      <w:pPr>
        <w:ind w:left="1620" w:right="100"/>
        <w:spacing w:after="0" w:line="255" w:lineRule="auto"/>
        <w:rPr>
          <w:sz w:val="20"/>
          <w:szCs w:val="20"/>
          <w:color w:val="auto"/>
        </w:rPr>
      </w:pPr>
      <w:r>
        <w:rPr>
          <w:rFonts w:ascii="Arial" w:cs="Arial" w:eastAsia="Arial" w:hAnsi="Arial"/>
          <w:sz w:val="17"/>
          <w:szCs w:val="17"/>
          <w:color w:val="auto"/>
        </w:rPr>
        <w:t>An audit involves performing procedures to obtain audit evidence on the disclosures made in the remuneration report with regard to compensation, loans and credits in accordance with articles 14 – 16 of the Ordinance. The procedures selected depend on the auditor’s judgment, including the assessment of the risks of material misstatements in the remuneration report, whether due to fraud or error. This audit also includes evaluating the reasonableness of the methods applied to value components of remuneration, as well as assessing the overall presentation of the remuneration report.</w:t>
      </w:r>
    </w:p>
    <w:p>
      <w:pPr>
        <w:spacing w:after="0" w:line="177" w:lineRule="exact"/>
        <w:rPr>
          <w:sz w:val="20"/>
          <w:szCs w:val="20"/>
          <w:color w:val="auto"/>
        </w:rPr>
      </w:pPr>
    </w:p>
    <w:p>
      <w:pPr>
        <w:ind w:left="1620" w:right="600"/>
        <w:spacing w:after="0" w:line="352"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opinion. </w:t>
      </w:r>
      <w:r>
        <w:rPr>
          <w:rFonts w:ascii="Arial" w:cs="Arial" w:eastAsia="Arial" w:hAnsi="Arial"/>
          <w:sz w:val="18"/>
          <w:szCs w:val="18"/>
          <w:b w:val="1"/>
          <w:bCs w:val="1"/>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35179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1790" cy="325755"/>
                    </a:xfrm>
                    <a:prstGeom prst="rect">
                      <a:avLst/>
                    </a:prstGeom>
                    <a:noFill/>
                  </pic:spPr>
                </pic:pic>
              </a:graphicData>
            </a:graphic>
          </wp:anchor>
        </w:drawing>
      </w:r>
    </w:p>
    <w:p>
      <w:pPr>
        <w:ind w:left="1620" w:right="140"/>
        <w:spacing w:after="0" w:line="246" w:lineRule="auto"/>
        <w:rPr>
          <w:sz w:val="20"/>
          <w:szCs w:val="20"/>
          <w:color w:val="auto"/>
        </w:rPr>
      </w:pPr>
      <w:r>
        <w:rPr>
          <w:rFonts w:ascii="Arial" w:cs="Arial" w:eastAsia="Arial" w:hAnsi="Arial"/>
          <w:sz w:val="18"/>
          <w:szCs w:val="18"/>
          <w:color w:val="auto"/>
        </w:rPr>
        <w:t>In our opinion, the remuneration report for the year ended 31 December 2017 of AC Immune SA complies with Swiss law and articles 14 – 16 of the Ordinance.</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11380"/>
          </w:cols>
          <w:pgMar w:left="240" w:top="576" w:right="27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 Jürg Zürcher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Jürg Zürcher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Chris Roberts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Chris Roberts</w:t>
      </w:r>
    </w:p>
    <w:p>
      <w:pPr>
        <w:spacing w:after="0" w:line="9" w:lineRule="exact"/>
        <w:rPr>
          <w:sz w:val="20"/>
          <w:szCs w:val="20"/>
          <w:color w:val="auto"/>
        </w:rPr>
      </w:pPr>
    </w:p>
    <w:p>
      <w:pPr>
        <w:sectPr>
          <w:pgSz w:w="11900" w:h="16838" w:orient="portrait"/>
          <w:cols w:equalWidth="0" w:num="2">
            <w:col w:w="5800" w:space="720"/>
            <w:col w:w="4860"/>
          </w:cols>
          <w:pgMar w:left="240" w:top="576" w:right="27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Licensed audit expert</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6"/>
          <w:szCs w:val="16"/>
          <w:color w:val="auto"/>
        </w:rPr>
        <w:t>Chartered accountant</w:t>
      </w:r>
    </w:p>
    <w:p>
      <w:pPr>
        <w:spacing w:after="0" w:line="391" w:lineRule="exact"/>
        <w:rPr>
          <w:sz w:val="20"/>
          <w:szCs w:val="20"/>
          <w:color w:val="auto"/>
        </w:rPr>
      </w:pPr>
    </w:p>
    <w:p>
      <w:pPr>
        <w:sectPr>
          <w:pgSz w:w="11900" w:h="16838" w:orient="portrait"/>
          <w:cols w:equalWidth="0" w:num="2">
            <w:col w:w="5800" w:space="720"/>
            <w:col w:w="4860"/>
          </w:cols>
          <w:pgMar w:left="240" w:top="576" w:right="279" w:bottom="1440" w:gutter="0" w:footer="0" w:header="0"/>
          <w:type w:val="continuous"/>
        </w:sectPr>
      </w:pPr>
    </w:p>
    <w:p>
      <w:pPr>
        <w:spacing w:after="0" w:line="1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type w:val="continuous"/>
        </w:sectPr>
      </w:pPr>
    </w:p>
    <w:bookmarkStart w:id="29" w:name="page30"/>
    <w:bookmarkEnd w:id="2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left="100" w:right="380"/>
        <w:spacing w:after="0" w:line="246" w:lineRule="auto"/>
        <w:rPr>
          <w:sz w:val="20"/>
          <w:szCs w:val="20"/>
          <w:color w:val="auto"/>
        </w:rPr>
      </w:pPr>
      <w:r>
        <w:rPr>
          <w:rFonts w:ascii="Arial" w:cs="Arial" w:eastAsia="Arial" w:hAnsi="Arial"/>
          <w:sz w:val="18"/>
          <w:szCs w:val="18"/>
          <w:color w:val="auto"/>
        </w:rPr>
        <w:t>This compensation report of AC Immune SA (the “Company”) has been prepared in accordance with the Federal Ordinance Against Excessive Compensation in Stock Exchange Listed Companies (“Ordinance”), effective January 1, 2014.</w:t>
      </w:r>
    </w:p>
    <w:p>
      <w:pPr>
        <w:spacing w:after="0" w:line="161" w:lineRule="exact"/>
        <w:rPr>
          <w:sz w:val="20"/>
          <w:szCs w:val="20"/>
          <w:color w:val="auto"/>
        </w:rPr>
      </w:pPr>
    </w:p>
    <w:p>
      <w:pPr>
        <w:ind w:left="720" w:hanging="307"/>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the Board of Directors</w:t>
      </w:r>
    </w:p>
    <w:p>
      <w:pPr>
        <w:spacing w:after="0" w:line="198"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Board Composition in 2017 and 2016</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020" w:type="dxa"/>
            <w:vAlign w:val="bottom"/>
            <w:tcBorders>
              <w:top w:val="single" w:sz="8" w:color="auto"/>
              <w:left w:val="single" w:sz="8" w:color="auto"/>
              <w:right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Name</w:t>
            </w:r>
          </w:p>
        </w:tc>
        <w:tc>
          <w:tcPr>
            <w:tcW w:w="1720" w:type="dxa"/>
            <w:vAlign w:val="bottom"/>
            <w:tcBorders>
              <w:top w:val="single" w:sz="8" w:color="auto"/>
              <w:right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Appointment</w:t>
            </w:r>
          </w:p>
        </w:tc>
        <w:tc>
          <w:tcPr>
            <w:tcW w:w="1700" w:type="dxa"/>
            <w:vAlign w:val="bottom"/>
            <w:tcBorders>
              <w:top w:val="single" w:sz="8" w:color="auto"/>
              <w:right w:val="single" w:sz="8" w:color="auto"/>
            </w:tcBorders>
          </w:tcPr>
          <w:p>
            <w:pPr>
              <w:ind w:left="580"/>
              <w:spacing w:after="0" w:line="194" w:lineRule="exact"/>
              <w:rPr>
                <w:sz w:val="20"/>
                <w:szCs w:val="20"/>
                <w:color w:val="auto"/>
              </w:rPr>
            </w:pPr>
            <w:r>
              <w:rPr>
                <w:rFonts w:ascii="Arial" w:cs="Arial" w:eastAsia="Arial" w:hAnsi="Arial"/>
                <w:sz w:val="18"/>
                <w:szCs w:val="18"/>
                <w:b w:val="1"/>
                <w:bCs w:val="1"/>
                <w:color w:val="auto"/>
              </w:rPr>
              <w:t>Board</w:t>
            </w:r>
          </w:p>
        </w:tc>
        <w:tc>
          <w:tcPr>
            <w:tcW w:w="18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Audit</w:t>
            </w:r>
          </w:p>
        </w:tc>
        <w:tc>
          <w:tcPr>
            <w:tcW w:w="21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Compensation</w:t>
            </w: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Committee*</w:t>
            </w:r>
          </w:p>
        </w:tc>
        <w:tc>
          <w:tcPr>
            <w:tcW w:w="2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Nomination</w:t>
            </w:r>
          </w:p>
        </w:tc>
      </w:tr>
      <w:tr>
        <w:trPr>
          <w:trHeight w:val="225"/>
        </w:trPr>
        <w:tc>
          <w:tcPr>
            <w:tcW w:w="40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Committee*</w:t>
            </w: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Martin Velasco</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2003</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Chairman</w:t>
            </w:r>
          </w:p>
        </w:tc>
        <w:tc>
          <w:tcPr>
            <w:tcW w:w="18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Member</w:t>
            </w:r>
          </w:p>
        </w:tc>
        <w:tc>
          <w:tcPr>
            <w:tcW w:w="2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Member</w:t>
            </w: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Peter Bollmann, PhD</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2015</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Chairman</w:t>
            </w:r>
          </w:p>
        </w:tc>
        <w:tc>
          <w:tcPr>
            <w:tcW w:w="216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Thomas Graney</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2016</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 (1)</w:t>
            </w:r>
          </w:p>
        </w:tc>
        <w:tc>
          <w:tcPr>
            <w:tcW w:w="182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Member</w:t>
            </w:r>
          </w:p>
        </w:tc>
        <w:tc>
          <w:tcPr>
            <w:tcW w:w="2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Member</w:t>
            </w: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Detlev Riesner, PhD</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2004</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Chairman</w:t>
            </w: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Friedrich von Bohlen und Halbach, PhD</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2015</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Andrea Pfeifer, PhD</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2016</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 – CEO</w:t>
            </w:r>
          </w:p>
        </w:tc>
        <w:tc>
          <w:tcPr>
            <w:tcW w:w="18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r>
      <w:tr>
        <w:trPr>
          <w:trHeight w:val="196"/>
        </w:trPr>
        <w:tc>
          <w:tcPr>
            <w:tcW w:w="40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Mathias Hothum</w:t>
            </w:r>
          </w:p>
        </w:tc>
        <w:tc>
          <w:tcPr>
            <w:tcW w:w="1720" w:type="dxa"/>
            <w:vAlign w:val="bottom"/>
            <w:tcBorders>
              <w:bottom w:val="single" w:sz="8" w:color="auto"/>
              <w:right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 (2)</w:t>
            </w:r>
          </w:p>
        </w:tc>
        <w:tc>
          <w:tcPr>
            <w:tcW w:w="18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r>
    </w:tbl>
    <w:p>
      <w:pPr>
        <w:spacing w:after="0" w:line="218" w:lineRule="exact"/>
        <w:rPr>
          <w:sz w:val="20"/>
          <w:szCs w:val="20"/>
          <w:color w:val="auto"/>
        </w:rPr>
      </w:pPr>
    </w:p>
    <w:p>
      <w:pPr>
        <w:ind w:left="340" w:hanging="251"/>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elected November 15, 2016</w:t>
      </w:r>
    </w:p>
    <w:p>
      <w:pPr>
        <w:spacing w:after="0" w:line="5" w:lineRule="exact"/>
        <w:rPr>
          <w:rFonts w:ascii="Arial" w:cs="Arial" w:eastAsia="Arial" w:hAnsi="Arial"/>
          <w:sz w:val="16"/>
          <w:szCs w:val="16"/>
          <w:color w:val="auto"/>
        </w:rPr>
      </w:pPr>
    </w:p>
    <w:p>
      <w:pPr>
        <w:ind w:left="340" w:hanging="251"/>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term expired November 15, 2016</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Created November 11, 2016</w:t>
      </w:r>
    </w:p>
    <w:p>
      <w:pPr>
        <w:spacing w:after="0" w:line="205" w:lineRule="exact"/>
        <w:rPr>
          <w:sz w:val="20"/>
          <w:szCs w:val="20"/>
          <w:color w:val="auto"/>
        </w:rPr>
      </w:pPr>
    </w:p>
    <w:p>
      <w:pPr>
        <w:ind w:left="100" w:right="320"/>
        <w:spacing w:after="0"/>
        <w:rPr>
          <w:sz w:val="20"/>
          <w:szCs w:val="20"/>
          <w:color w:val="auto"/>
        </w:rPr>
      </w:pPr>
      <w:r>
        <w:rPr>
          <w:rFonts w:ascii="Arial" w:cs="Arial" w:eastAsia="Arial" w:hAnsi="Arial"/>
          <w:sz w:val="18"/>
          <w:szCs w:val="18"/>
          <w:color w:val="auto"/>
        </w:rPr>
        <w:t>Our Board of Directors is composed of six directors. Each director is elected for a one-year term. The current members of our board of directors were appointed at a shareholders’ meeting held on June 28, 2017 to serve until the 2018 shareholders’ meeting planned for June 2018.</w:t>
      </w:r>
    </w:p>
    <w:p>
      <w:pPr>
        <w:spacing w:after="0" w:line="189" w:lineRule="exact"/>
        <w:rPr>
          <w:sz w:val="20"/>
          <w:szCs w:val="20"/>
          <w:color w:val="auto"/>
        </w:rPr>
      </w:pPr>
    </w:p>
    <w:p>
      <w:pPr>
        <w:ind w:left="100" w:right="120"/>
        <w:spacing w:after="0" w:line="236" w:lineRule="auto"/>
        <w:rPr>
          <w:sz w:val="20"/>
          <w:szCs w:val="20"/>
          <w:color w:val="auto"/>
        </w:rPr>
      </w:pPr>
      <w:r>
        <w:rPr>
          <w:rFonts w:ascii="Arial" w:cs="Arial" w:eastAsia="Arial" w:hAnsi="Arial"/>
          <w:sz w:val="18"/>
          <w:szCs w:val="18"/>
          <w:color w:val="auto"/>
        </w:rPr>
        <w:t>Pursuant to NASDAQ Marketplace Rule 5615(a)(3), the Company follows Swiss rules in lieu of the NASDAQ exchange listing rules for rules regarding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 of independent directors. Taking into account any applicable committee independence standards, Martin Velasco, Detlev Riesner, Friedrich von Bohlen und Halbach, Peter Bollmann and Thomas Graney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73" w:lineRule="exact"/>
        <w:rPr>
          <w:sz w:val="20"/>
          <w:szCs w:val="20"/>
          <w:color w:val="auto"/>
        </w:rPr>
      </w:pPr>
    </w:p>
    <w:p>
      <w:pPr>
        <w:ind w:left="1080"/>
        <w:spacing w:after="0"/>
        <w:tabs>
          <w:tab w:leader="none" w:pos="13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Compensation Structure</w:t>
      </w:r>
    </w:p>
    <w:p>
      <w:pPr>
        <w:spacing w:after="0" w:line="220" w:lineRule="exact"/>
        <w:rPr>
          <w:sz w:val="20"/>
          <w:szCs w:val="20"/>
          <w:color w:val="auto"/>
        </w:rPr>
      </w:pPr>
    </w:p>
    <w:p>
      <w:pPr>
        <w:ind w:left="100" w:right="460"/>
        <w:spacing w:after="0" w:line="246" w:lineRule="auto"/>
        <w:rPr>
          <w:sz w:val="20"/>
          <w:szCs w:val="20"/>
          <w:color w:val="auto"/>
        </w:rPr>
      </w:pPr>
      <w:r>
        <w:rPr>
          <w:rFonts w:ascii="Arial" w:cs="Arial" w:eastAsia="Arial" w:hAnsi="Arial"/>
          <w:sz w:val="18"/>
          <w:szCs w:val="18"/>
          <w:color w:val="auto"/>
        </w:rPr>
        <w:t>Board members are paid a fixed fee dependent on the function exercised. Such fees have been established in light of market practice. In addition to the fixed fee, Board members are awarded equity instruments</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left="100" w:right="740"/>
        <w:spacing w:after="0" w:line="246" w:lineRule="auto"/>
        <w:rPr>
          <w:sz w:val="20"/>
          <w:szCs w:val="20"/>
          <w:color w:val="auto"/>
        </w:rPr>
      </w:pPr>
      <w:r>
        <w:rPr>
          <w:rFonts w:ascii="Arial" w:cs="Arial" w:eastAsia="Arial" w:hAnsi="Arial"/>
          <w:sz w:val="18"/>
          <w:szCs w:val="18"/>
          <w:color w:val="auto"/>
        </w:rPr>
        <w:t>under the Company’s equity incentive plans as described more fully in the annex to this report. For 2017, annual fixed fees were paid semi-annually in Swiss Francs (CHF) as follows:</w:t>
      </w:r>
    </w:p>
    <w:p>
      <w:pPr>
        <w:spacing w:after="0" w:line="170" w:lineRule="exact"/>
        <w:rPr>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79 (net of social charges) for the Chairman of the Board</w:t>
      </w:r>
    </w:p>
    <w:p>
      <w:pPr>
        <w:spacing w:after="0" w:line="188" w:lineRule="exact"/>
        <w:rPr>
          <w:rFonts w:ascii="Arial" w:cs="Arial" w:eastAsia="Arial" w:hAnsi="Arial"/>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49 (net of social charges) for other members of the Board</w:t>
      </w:r>
    </w:p>
    <w:p>
      <w:pPr>
        <w:spacing w:after="0" w:line="188" w:lineRule="exact"/>
        <w:rPr>
          <w:rFonts w:ascii="Arial" w:cs="Arial" w:eastAsia="Arial" w:hAnsi="Arial"/>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15 (net of social charges) for the Audit Chairman</w:t>
      </w:r>
    </w:p>
    <w:p>
      <w:pPr>
        <w:spacing w:after="0" w:line="188" w:lineRule="exact"/>
        <w:rPr>
          <w:rFonts w:ascii="Arial" w:cs="Arial" w:eastAsia="Arial" w:hAnsi="Arial"/>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7.5 (net of social charges) for members of the Audit Committee</w:t>
      </w:r>
    </w:p>
    <w:p>
      <w:pPr>
        <w:spacing w:after="0" w:line="188" w:lineRule="exact"/>
        <w:rPr>
          <w:rFonts w:ascii="Arial" w:cs="Arial" w:eastAsia="Arial" w:hAnsi="Arial"/>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8.5 (net of social charges) for the Compensation and Nomination Committee chairman</w:t>
      </w:r>
    </w:p>
    <w:p>
      <w:pPr>
        <w:spacing w:after="0" w:line="201" w:lineRule="exact"/>
        <w:rPr>
          <w:rFonts w:ascii="Arial" w:cs="Arial" w:eastAsia="Arial" w:hAnsi="Arial"/>
          <w:sz w:val="20"/>
          <w:szCs w:val="20"/>
          <w:color w:val="auto"/>
        </w:rPr>
      </w:pPr>
    </w:p>
    <w:p>
      <w:pPr>
        <w:ind w:left="160" w:right="3240" w:firstLine="253"/>
        <w:spacing w:after="0" w:line="450" w:lineRule="auto"/>
        <w:tabs>
          <w:tab w:leader="none" w:pos="732"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5 (net of social charges) for members of the Compensation and Nomination Committee For 2016, annual fixed fees were paid semi-annually in Swiss Francs as follows:</w:t>
      </w: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45 (net of social charges) for the Chairman of the Board</w:t>
      </w:r>
    </w:p>
    <w:p>
      <w:pPr>
        <w:spacing w:after="0" w:line="188" w:lineRule="exact"/>
        <w:rPr>
          <w:rFonts w:ascii="Arial" w:cs="Arial" w:eastAsia="Arial" w:hAnsi="Arial"/>
          <w:sz w:val="20"/>
          <w:szCs w:val="20"/>
          <w:color w:val="auto"/>
        </w:rPr>
      </w:pPr>
    </w:p>
    <w:p>
      <w:pPr>
        <w:ind w:left="720" w:hanging="307"/>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KCHF 30 (net of social charges) for other members of the Board</w:t>
      </w:r>
    </w:p>
    <w:p>
      <w:pPr>
        <w:spacing w:after="0" w:line="180" w:lineRule="exact"/>
        <w:rPr>
          <w:sz w:val="20"/>
          <w:szCs w:val="20"/>
          <w:color w:val="auto"/>
        </w:rPr>
      </w:pPr>
    </w:p>
    <w:p>
      <w:pPr>
        <w:ind w:left="1080"/>
        <w:spacing w:after="0"/>
        <w:tabs>
          <w:tab w:leader="none" w:pos="1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7"/>
          <w:szCs w:val="17"/>
          <w:b w:val="1"/>
          <w:bCs w:val="1"/>
          <w:color w:val="auto"/>
        </w:rPr>
        <w:t>2017 and 2016 Board Compensation</w:t>
      </w:r>
    </w:p>
    <w:p>
      <w:pPr>
        <w:spacing w:after="0" w:line="220" w:lineRule="exact"/>
        <w:rPr>
          <w:sz w:val="20"/>
          <w:szCs w:val="20"/>
          <w:color w:val="auto"/>
        </w:rPr>
      </w:pPr>
    </w:p>
    <w:p>
      <w:pPr>
        <w:ind w:left="100" w:right="1280"/>
        <w:spacing w:after="0" w:line="246" w:lineRule="auto"/>
        <w:rPr>
          <w:sz w:val="20"/>
          <w:szCs w:val="20"/>
          <w:color w:val="auto"/>
        </w:rPr>
      </w:pPr>
      <w:r>
        <w:rPr>
          <w:rFonts w:ascii="Arial" w:cs="Arial" w:eastAsia="Arial" w:hAnsi="Arial"/>
          <w:sz w:val="18"/>
          <w:szCs w:val="18"/>
          <w:color w:val="auto"/>
        </w:rPr>
        <w:t>In 2017 and 2016, the total compensation of the members of the Board of Directors consists of Board fees, social charges and compensation paid in the form of equity instruments and is outlined below:</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 amounts are in thousands of CHF</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180" w:type="dxa"/>
            <w:vAlign w:val="bottom"/>
            <w:tcBorders>
              <w:top w:val="single" w:sz="8" w:color="auto"/>
              <w:left w:val="single" w:sz="8" w:color="auto"/>
              <w:right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w:t>
            </w:r>
          </w:p>
        </w:tc>
        <w:tc>
          <w:tcPr>
            <w:tcW w:w="390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Name</w:t>
            </w:r>
          </w:p>
        </w:tc>
        <w:tc>
          <w:tcPr>
            <w:tcW w:w="168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Gross Cash</w:t>
            </w:r>
          </w:p>
        </w:tc>
        <w:tc>
          <w:tcPr>
            <w:tcW w:w="1520" w:type="dxa"/>
            <w:vAlign w:val="bottom"/>
            <w:tcBorders>
              <w:top w:val="single" w:sz="8" w:color="auto"/>
              <w:right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Social</w:t>
            </w:r>
          </w:p>
        </w:tc>
        <w:tc>
          <w:tcPr>
            <w:tcW w:w="14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FMV of</w:t>
            </w:r>
          </w:p>
        </w:tc>
        <w:tc>
          <w:tcPr>
            <w:tcW w:w="1700" w:type="dxa"/>
            <w:vAlign w:val="bottom"/>
            <w:tcBorders>
              <w:top w:val="single" w:sz="8" w:color="auto"/>
              <w:right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Total Annual</w:t>
            </w: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Compensation</w:t>
            </w:r>
          </w:p>
        </w:tc>
        <w:tc>
          <w:tcPr>
            <w:tcW w:w="152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Contribution</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Equity</w:t>
            </w:r>
          </w:p>
        </w:tc>
        <w:tc>
          <w:tcPr>
            <w:tcW w:w="170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Compensation</w:t>
            </w: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instruments</w:t>
            </w:r>
          </w:p>
        </w:tc>
        <w:tc>
          <w:tcPr>
            <w:tcW w:w="1700" w:type="dxa"/>
            <w:vAlign w:val="bottom"/>
            <w:tcBorders>
              <w:right w:val="single" w:sz="8" w:color="auto"/>
            </w:tcBorders>
          </w:tcPr>
          <w:p>
            <w:pPr>
              <w:spacing w:after="0"/>
              <w:rPr>
                <w:sz w:val="17"/>
                <w:szCs w:val="17"/>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granted</w:t>
            </w:r>
          </w:p>
        </w:tc>
        <w:tc>
          <w:tcPr>
            <w:tcW w:w="1700" w:type="dxa"/>
            <w:vAlign w:val="bottom"/>
            <w:tcBorders>
              <w:right w:val="single" w:sz="8" w:color="auto"/>
            </w:tcBorders>
          </w:tcPr>
          <w:p>
            <w:pPr>
              <w:spacing w:after="0"/>
              <w:rPr>
                <w:sz w:val="17"/>
                <w:szCs w:val="17"/>
                <w:color w:val="auto"/>
              </w:rPr>
            </w:pPr>
          </w:p>
        </w:tc>
      </w:tr>
      <w:tr>
        <w:trPr>
          <w:trHeight w:val="225"/>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 (4)</w:t>
            </w:r>
          </w:p>
        </w:tc>
        <w:tc>
          <w:tcPr>
            <w:tcW w:w="1700" w:type="dxa"/>
            <w:vAlign w:val="bottom"/>
            <w:tcBorders>
              <w:bottom w:val="single" w:sz="8" w:color="auto"/>
              <w:right w:val="single" w:sz="8" w:color="auto"/>
            </w:tcBorders>
          </w:tcPr>
          <w:p>
            <w:pPr>
              <w:spacing w:after="0"/>
              <w:rPr>
                <w:sz w:val="19"/>
                <w:szCs w:val="19"/>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Martin Velasco</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98</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Martin Velasco</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48</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4</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52</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Peter Bollmann, PhD (1)</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Peter Bollmann, PhD</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16</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3</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19</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Thomas Graney</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Thomas Graney</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Detlev Riesner, PhD</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Detlev Riesner, PhD</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31</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32</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5"/>
        </w:trPr>
        <w:tc>
          <w:tcPr>
            <w:tcW w:w="118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39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Friedrich von Bohlen und</w:t>
            </w:r>
          </w:p>
        </w:tc>
        <w:tc>
          <w:tcPr>
            <w:tcW w:w="16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c>
          <w:tcPr>
            <w:tcW w:w="15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56</w:t>
            </w:r>
          </w:p>
        </w:tc>
        <w:tc>
          <w:tcPr>
            <w:tcW w:w="17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203"/>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Halbach, PhD</w:t>
            </w:r>
          </w:p>
        </w:tc>
        <w:tc>
          <w:tcPr>
            <w:tcW w:w="16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77"/>
        </w:trPr>
        <w:tc>
          <w:tcPr>
            <w:tcW w:w="118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Friedrich von Bohlen und</w:t>
            </w:r>
          </w:p>
        </w:tc>
        <w:tc>
          <w:tcPr>
            <w:tcW w:w="168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32</w:t>
            </w:r>
          </w:p>
        </w:tc>
        <w:tc>
          <w:tcPr>
            <w:tcW w:w="152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4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70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32</w:t>
            </w:r>
          </w:p>
        </w:tc>
      </w:tr>
      <w:tr>
        <w:trPr>
          <w:trHeight w:val="221"/>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Halbach, PhD</w:t>
            </w:r>
          </w:p>
        </w:tc>
        <w:tc>
          <w:tcPr>
            <w:tcW w:w="16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Andrea Pfeifer, PhD (2)</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Andrea Pfeifer, PhD (2)</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39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Mathias Hothum</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28</w:t>
            </w:r>
          </w:p>
        </w:tc>
        <w:tc>
          <w:tcPr>
            <w:tcW w:w="1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28</w:t>
            </w: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520"/>
        </w:trPr>
        <w:tc>
          <w:tcPr>
            <w:tcW w:w="1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1440" w:right="239" w:bottom="1440" w:gutter="0" w:footer="0" w:header="0"/>
        </w:sectPr>
      </w:pPr>
    </w:p>
    <w:bookmarkStart w:id="31" w:name="page32"/>
    <w:bookmarkEnd w:id="31"/>
    <w:p>
      <w:pPr>
        <w:spacing w:after="0" w:line="2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11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38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2017</w:t>
            </w:r>
          </w:p>
        </w:tc>
        <w:tc>
          <w:tcPr>
            <w:tcW w:w="1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196"/>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Total 2016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155</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8</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163</w:t>
            </w:r>
          </w:p>
        </w:tc>
      </w:tr>
    </w:tbl>
    <w:p>
      <w:pPr>
        <w:spacing w:after="0" w:line="215" w:lineRule="exact"/>
        <w:rPr>
          <w:sz w:val="20"/>
          <w:szCs w:val="20"/>
          <w:color w:val="auto"/>
        </w:rPr>
      </w:pPr>
    </w:p>
    <w:p>
      <w:pPr>
        <w:ind w:left="1000" w:hanging="263"/>
        <w:spacing w:after="0"/>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CHF 16K gross cash compensation for fees in 2016</w:t>
      </w:r>
    </w:p>
    <w:p>
      <w:pPr>
        <w:spacing w:after="0" w:line="198" w:lineRule="exact"/>
        <w:rPr>
          <w:rFonts w:ascii="Arial" w:cs="Arial" w:eastAsia="Arial" w:hAnsi="Arial"/>
          <w:sz w:val="18"/>
          <w:szCs w:val="18"/>
          <w:color w:val="auto"/>
        </w:rPr>
      </w:pPr>
    </w:p>
    <w:p>
      <w:pPr>
        <w:ind w:left="1000" w:hanging="263"/>
        <w:spacing w:after="0"/>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Compensation for Andrea Pfeifer is included in section 2 c below.</w:t>
      </w:r>
    </w:p>
    <w:p>
      <w:pPr>
        <w:spacing w:after="0" w:line="198" w:lineRule="exact"/>
        <w:rPr>
          <w:rFonts w:ascii="Arial" w:cs="Arial" w:eastAsia="Arial" w:hAnsi="Arial"/>
          <w:sz w:val="18"/>
          <w:szCs w:val="18"/>
          <w:color w:val="auto"/>
        </w:rPr>
      </w:pPr>
    </w:p>
    <w:p>
      <w:pPr>
        <w:ind w:left="720" w:right="360" w:firstLine="16"/>
        <w:spacing w:after="0" w:line="239" w:lineRule="auto"/>
        <w:tabs>
          <w:tab w:leader="none" w:pos="9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 Restricted Share Units and Restricted Share Awards were granted in 2017 and are further described in Section 3 below. No equity instruments were granted in 2016. Stock options granted are valued using the Black-Scholes model. We estimate the fair value of non-vested stock awards (restricted shares and restricted share units) using a reasonable estimate of market value of the common stock on the date of the award.</w:t>
      </w:r>
    </w:p>
    <w:p>
      <w:pPr>
        <w:spacing w:after="0" w:line="188" w:lineRule="exact"/>
        <w:rPr>
          <w:rFonts w:ascii="Arial" w:cs="Arial" w:eastAsia="Arial" w:hAnsi="Arial"/>
          <w:sz w:val="18"/>
          <w:szCs w:val="18"/>
          <w:color w:val="auto"/>
        </w:rPr>
      </w:pPr>
    </w:p>
    <w:p>
      <w:pPr>
        <w:ind w:left="980" w:hanging="25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Fair market value (FMV) excludes Swiss social security contributions</w:t>
      </w:r>
    </w:p>
    <w:p>
      <w:pPr>
        <w:spacing w:after="0" w:line="176" w:lineRule="exact"/>
        <w:rPr>
          <w:sz w:val="20"/>
          <w:szCs w:val="20"/>
          <w:color w:val="auto"/>
        </w:rPr>
      </w:pPr>
    </w:p>
    <w:p>
      <w:pPr>
        <w:ind w:left="720" w:right="1320" w:firstLine="11"/>
        <w:spacing w:after="0" w:line="271" w:lineRule="auto"/>
        <w:rPr>
          <w:sz w:val="20"/>
          <w:szCs w:val="20"/>
          <w:color w:val="auto"/>
        </w:rPr>
      </w:pPr>
      <w:r>
        <w:rPr>
          <w:rFonts w:ascii="Arial" w:cs="Arial" w:eastAsia="Arial" w:hAnsi="Arial"/>
          <w:sz w:val="18"/>
          <w:szCs w:val="18"/>
          <w:b w:val="1"/>
          <w:bCs w:val="1"/>
          <w:color w:val="auto"/>
        </w:rPr>
        <w:t>d. Loans to Board Members, payments to former members of the Board of Directors and payments to Related Parties of Members of the Board of Directors</w:t>
      </w:r>
    </w:p>
    <w:p>
      <w:pPr>
        <w:spacing w:after="0" w:line="162" w:lineRule="exact"/>
        <w:rPr>
          <w:sz w:val="20"/>
          <w:szCs w:val="20"/>
          <w:color w:val="auto"/>
        </w:rPr>
      </w:pPr>
    </w:p>
    <w:p>
      <w:pPr>
        <w:ind w:left="100" w:right="80"/>
        <w:spacing w:after="0"/>
        <w:rPr>
          <w:sz w:val="20"/>
          <w:szCs w:val="20"/>
          <w:color w:val="auto"/>
        </w:rPr>
      </w:pPr>
      <w:r>
        <w:rPr>
          <w:rFonts w:ascii="Arial" w:cs="Arial" w:eastAsia="Arial" w:hAnsi="Arial"/>
          <w:sz w:val="18"/>
          <w:szCs w:val="18"/>
          <w:color w:val="auto"/>
        </w:rPr>
        <w:t>For the years ended December 31, 2017 and 2016, the Company granted no loans to members or former members of the Board of Directors. Additionally, as of December 31, 2017 and 2016, no such loans or credit payments existed to present or former members of the Board of Directors, or to related parties of present or former members of the Board of Directors.</w:t>
      </w:r>
    </w:p>
    <w:p>
      <w:pPr>
        <w:spacing w:after="0" w:line="189" w:lineRule="exact"/>
        <w:rPr>
          <w:sz w:val="20"/>
          <w:szCs w:val="20"/>
          <w:color w:val="auto"/>
        </w:rPr>
      </w:pPr>
    </w:p>
    <w:p>
      <w:pPr>
        <w:ind w:left="100" w:right="840"/>
        <w:spacing w:after="0" w:line="246" w:lineRule="auto"/>
        <w:rPr>
          <w:sz w:val="20"/>
          <w:szCs w:val="20"/>
          <w:color w:val="auto"/>
        </w:rPr>
      </w:pPr>
      <w:r>
        <w:rPr>
          <w:rFonts w:ascii="Arial" w:cs="Arial" w:eastAsia="Arial" w:hAnsi="Arial"/>
          <w:sz w:val="18"/>
          <w:szCs w:val="18"/>
          <w:color w:val="auto"/>
        </w:rPr>
        <w:t>For the years ended December 31, 2017 and 2016, no compensation was paid to related parties or former members of the Board of Directors.</w:t>
      </w:r>
    </w:p>
    <w:p>
      <w:pPr>
        <w:spacing w:after="0" w:line="16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Compensation for Members of Executive Management</w:t>
      </w:r>
    </w:p>
    <w:p>
      <w:pPr>
        <w:spacing w:after="0" w:line="212" w:lineRule="exact"/>
        <w:rPr>
          <w:sz w:val="20"/>
          <w:szCs w:val="20"/>
          <w:color w:val="auto"/>
        </w:rPr>
      </w:pPr>
    </w:p>
    <w:p>
      <w:pPr>
        <w:ind w:left="1080"/>
        <w:spacing w:after="0"/>
        <w:tabs>
          <w:tab w:leader="none" w:pos="1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Executive Management Composition</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Executive Management during 2017 was comprised of:</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0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Function</w:t>
            </w:r>
          </w:p>
        </w:tc>
        <w:tc>
          <w:tcPr>
            <w:tcW w:w="1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Appointment</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Andrea Pfeifer, PhD</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Executive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Andreas Muhs, PhD</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Scientific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2005</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Jörg Hornstein (1)</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Financial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Jean-Fabien Monin</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Administrative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2009</w:t>
            </w: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Executive Management during 2016 was comprised of:</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0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Function</w:t>
            </w:r>
          </w:p>
        </w:tc>
        <w:tc>
          <w:tcPr>
            <w:tcW w:w="1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Appointment</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Andrea Pfeifer, PhD</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Executive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2003</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Andreas Muhs, PhD</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Scientific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2005</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George Pavey</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Financial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22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Jean-Fabien Monin</w:t>
            </w:r>
          </w:p>
        </w:tc>
        <w:tc>
          <w:tcPr>
            <w:tcW w:w="30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Chief Administrative Officer</w:t>
            </w:r>
          </w:p>
        </w:tc>
        <w:tc>
          <w:tcPr>
            <w:tcW w:w="1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2009</w:t>
            </w: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 Mr. Jörg Hornstein was appointed Chief Financial in November 2016 effective April 1, 2017.</w:t>
      </w:r>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left="1360"/>
        <w:spacing w:after="0"/>
        <w:tabs>
          <w:tab w:leader="none" w:pos="1640" w:val="left"/>
        </w:tabs>
        <w:rPr>
          <w:sz w:val="20"/>
          <w:szCs w:val="20"/>
          <w:color w:val="auto"/>
        </w:rPr>
      </w:pPr>
      <w:r>
        <w:rPr>
          <w:rFonts w:ascii="Arial" w:cs="Arial" w:eastAsia="Arial" w:hAnsi="Arial"/>
          <w:sz w:val="18"/>
          <w:szCs w:val="18"/>
          <w:b w:val="1"/>
          <w:bCs w:val="1"/>
          <w:color w:val="auto"/>
        </w:rPr>
        <w:t>b.</w:t>
        <w:tab/>
        <w:t>Executive Compensation Principles</w:t>
      </w:r>
    </w:p>
    <w:p>
      <w:pPr>
        <w:spacing w:after="0" w:line="220" w:lineRule="exact"/>
        <w:rPr>
          <w:sz w:val="20"/>
          <w:szCs w:val="20"/>
          <w:color w:val="auto"/>
        </w:rPr>
      </w:pPr>
    </w:p>
    <w:p>
      <w:pPr>
        <w:ind w:left="380" w:right="460"/>
        <w:spacing w:after="0" w:line="246" w:lineRule="auto"/>
        <w:rPr>
          <w:sz w:val="20"/>
          <w:szCs w:val="20"/>
          <w:color w:val="auto"/>
        </w:rPr>
      </w:pPr>
      <w:r>
        <w:rPr>
          <w:rFonts w:ascii="Arial" w:cs="Arial" w:eastAsia="Arial" w:hAnsi="Arial"/>
          <w:sz w:val="18"/>
          <w:szCs w:val="18"/>
          <w:color w:val="auto"/>
        </w:rPr>
        <w:t>Each member of the Executive Management receives remuneration consisting of a base salary, incentive plan, social benefits and an equity incentive plan as described more fully in the annex to this report.</w:t>
      </w:r>
    </w:p>
    <w:p>
      <w:pPr>
        <w:spacing w:after="0" w:line="161" w:lineRule="exact"/>
        <w:rPr>
          <w:sz w:val="20"/>
          <w:szCs w:val="20"/>
          <w:color w:val="auto"/>
        </w:rPr>
      </w:pPr>
    </w:p>
    <w:p>
      <w:pPr>
        <w:ind w:left="1360"/>
        <w:spacing w:after="0"/>
        <w:tabs>
          <w:tab w:leader="none" w:pos="1640" w:val="left"/>
        </w:tabs>
        <w:rPr>
          <w:sz w:val="20"/>
          <w:szCs w:val="20"/>
          <w:color w:val="auto"/>
        </w:rPr>
      </w:pPr>
      <w:r>
        <w:rPr>
          <w:rFonts w:ascii="Arial" w:cs="Arial" w:eastAsia="Arial" w:hAnsi="Arial"/>
          <w:sz w:val="18"/>
          <w:szCs w:val="18"/>
          <w:b w:val="1"/>
          <w:bCs w:val="1"/>
          <w:color w:val="auto"/>
        </w:rPr>
        <w:t>c.</w:t>
        <w:tab/>
        <w:t>2017 and 2016 Executive Compensation</w:t>
      </w:r>
    </w:p>
    <w:p>
      <w:pPr>
        <w:spacing w:after="0" w:line="220" w:lineRule="exact"/>
        <w:rPr>
          <w:sz w:val="20"/>
          <w:szCs w:val="20"/>
          <w:color w:val="auto"/>
        </w:rPr>
      </w:pPr>
    </w:p>
    <w:p>
      <w:pPr>
        <w:ind w:left="380" w:right="840"/>
        <w:spacing w:after="0" w:line="246" w:lineRule="auto"/>
        <w:rPr>
          <w:sz w:val="20"/>
          <w:szCs w:val="20"/>
          <w:color w:val="auto"/>
        </w:rPr>
      </w:pPr>
      <w:r>
        <w:rPr>
          <w:rFonts w:ascii="Arial" w:cs="Arial" w:eastAsia="Arial" w:hAnsi="Arial"/>
          <w:sz w:val="18"/>
          <w:szCs w:val="18"/>
          <w:color w:val="auto"/>
        </w:rPr>
        <w:t>The total compensation of the Executive Management and the highest individual compensation of the members of the Executive Management for the years ended December 31, 2017 and 2016, respectively, are outlined below:</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amounts are in thousands of CHF</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840" w:type="dxa"/>
            <w:vAlign w:val="bottom"/>
            <w:tcBorders>
              <w:top w:val="single" w:sz="8" w:color="auto"/>
              <w:left w:val="single" w:sz="8" w:color="auto"/>
              <w:right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w:t>
            </w:r>
          </w:p>
        </w:tc>
        <w:tc>
          <w:tcPr>
            <w:tcW w:w="148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Name</w:t>
            </w:r>
          </w:p>
        </w:tc>
        <w:tc>
          <w:tcPr>
            <w:tcW w:w="2060" w:type="dxa"/>
            <w:vAlign w:val="bottom"/>
            <w:tcBorders>
              <w:top w:val="single" w:sz="8" w:color="auto"/>
              <w:right w:val="single" w:sz="8" w:color="auto"/>
            </w:tcBorders>
          </w:tcPr>
          <w:p>
            <w:pPr>
              <w:jc w:val="right"/>
              <w:ind w:right="730"/>
              <w:spacing w:after="0" w:line="194" w:lineRule="exact"/>
              <w:rPr>
                <w:sz w:val="20"/>
                <w:szCs w:val="20"/>
                <w:color w:val="auto"/>
              </w:rPr>
            </w:pPr>
            <w:r>
              <w:rPr>
                <w:rFonts w:ascii="Arial" w:cs="Arial" w:eastAsia="Arial" w:hAnsi="Arial"/>
                <w:sz w:val="18"/>
                <w:szCs w:val="18"/>
                <w:b w:val="1"/>
                <w:bCs w:val="1"/>
                <w:color w:val="auto"/>
              </w:rPr>
              <w:t>Cash</w:t>
            </w:r>
          </w:p>
        </w:tc>
        <w:tc>
          <w:tcPr>
            <w:tcW w:w="1480" w:type="dxa"/>
            <w:vAlign w:val="bottom"/>
            <w:tcBorders>
              <w:top w:val="single" w:sz="8" w:color="auto"/>
              <w:right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Other</w:t>
            </w:r>
          </w:p>
        </w:tc>
        <w:tc>
          <w:tcPr>
            <w:tcW w:w="1160" w:type="dxa"/>
            <w:vAlign w:val="bottom"/>
            <w:tcBorders>
              <w:top w:val="single" w:sz="8" w:color="auto"/>
              <w:right w:val="single" w:sz="8" w:color="auto"/>
            </w:tcBorders>
          </w:tcPr>
          <w:p>
            <w:pPr>
              <w:jc w:val="right"/>
              <w:ind w:right="150"/>
              <w:spacing w:after="0" w:line="194" w:lineRule="exact"/>
              <w:rPr>
                <w:sz w:val="20"/>
                <w:szCs w:val="20"/>
                <w:color w:val="auto"/>
              </w:rPr>
            </w:pPr>
            <w:r>
              <w:rPr>
                <w:rFonts w:ascii="Arial" w:cs="Arial" w:eastAsia="Arial" w:hAnsi="Arial"/>
                <w:sz w:val="18"/>
                <w:szCs w:val="18"/>
                <w:b w:val="1"/>
                <w:bCs w:val="1"/>
                <w:color w:val="auto"/>
              </w:rPr>
              <w:t>Pension</w:t>
            </w:r>
          </w:p>
        </w:tc>
        <w:tc>
          <w:tcPr>
            <w:tcW w:w="13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Employer’s</w:t>
            </w:r>
          </w:p>
        </w:tc>
        <w:tc>
          <w:tcPr>
            <w:tcW w:w="1000" w:type="dxa"/>
            <w:vAlign w:val="bottom"/>
            <w:tcBorders>
              <w:top w:val="single" w:sz="8" w:color="auto"/>
              <w:right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Cash</w:t>
            </w:r>
          </w:p>
        </w:tc>
        <w:tc>
          <w:tcPr>
            <w:tcW w:w="680" w:type="dxa"/>
            <w:vAlign w:val="bottom"/>
            <w:tcBorders>
              <w:top w:val="single" w:sz="8" w:color="auto"/>
              <w:right w:val="single" w:sz="8" w:color="auto"/>
            </w:tcBorders>
          </w:tcPr>
          <w:p>
            <w:pPr>
              <w:jc w:val="right"/>
              <w:ind w:right="50"/>
              <w:spacing w:after="0" w:line="194" w:lineRule="exact"/>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Equity FMV</w:t>
            </w: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Compensation</w:t>
            </w:r>
          </w:p>
        </w:tc>
        <w:tc>
          <w:tcPr>
            <w:tcW w:w="14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Compensation</w:t>
            </w:r>
          </w:p>
        </w:tc>
        <w:tc>
          <w:tcPr>
            <w:tcW w:w="116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(employer)</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7"/>
              </w:rPr>
              <w:t>Social</w:t>
            </w:r>
          </w:p>
        </w:tc>
        <w:tc>
          <w:tcPr>
            <w:tcW w:w="100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Bonus</w:t>
            </w: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excluding</w:t>
            </w: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Contribution</w:t>
            </w: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Social</w:t>
            </w: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Contributions</w:t>
            </w:r>
          </w:p>
        </w:tc>
      </w:tr>
      <w:tr>
        <w:trPr>
          <w:trHeight w:val="225"/>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(2) (3)</w:t>
            </w:r>
          </w:p>
        </w:tc>
      </w:tr>
      <w:tr>
        <w:trPr>
          <w:trHeight w:val="195"/>
        </w:trPr>
        <w:tc>
          <w:tcPr>
            <w:tcW w:w="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w:t>
            </w:r>
          </w:p>
        </w:tc>
        <w:tc>
          <w:tcPr>
            <w:tcW w:w="20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404</w:t>
            </w:r>
          </w:p>
        </w:tc>
        <w:tc>
          <w:tcPr>
            <w:tcW w:w="14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43</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408</w:t>
            </w:r>
          </w:p>
        </w:tc>
        <w:tc>
          <w:tcPr>
            <w:tcW w:w="6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943</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1,393</w:t>
            </w:r>
          </w:p>
        </w:tc>
      </w:tr>
      <w:tr>
        <w:trPr>
          <w:trHeight w:val="203"/>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Pfeifer, PhD</w:t>
            </w:r>
          </w:p>
        </w:tc>
        <w:tc>
          <w:tcPr>
            <w:tcW w:w="20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77"/>
        </w:trPr>
        <w:tc>
          <w:tcPr>
            <w:tcW w:w="84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148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Andrea</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350</w:t>
            </w:r>
          </w:p>
        </w:tc>
        <w:tc>
          <w:tcPr>
            <w:tcW w:w="148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28</w:t>
            </w:r>
          </w:p>
        </w:tc>
        <w:tc>
          <w:tcPr>
            <w:tcW w:w="11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52</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41</w:t>
            </w:r>
          </w:p>
        </w:tc>
        <w:tc>
          <w:tcPr>
            <w:tcW w:w="100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305</w:t>
            </w:r>
          </w:p>
        </w:tc>
        <w:tc>
          <w:tcPr>
            <w:tcW w:w="68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776</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r>
      <w:tr>
        <w:trPr>
          <w:trHeight w:val="221"/>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Pfeifer, PhD</w:t>
            </w:r>
          </w:p>
        </w:tc>
        <w:tc>
          <w:tcPr>
            <w:tcW w:w="2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196"/>
        </w:trPr>
        <w:tc>
          <w:tcPr>
            <w:tcW w:w="84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95"/>
        </w:trPr>
        <w:tc>
          <w:tcPr>
            <w:tcW w:w="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Total</w:t>
            </w:r>
          </w:p>
        </w:tc>
        <w:tc>
          <w:tcPr>
            <w:tcW w:w="20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1,206</w:t>
            </w:r>
          </w:p>
        </w:tc>
        <w:tc>
          <w:tcPr>
            <w:tcW w:w="14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70</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166</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106</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680</w:t>
            </w:r>
          </w:p>
        </w:tc>
        <w:tc>
          <w:tcPr>
            <w:tcW w:w="6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2,228</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2,771</w:t>
            </w: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Management</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03"/>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Compensation</w:t>
            </w:r>
          </w:p>
        </w:tc>
        <w:tc>
          <w:tcPr>
            <w:tcW w:w="20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77"/>
        </w:trPr>
        <w:tc>
          <w:tcPr>
            <w:tcW w:w="84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148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Total</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1,080</w:t>
            </w:r>
          </w:p>
        </w:tc>
        <w:tc>
          <w:tcPr>
            <w:tcW w:w="148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52</w:t>
            </w:r>
          </w:p>
        </w:tc>
        <w:tc>
          <w:tcPr>
            <w:tcW w:w="11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154</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98</w:t>
            </w:r>
          </w:p>
        </w:tc>
        <w:tc>
          <w:tcPr>
            <w:tcW w:w="100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526</w:t>
            </w:r>
          </w:p>
        </w:tc>
        <w:tc>
          <w:tcPr>
            <w:tcW w:w="68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1,910</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674</w:t>
            </w: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548DD4"/>
              </w:rPr>
              <w:t>Executive</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548DD4"/>
              </w:rPr>
              <w:t>Management</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21"/>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Compensation</w:t>
            </w:r>
          </w:p>
        </w:tc>
        <w:tc>
          <w:tcPr>
            <w:tcW w:w="2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bl>
    <w:p>
      <w:pPr>
        <w:spacing w:after="0" w:line="215" w:lineRule="exact"/>
        <w:rPr>
          <w:sz w:val="20"/>
          <w:szCs w:val="20"/>
          <w:color w:val="auto"/>
        </w:rPr>
      </w:pPr>
    </w:p>
    <w:p>
      <w:pPr>
        <w:ind w:left="1340" w:right="260" w:hanging="306"/>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exclude social charges related to the exercise of options in the amount of CHF 25K in the aggregate for Executive Management in 2017, and of CHF 253K for Andrea Pfeifer and CHF 333K in the aggregate for Executive Management, in 2016.</w:t>
      </w:r>
    </w:p>
    <w:p>
      <w:pPr>
        <w:spacing w:after="0" w:line="189" w:lineRule="exact"/>
        <w:rPr>
          <w:rFonts w:ascii="Arial" w:cs="Arial" w:eastAsia="Arial" w:hAnsi="Arial"/>
          <w:sz w:val="18"/>
          <w:szCs w:val="18"/>
          <w:color w:val="auto"/>
        </w:rPr>
      </w:pPr>
    </w:p>
    <w:p>
      <w:pPr>
        <w:ind w:left="1340" w:right="300" w:hanging="306"/>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options granted are valued using the Black-Scholes model. We estimate the fair value of non-vested stock awards (restricted shares and restricted share units) using a reasonable estimate of market value of the common stock on the date of the award.</w:t>
      </w:r>
    </w:p>
    <w:p>
      <w:pPr>
        <w:spacing w:after="0" w:line="189" w:lineRule="exact"/>
        <w:rPr>
          <w:rFonts w:ascii="Arial" w:cs="Arial" w:eastAsia="Arial" w:hAnsi="Arial"/>
          <w:sz w:val="18"/>
          <w:szCs w:val="18"/>
          <w:color w:val="auto"/>
        </w:rPr>
      </w:pPr>
    </w:p>
    <w:p>
      <w:pPr>
        <w:ind w:left="1340" w:hanging="306"/>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Fair market value (FMV) excludes social charges.</w:t>
      </w:r>
    </w:p>
    <w:p>
      <w:pPr>
        <w:spacing w:after="0" w:line="176"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d.  Loans, Severance or other Compensation Paid to Members or Former Members of the Executive Management</w:t>
      </w:r>
    </w:p>
    <w:p>
      <w:pPr>
        <w:spacing w:after="0" w:line="220" w:lineRule="exact"/>
        <w:rPr>
          <w:sz w:val="20"/>
          <w:szCs w:val="20"/>
          <w:color w:val="auto"/>
        </w:rPr>
      </w:pPr>
    </w:p>
    <w:p>
      <w:pPr>
        <w:ind w:left="380" w:right="760"/>
        <w:spacing w:after="0" w:line="246" w:lineRule="auto"/>
        <w:rPr>
          <w:sz w:val="20"/>
          <w:szCs w:val="20"/>
          <w:color w:val="auto"/>
        </w:rPr>
      </w:pPr>
      <w:r>
        <w:rPr>
          <w:rFonts w:ascii="Arial" w:cs="Arial" w:eastAsia="Arial" w:hAnsi="Arial"/>
          <w:sz w:val="18"/>
          <w:szCs w:val="18"/>
          <w:color w:val="auto"/>
        </w:rPr>
        <w:t>For the years end December 31, 2017 and 2016 the Company granted no loans to members or former members of the Executive Management. Additionally, as of December 31, 2017 and 2016, no such loans or</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left="520" w:right="880"/>
        <w:spacing w:after="0" w:line="246" w:lineRule="auto"/>
        <w:rPr>
          <w:sz w:val="20"/>
          <w:szCs w:val="20"/>
          <w:color w:val="auto"/>
        </w:rPr>
      </w:pPr>
      <w:r>
        <w:rPr>
          <w:rFonts w:ascii="Arial" w:cs="Arial" w:eastAsia="Arial" w:hAnsi="Arial"/>
          <w:sz w:val="18"/>
          <w:szCs w:val="18"/>
          <w:color w:val="auto"/>
        </w:rPr>
        <w:t>credit payments existed to present or former members of the Executive Management, or to related parties of present or former members of the Executive Management.</w:t>
      </w:r>
    </w:p>
    <w:p>
      <w:pPr>
        <w:spacing w:after="0" w:line="183" w:lineRule="exact"/>
        <w:rPr>
          <w:sz w:val="20"/>
          <w:szCs w:val="20"/>
          <w:color w:val="auto"/>
        </w:rPr>
      </w:pPr>
    </w:p>
    <w:p>
      <w:pPr>
        <w:ind w:left="520" w:right="360"/>
        <w:spacing w:after="0" w:line="246" w:lineRule="auto"/>
        <w:rPr>
          <w:sz w:val="20"/>
          <w:szCs w:val="20"/>
          <w:color w:val="auto"/>
        </w:rPr>
      </w:pPr>
      <w:r>
        <w:rPr>
          <w:rFonts w:ascii="Arial" w:cs="Arial" w:eastAsia="Arial" w:hAnsi="Arial"/>
          <w:sz w:val="18"/>
          <w:szCs w:val="18"/>
          <w:color w:val="auto"/>
        </w:rPr>
        <w:t>For the years ended December 31, 2017 and 2016 no compensation was paid to related parties of present or former members of the Executive Management.</w:t>
      </w:r>
    </w:p>
    <w:p>
      <w:pPr>
        <w:spacing w:after="0" w:line="161" w:lineRule="exact"/>
        <w:rPr>
          <w:sz w:val="20"/>
          <w:szCs w:val="20"/>
          <w:color w:val="auto"/>
        </w:rPr>
      </w:pPr>
    </w:p>
    <w:p>
      <w:pPr>
        <w:ind w:left="840"/>
        <w:spacing w:after="0"/>
        <w:tabs>
          <w:tab w:leader="none" w:pos="11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Equity Incentive Plans of the Board of Directors and the Executive Management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4F81BD"/>
        </w:rPr>
        <w:t>Board of Directors and Executive Management Equity Incentive Plan Summary</w:t>
      </w:r>
    </w:p>
    <w:p>
      <w:pPr>
        <w:spacing w:after="0" w:line="220" w:lineRule="exact"/>
        <w:rPr>
          <w:sz w:val="20"/>
          <w:szCs w:val="20"/>
          <w:color w:val="auto"/>
        </w:rPr>
      </w:pPr>
    </w:p>
    <w:p>
      <w:pPr>
        <w:ind w:left="520" w:right="500"/>
        <w:spacing w:after="0" w:line="246" w:lineRule="auto"/>
        <w:rPr>
          <w:sz w:val="20"/>
          <w:szCs w:val="20"/>
          <w:color w:val="auto"/>
        </w:rPr>
      </w:pPr>
      <w:r>
        <w:rPr>
          <w:rFonts w:ascii="Arial" w:cs="Arial" w:eastAsia="Arial" w:hAnsi="Arial"/>
          <w:sz w:val="18"/>
          <w:szCs w:val="18"/>
          <w:color w:val="auto"/>
        </w:rPr>
        <w:t>The Members of the Board of Directors and Executive Management held the following equity instruments as of December 31, 2017 and 2016:</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4F81BD"/>
        </w:rPr>
        <w:t xml:space="preserve">Investments held by members of the Board of Directors </w:t>
      </w:r>
      <w:r>
        <w:rPr>
          <w:rFonts w:ascii="Arial" w:cs="Arial" w:eastAsia="Arial" w:hAnsi="Arial"/>
          <w:sz w:val="30"/>
          <w:szCs w:val="30"/>
          <w:b w:val="1"/>
          <w:bCs w:val="1"/>
          <w:i w:val="1"/>
          <w:iCs w:val="1"/>
          <w:color w:val="4F81BD"/>
          <w:vertAlign w:val="superscript"/>
        </w:rPr>
        <w:t>(1)</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720" w:type="dxa"/>
            <w:vAlign w:val="bottom"/>
            <w:tcBorders>
              <w:top w:val="single" w:sz="8" w:color="auto"/>
              <w:left w:val="single" w:sz="8" w:color="auto"/>
              <w:right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w:t>
            </w:r>
          </w:p>
        </w:tc>
        <w:tc>
          <w:tcPr>
            <w:tcW w:w="422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Name</w:t>
            </w:r>
          </w:p>
        </w:tc>
        <w:tc>
          <w:tcPr>
            <w:tcW w:w="1160" w:type="dxa"/>
            <w:vAlign w:val="bottom"/>
            <w:tcBorders>
              <w:top w:val="single" w:sz="8" w:color="auto"/>
              <w:right w:val="single" w:sz="8" w:color="auto"/>
            </w:tcBorders>
          </w:tcPr>
          <w:p>
            <w:pPr>
              <w:ind w:left="180"/>
              <w:spacing w:after="0" w:line="194" w:lineRule="exact"/>
              <w:rPr>
                <w:sz w:val="20"/>
                <w:szCs w:val="20"/>
                <w:color w:val="auto"/>
              </w:rPr>
            </w:pPr>
            <w:r>
              <w:rPr>
                <w:rFonts w:ascii="Arial" w:cs="Arial" w:eastAsia="Arial" w:hAnsi="Arial"/>
                <w:sz w:val="18"/>
                <w:szCs w:val="18"/>
                <w:b w:val="1"/>
                <w:bCs w:val="1"/>
                <w:color w:val="auto"/>
              </w:rPr>
              <w:t>Function</w:t>
            </w:r>
          </w:p>
        </w:tc>
        <w:tc>
          <w:tcPr>
            <w:tcW w:w="12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Number</w:t>
            </w:r>
          </w:p>
        </w:tc>
        <w:tc>
          <w:tcPr>
            <w:tcW w:w="12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Number</w:t>
            </w:r>
          </w:p>
        </w:tc>
        <w:tc>
          <w:tcPr>
            <w:tcW w:w="13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Number of</w:t>
            </w:r>
          </w:p>
        </w:tc>
        <w:tc>
          <w:tcPr>
            <w:tcW w:w="14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Number of</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Restricted</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Restricted</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Options</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7"/>
              </w:rPr>
              <w:t>Units</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Awards</w:t>
            </w:r>
          </w:p>
        </w:tc>
      </w:tr>
      <w:tr>
        <w:trPr>
          <w:trHeight w:val="225"/>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Martin Velasco</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Chairman</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469,250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10,250</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5,875</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Martin Velasco (2)(3)</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i w:val="1"/>
                <w:iCs w:val="1"/>
                <w:color w:val="548DD4"/>
              </w:rPr>
              <w:t>Chairman</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964,500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10,250</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Peter Bollmann, PhD</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5,875</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Peter Bollmann, PhD</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i w:val="1"/>
                <w:iCs w:val="1"/>
                <w:color w:val="548DD4"/>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Thomas Graney</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1,343</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5,875</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2,680</w:t>
            </w: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Thomas Graney</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i w:val="1"/>
                <w:iCs w:val="1"/>
                <w:color w:val="548DD4"/>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2017</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Detlev Riesner, PhD (2)</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759,000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5,875</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Detlev Riesner, PhD (2)</w:t>
            </w:r>
          </w:p>
        </w:tc>
        <w:tc>
          <w:tcPr>
            <w:tcW w:w="11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i w:val="1"/>
                <w:iCs w:val="1"/>
                <w:color w:val="548DD4"/>
              </w:rPr>
              <w:t>Director</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764,000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5,000</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95"/>
        </w:trPr>
        <w:tc>
          <w:tcPr>
            <w:tcW w:w="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42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Friedrich von Bohlen und Halbach,</w:t>
            </w:r>
          </w:p>
        </w:tc>
        <w:tc>
          <w:tcPr>
            <w:tcW w:w="11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Director</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78,750</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5,875</w:t>
            </w:r>
          </w:p>
        </w:tc>
        <w:tc>
          <w:tcPr>
            <w:tcW w:w="14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03"/>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PhD</w:t>
            </w:r>
          </w:p>
        </w:tc>
        <w:tc>
          <w:tcPr>
            <w:tcW w:w="11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77"/>
        </w:trPr>
        <w:tc>
          <w:tcPr>
            <w:tcW w:w="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Friedrich von Bohlen und Halbach,</w:t>
            </w:r>
          </w:p>
        </w:tc>
        <w:tc>
          <w:tcPr>
            <w:tcW w:w="11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i w:val="1"/>
                <w:iCs w:val="1"/>
                <w:color w:val="548DD4"/>
              </w:rPr>
              <w:t>Director</w:t>
            </w:r>
          </w:p>
        </w:tc>
        <w:tc>
          <w:tcPr>
            <w:tcW w:w="12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78,750</w:t>
            </w:r>
          </w:p>
        </w:tc>
        <w:tc>
          <w:tcPr>
            <w:tcW w:w="12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4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r>
      <w:tr>
        <w:trPr>
          <w:trHeight w:val="221"/>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PhD</w:t>
            </w:r>
          </w:p>
        </w:tc>
        <w:tc>
          <w:tcPr>
            <w:tcW w:w="11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77"/>
        </w:trPr>
        <w:tc>
          <w:tcPr>
            <w:tcW w:w="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422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Board Member – Departing (Mathias</w:t>
            </w:r>
          </w:p>
        </w:tc>
        <w:tc>
          <w:tcPr>
            <w:tcW w:w="116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i w:val="1"/>
                <w:iCs w:val="1"/>
                <w:color w:val="548DD4"/>
              </w:rPr>
              <w:t>Director</w:t>
            </w:r>
          </w:p>
        </w:tc>
        <w:tc>
          <w:tcPr>
            <w:tcW w:w="12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36,500</w:t>
            </w:r>
          </w:p>
        </w:tc>
        <w:tc>
          <w:tcPr>
            <w:tcW w:w="12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4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r>
      <w:tr>
        <w:trPr>
          <w:trHeight w:val="221"/>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Hothum)</w:t>
            </w:r>
          </w:p>
        </w:tc>
        <w:tc>
          <w:tcPr>
            <w:tcW w:w="11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2017</w:t>
            </w:r>
          </w:p>
        </w:tc>
        <w:tc>
          <w:tcPr>
            <w:tcW w:w="11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1,308,343</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10,250</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29,375</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2,680</w:t>
            </w:r>
          </w:p>
        </w:tc>
      </w:tr>
      <w:tr>
        <w:trPr>
          <w:trHeight w:val="196"/>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Total 2016</w:t>
            </w:r>
          </w:p>
        </w:tc>
        <w:tc>
          <w:tcPr>
            <w:tcW w:w="11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1,843,750</w:t>
            </w:r>
          </w:p>
        </w:tc>
        <w:tc>
          <w:tcPr>
            <w:tcW w:w="1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15,250</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bl>
    <w:p>
      <w:pPr>
        <w:spacing w:after="0" w:line="211" w:lineRule="exact"/>
        <w:rPr>
          <w:sz w:val="20"/>
          <w:szCs w:val="20"/>
          <w:color w:val="auto"/>
        </w:rPr>
      </w:pPr>
    </w:p>
    <w:p>
      <w:pPr>
        <w:ind w:left="780" w:hanging="2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Excluding Andrea Pfeifer, CEO, whose holdings are listed under Executive Management.</w:t>
      </w:r>
    </w:p>
    <w:p>
      <w:pPr>
        <w:ind w:left="780" w:hanging="2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shares held directly and indirectly through vehicles controlled by the Director.</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left="520" w:right="860" w:hanging="7"/>
        <w:spacing w:after="0" w:line="234"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portion of the shares correspond to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780" w:hanging="272"/>
        <w:spacing w:after="0" w:line="234"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unvested Restricted Share Units were awarded in 2017 and fully vest in 2018.</w:t>
      </w:r>
    </w:p>
    <w:p>
      <w:pPr>
        <w:ind w:left="780" w:hanging="272"/>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Unvested Restricted Share Award balance as of December 31, 2017.</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4F81BD"/>
        </w:rPr>
        <w:t>Investments held by members of the Executive Management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720" w:type="dxa"/>
            <w:vAlign w:val="bottom"/>
            <w:tcBorders>
              <w:top w:val="single" w:sz="8" w:color="auto"/>
              <w:left w:val="single" w:sz="8" w:color="auto"/>
              <w:right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w:t>
            </w:r>
          </w:p>
        </w:tc>
        <w:tc>
          <w:tcPr>
            <w:tcW w:w="184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Name</w:t>
            </w:r>
          </w:p>
        </w:tc>
        <w:tc>
          <w:tcPr>
            <w:tcW w:w="2640" w:type="dxa"/>
            <w:vAlign w:val="bottom"/>
            <w:tcBorders>
              <w:top w:val="single" w:sz="8" w:color="auto"/>
              <w:right w:val="single" w:sz="8" w:color="auto"/>
            </w:tcBorders>
          </w:tcPr>
          <w:p>
            <w:pPr>
              <w:ind w:left="920"/>
              <w:spacing w:after="0" w:line="194" w:lineRule="exact"/>
              <w:rPr>
                <w:sz w:val="20"/>
                <w:szCs w:val="20"/>
                <w:color w:val="auto"/>
              </w:rPr>
            </w:pPr>
            <w:r>
              <w:rPr>
                <w:rFonts w:ascii="Arial" w:cs="Arial" w:eastAsia="Arial" w:hAnsi="Arial"/>
                <w:sz w:val="18"/>
                <w:szCs w:val="18"/>
                <w:b w:val="1"/>
                <w:bCs w:val="1"/>
                <w:color w:val="auto"/>
              </w:rPr>
              <w:t>Function</w:t>
            </w:r>
          </w:p>
        </w:tc>
        <w:tc>
          <w:tcPr>
            <w:tcW w:w="1120" w:type="dxa"/>
            <w:vAlign w:val="bottom"/>
            <w:tcBorders>
              <w:top w:val="single" w:sz="8" w:color="auto"/>
              <w:right w:val="single" w:sz="8" w:color="auto"/>
            </w:tcBorders>
          </w:tcPr>
          <w:p>
            <w:pPr>
              <w:jc w:val="right"/>
              <w:ind w:right="30"/>
              <w:spacing w:after="0" w:line="194" w:lineRule="exact"/>
              <w:rPr>
                <w:sz w:val="20"/>
                <w:szCs w:val="20"/>
                <w:color w:val="auto"/>
              </w:rPr>
            </w:pPr>
            <w:r>
              <w:rPr>
                <w:rFonts w:ascii="Arial" w:cs="Arial" w:eastAsia="Arial" w:hAnsi="Arial"/>
                <w:sz w:val="18"/>
                <w:szCs w:val="18"/>
                <w:b w:val="1"/>
                <w:bCs w:val="1"/>
                <w:color w:val="auto"/>
              </w:rPr>
              <w:t>Number of</w:t>
            </w:r>
          </w:p>
        </w:tc>
        <w:tc>
          <w:tcPr>
            <w:tcW w:w="1240" w:type="dxa"/>
            <w:vAlign w:val="bottom"/>
            <w:tcBorders>
              <w:top w:val="single" w:sz="8" w:color="auto"/>
              <w:right w:val="single" w:sz="8" w:color="auto"/>
            </w:tcBorders>
          </w:tcPr>
          <w:p>
            <w:pPr>
              <w:jc w:val="right"/>
              <w:ind w:right="130"/>
              <w:spacing w:after="0" w:line="194" w:lineRule="exact"/>
              <w:rPr>
                <w:sz w:val="20"/>
                <w:szCs w:val="20"/>
                <w:color w:val="auto"/>
              </w:rPr>
            </w:pPr>
            <w:r>
              <w:rPr>
                <w:rFonts w:ascii="Arial" w:cs="Arial" w:eastAsia="Arial" w:hAnsi="Arial"/>
                <w:sz w:val="18"/>
                <w:szCs w:val="18"/>
                <w:b w:val="1"/>
                <w:bCs w:val="1"/>
                <w:color w:val="auto"/>
              </w:rPr>
              <w:t>Options –</w:t>
            </w:r>
          </w:p>
        </w:tc>
        <w:tc>
          <w:tcPr>
            <w:tcW w:w="1160" w:type="dxa"/>
            <w:vAlign w:val="bottom"/>
            <w:tcBorders>
              <w:top w:val="single" w:sz="8" w:color="auto"/>
              <w:right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Options -</w:t>
            </w:r>
          </w:p>
        </w:tc>
        <w:tc>
          <w:tcPr>
            <w:tcW w:w="13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Restricted</w:t>
            </w:r>
          </w:p>
        </w:tc>
        <w:tc>
          <w:tcPr>
            <w:tcW w:w="13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Restricted</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Shares</w:t>
            </w:r>
          </w:p>
        </w:tc>
        <w:tc>
          <w:tcPr>
            <w:tcW w:w="1240" w:type="dxa"/>
            <w:vAlign w:val="bottom"/>
            <w:tcBorders>
              <w:right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Vested</w:t>
            </w:r>
          </w:p>
        </w:tc>
        <w:tc>
          <w:tcPr>
            <w:tcW w:w="1160" w:type="dxa"/>
            <w:vAlign w:val="bottom"/>
            <w:tcBorders>
              <w:right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Unvested</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Stock Units –</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Stock Units –</w:t>
            </w:r>
          </w:p>
        </w:tc>
      </w:tr>
      <w:tr>
        <w:trPr>
          <w:trHeight w:val="239"/>
        </w:trPr>
        <w:tc>
          <w:tcPr>
            <w:tcW w:w="720" w:type="dxa"/>
            <w:vAlign w:val="bottom"/>
            <w:tcBorders>
              <w:left w:val="single" w:sz="8" w:color="auto"/>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Unvested</w:t>
            </w:r>
          </w:p>
        </w:tc>
      </w:tr>
      <w:tr>
        <w:trPr>
          <w:trHeight w:val="189"/>
        </w:trPr>
        <w:tc>
          <w:tcPr>
            <w:tcW w:w="720" w:type="dxa"/>
            <w:vAlign w:val="bottom"/>
            <w:tcBorders>
              <w:left w:val="single" w:sz="8" w:color="auto"/>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195"/>
        </w:trPr>
        <w:tc>
          <w:tcPr>
            <w:tcW w:w="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 Pfeifer,</w:t>
            </w:r>
          </w:p>
        </w:tc>
        <w:tc>
          <w:tcPr>
            <w:tcW w:w="26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Chief Executive</w:t>
            </w:r>
          </w:p>
        </w:tc>
        <w:tc>
          <w:tcPr>
            <w:tcW w:w="11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2,596,809</w:t>
            </w:r>
          </w:p>
        </w:tc>
        <w:tc>
          <w:tcPr>
            <w:tcW w:w="12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174,426</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96,385</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4,284</w:t>
            </w:r>
          </w:p>
        </w:tc>
        <w:tc>
          <w:tcPr>
            <w:tcW w:w="1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64,257</w:t>
            </w:r>
          </w:p>
        </w:tc>
      </w:tr>
      <w:tr>
        <w:trPr>
          <w:trHeight w:val="203"/>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PhD (1)</w:t>
            </w:r>
          </w:p>
        </w:tc>
        <w:tc>
          <w:tcPr>
            <w:tcW w:w="26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77"/>
        </w:trPr>
        <w:tc>
          <w:tcPr>
            <w:tcW w:w="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18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Andrea Pfeifer,</w:t>
            </w:r>
          </w:p>
        </w:tc>
        <w:tc>
          <w:tcPr>
            <w:tcW w:w="26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Chief Executive</w:t>
            </w:r>
          </w:p>
        </w:tc>
        <w:tc>
          <w:tcPr>
            <w:tcW w:w="112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2,908,500</w:t>
            </w:r>
          </w:p>
        </w:tc>
        <w:tc>
          <w:tcPr>
            <w:tcW w:w="12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168,000</w:t>
            </w:r>
          </w:p>
        </w:tc>
        <w:tc>
          <w:tcPr>
            <w:tcW w:w="11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40" w:type="dxa"/>
            <w:vAlign w:val="bottom"/>
            <w:tcBorders>
              <w:right w:val="single" w:sz="8" w:color="auto"/>
            </w:tcBorders>
          </w:tcPr>
          <w:p>
            <w:pPr>
              <w:spacing w:after="0"/>
              <w:rPr>
                <w:sz w:val="15"/>
                <w:szCs w:val="15"/>
                <w:color w:val="auto"/>
              </w:rPr>
            </w:pPr>
          </w:p>
        </w:tc>
      </w:tr>
      <w:tr>
        <w:trPr>
          <w:trHeight w:val="221"/>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PhD (1)</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5"/>
        </w:trPr>
        <w:tc>
          <w:tcPr>
            <w:tcW w:w="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Jörg Hornstein</w:t>
            </w:r>
          </w:p>
        </w:tc>
        <w:tc>
          <w:tcPr>
            <w:tcW w:w="26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Chief Financial</w:t>
            </w:r>
          </w:p>
        </w:tc>
        <w:tc>
          <w:tcPr>
            <w:tcW w:w="11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14,248</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99,733</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03"/>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5"/>
        </w:trPr>
        <w:tc>
          <w:tcPr>
            <w:tcW w:w="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Andreas Muhs,</w:t>
            </w:r>
          </w:p>
        </w:tc>
        <w:tc>
          <w:tcPr>
            <w:tcW w:w="26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Chief Scientific</w:t>
            </w:r>
          </w:p>
        </w:tc>
        <w:tc>
          <w:tcPr>
            <w:tcW w:w="11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475,050</w:t>
            </w:r>
          </w:p>
        </w:tc>
        <w:tc>
          <w:tcPr>
            <w:tcW w:w="12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318,892</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32,128</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1,428</w:t>
            </w:r>
          </w:p>
        </w:tc>
        <w:tc>
          <w:tcPr>
            <w:tcW w:w="1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21,419</w:t>
            </w:r>
          </w:p>
        </w:tc>
      </w:tr>
      <w:tr>
        <w:trPr>
          <w:trHeight w:val="203"/>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PhD</w:t>
            </w:r>
          </w:p>
        </w:tc>
        <w:tc>
          <w:tcPr>
            <w:tcW w:w="26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77"/>
        </w:trPr>
        <w:tc>
          <w:tcPr>
            <w:tcW w:w="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18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Andreas Muhs,</w:t>
            </w:r>
          </w:p>
        </w:tc>
        <w:tc>
          <w:tcPr>
            <w:tcW w:w="26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Chief Scientific</w:t>
            </w:r>
          </w:p>
        </w:tc>
        <w:tc>
          <w:tcPr>
            <w:tcW w:w="112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581,750</w:t>
            </w:r>
          </w:p>
        </w:tc>
        <w:tc>
          <w:tcPr>
            <w:tcW w:w="12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316,750</w:t>
            </w:r>
          </w:p>
        </w:tc>
        <w:tc>
          <w:tcPr>
            <w:tcW w:w="11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r>
      <w:tr>
        <w:trPr>
          <w:trHeight w:val="221"/>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PhD</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5"/>
        </w:trPr>
        <w:tc>
          <w:tcPr>
            <w:tcW w:w="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2017</w:t>
            </w:r>
          </w:p>
        </w:tc>
        <w:tc>
          <w:tcPr>
            <w:tcW w:w="1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Jean-Fabien</w:t>
            </w:r>
          </w:p>
        </w:tc>
        <w:tc>
          <w:tcPr>
            <w:tcW w:w="26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Chief</w:t>
            </w:r>
          </w:p>
        </w:tc>
        <w:tc>
          <w:tcPr>
            <w:tcW w:w="11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275,000</w:t>
            </w:r>
          </w:p>
        </w:tc>
        <w:tc>
          <w:tcPr>
            <w:tcW w:w="12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52,928</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6,426</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286</w:t>
            </w:r>
          </w:p>
        </w:tc>
        <w:tc>
          <w:tcPr>
            <w:tcW w:w="1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4,283</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Monin</w:t>
            </w:r>
          </w:p>
        </w:tc>
        <w:tc>
          <w:tcPr>
            <w:tcW w:w="26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Administrative</w:t>
            </w: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03"/>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77"/>
        </w:trPr>
        <w:tc>
          <w:tcPr>
            <w:tcW w:w="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i w:val="1"/>
                <w:iCs w:val="1"/>
                <w:color w:val="548DD4"/>
              </w:rPr>
              <w:t>2016</w:t>
            </w:r>
          </w:p>
        </w:tc>
        <w:tc>
          <w:tcPr>
            <w:tcW w:w="18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Jean-Fabien</w:t>
            </w:r>
          </w:p>
        </w:tc>
        <w:tc>
          <w:tcPr>
            <w:tcW w:w="26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i w:val="1"/>
                <w:iCs w:val="1"/>
                <w:color w:val="548DD4"/>
              </w:rPr>
              <w:t>Chief</w:t>
            </w:r>
          </w:p>
        </w:tc>
        <w:tc>
          <w:tcPr>
            <w:tcW w:w="112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265,000</w:t>
            </w:r>
          </w:p>
        </w:tc>
        <w:tc>
          <w:tcPr>
            <w:tcW w:w="12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62,500</w:t>
            </w:r>
          </w:p>
        </w:tc>
        <w:tc>
          <w:tcPr>
            <w:tcW w:w="11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c>
          <w:tcPr>
            <w:tcW w:w="13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548DD4"/>
              </w:rPr>
              <w:t>-</w:t>
            </w:r>
          </w:p>
        </w:tc>
      </w:tr>
      <w:tr>
        <w:trPr>
          <w:trHeight w:val="203"/>
        </w:trPr>
        <w:tc>
          <w:tcPr>
            <w:tcW w:w="72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548DD4"/>
              </w:rPr>
              <w:t>Monin</w:t>
            </w:r>
          </w:p>
        </w:tc>
        <w:tc>
          <w:tcPr>
            <w:tcW w:w="26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548DD4"/>
              </w:rPr>
              <w:t>Administrative</w:t>
            </w: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21"/>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2017</w:t>
            </w:r>
          </w:p>
        </w:tc>
        <w:tc>
          <w:tcPr>
            <w:tcW w:w="26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3,346,859</w:t>
            </w: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560,494</w:t>
            </w:r>
          </w:p>
        </w:tc>
        <w:tc>
          <w:tcPr>
            <w:tcW w:w="11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234,672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5,998</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89,959</w:t>
            </w:r>
          </w:p>
        </w:tc>
      </w:tr>
      <w:tr>
        <w:trPr>
          <w:trHeight w:val="196"/>
        </w:trPr>
        <w:tc>
          <w:tcPr>
            <w:tcW w:w="72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i w:val="1"/>
                <w:iCs w:val="1"/>
                <w:color w:val="548DD4"/>
              </w:rPr>
              <w:t>Total 2016</w:t>
            </w:r>
          </w:p>
        </w:tc>
        <w:tc>
          <w:tcPr>
            <w:tcW w:w="26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3,755,250</w:t>
            </w:r>
          </w:p>
        </w:tc>
        <w:tc>
          <w:tcPr>
            <w:tcW w:w="1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592,250(2)</w:t>
            </w:r>
          </w:p>
        </w:tc>
        <w:tc>
          <w:tcPr>
            <w:tcW w:w="11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49,250(2)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c>
          <w:tcPr>
            <w:tcW w:w="1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548DD4"/>
              </w:rPr>
              <w:t>-</w:t>
            </w:r>
          </w:p>
        </w:tc>
      </w:tr>
    </w:tbl>
    <w:p>
      <w:pPr>
        <w:spacing w:after="0" w:line="215" w:lineRule="exact"/>
        <w:rPr>
          <w:sz w:val="20"/>
          <w:szCs w:val="20"/>
          <w:color w:val="auto"/>
        </w:rPr>
      </w:pPr>
    </w:p>
    <w:p>
      <w:pPr>
        <w:ind w:left="1020" w:right="620" w:hanging="310"/>
        <w:spacing w:after="0" w:line="234"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portion of the shares correspond to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1020" w:hanging="310"/>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2016 totals include 45,000 and 49,250 vested and unvested options, respectively, for the former Chief Financial Officer.</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4F81BD"/>
        </w:rPr>
        <w:t>Compensation of Current and Former Members of the Board and Executive Management</w:t>
      </w:r>
    </w:p>
    <w:p>
      <w:pPr>
        <w:spacing w:after="0" w:line="396"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In connection with options exercised in 2017 and 2016 by current and former members of the Board and Executive Management, AC Immune paid social contributions, in accordance with applicable laws, on the gain resulting from the difference in exercise price and fair value of the shares at the time of the exercise. With regard to the former Board and Executive Management members, AC Immune paid a total of CHF 63K and CHF 156K in 2017 and 2016, respectively. With regard to the current Board and Executive Management members, AC Immune paid a total of CHF 11K and CHF 453K in 2017 and 2016, respectively.</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6" w:name="page37"/>
    <w:bookmarkEnd w:id="36"/>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Annex to the Report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365F91"/>
        </w:rPr>
        <w:t>Compensation Philosophy, Principles and Governance</w:t>
      </w:r>
    </w:p>
    <w:p>
      <w:pPr>
        <w:spacing w:after="0" w:line="22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AC Immune’s values as “A leader in AD Drug Development” are driven by passion to win, innovation, entrepreneurship, team spirit, modesty, communication and leadership. The Company aims to attract “world class” professionals and strives for growth, achievement and success. The Company’s values are an essential component of its strategy and key drivers of the Company’s performance.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 Immune's compensation policy is designed to attract, motivate and retain talent in order to support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management with the interests of the Company and its shareholders. In addition, compensation elements are focused on rewarding the delivery of outstanding and sustainable results without inappropriate risk-taking.</w:t>
      </w:r>
    </w:p>
    <w:p>
      <w:pPr>
        <w:spacing w:after="0" w:line="18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In 2016, the Company had engaged a reputable compensation and performance expert firm to benchmark the compensation level and structure for the members of the Board and Executive Management. The analysis included compensation data of the comparable Pharma/Biopharma companies, including several U.S.-based companies. The Board came to the conclusion that adjustments to the compensation were required in order for AC Immune to remain a competitive employer.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Method of Determining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The Role and Powers of the Compensation, Nomination and Corporate Governance Committee “CNC”</w:t>
      </w:r>
    </w:p>
    <w:p>
      <w:pPr>
        <w:spacing w:after="0" w:line="18"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The CNC consists of three (3) members, who are appointed by the Annual Shareholders' Meeting and the committee enacts its own charter.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243F60"/>
        </w:rPr>
        <w:t>Compensation Guidelines:</w:t>
      </w:r>
    </w:p>
    <w:p>
      <w:pPr>
        <w:ind w:right="220"/>
        <w:spacing w:after="0" w:line="246" w:lineRule="auto"/>
        <w:rPr>
          <w:sz w:val="20"/>
          <w:szCs w:val="20"/>
          <w:color w:val="auto"/>
        </w:rPr>
      </w:pPr>
      <w:r>
        <w:rPr>
          <w:rFonts w:ascii="Arial" w:cs="Arial" w:eastAsia="Arial" w:hAnsi="Arial"/>
          <w:sz w:val="18"/>
          <w:szCs w:val="18"/>
          <w:color w:val="auto"/>
        </w:rPr>
        <w:t>The CNC recommends guidelines for the compensation of the members of the Board of Directors, the CEO and the Executive Management, and submits these recommendations to the Board of Directors for approval.</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CNC provides an overall package for near- and long-term compensation, including variable compensation, that (1) is designed to attract, motivate and retain persons with the necessary skills and character, (2) is consistent with market conditions, and in the case of variable compensation, consistent with the Company’s and individual’s performance, and (3) aligns the interests of the members of the Board of Directors and the Executive Management with the interests of the Company. The CNC also periodically reviews the Company’s compensation policies for its employees who are not members of the Executive Management.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7" w:name="page38"/>
    <w:bookmarkEnd w:id="3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CNC meets at least four times a year and informs the Board of Directors of its recommendation and resolutions after each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Approval of Compensation by the Annual Shareholders' Meeting</w:t>
      </w:r>
    </w:p>
    <w:p>
      <w:pPr>
        <w:spacing w:after="0" w:line="220"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Swiss law requires a binding approval of the maximum compensation for the Board and the Executive Management. Each year, the Annual Shareholders' Meeting separately approves the total maximum amounts proposed by the Board of Directors pursuant to Articles 32 and 33 of the Articles of Association for:</w:t>
      </w:r>
    </w:p>
    <w:p>
      <w:pPr>
        <w:spacing w:after="0" w:line="189"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198"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198" w:lineRule="exact"/>
        <w:rPr>
          <w:rFonts w:ascii="Arial" w:cs="Arial" w:eastAsia="Arial" w:hAnsi="Arial"/>
          <w:sz w:val="18"/>
          <w:szCs w:val="18"/>
          <w:color w:val="auto"/>
        </w:rPr>
      </w:pPr>
    </w:p>
    <w:p>
      <w:pPr>
        <w:ind w:right="20" w:firstLine="9"/>
        <w:spacing w:after="0" w:line="246" w:lineRule="auto"/>
        <w:tabs>
          <w:tab w:leader="none" w:pos="7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Management for the 12-month period starting on 1 July following the Ordinary Annual Shareholders' Meeting;</w:t>
      </w:r>
    </w:p>
    <w:p>
      <w:pPr>
        <w:spacing w:after="0" w:line="183"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variable compensation for the Executive Management for the current year;</w:t>
      </w:r>
    </w:p>
    <w:p>
      <w:pPr>
        <w:spacing w:after="0" w:line="198" w:lineRule="exact"/>
        <w:rPr>
          <w:rFonts w:ascii="Arial" w:cs="Arial" w:eastAsia="Arial" w:hAnsi="Arial"/>
          <w:sz w:val="18"/>
          <w:szCs w:val="18"/>
          <w:color w:val="auto"/>
        </w:rPr>
      </w:pPr>
    </w:p>
    <w:p>
      <w:pPr>
        <w:ind w:left="620" w:hanging="611"/>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of options, shares or other equity instruments in the Company to the Board of Directors and the Executive Management.</w:t>
      </w:r>
    </w:p>
    <w:p>
      <w:pPr>
        <w:spacing w:after="0" w:line="19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8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Board of Directors</w:t>
      </w:r>
    </w:p>
    <w:p>
      <w:pPr>
        <w:spacing w:after="0" w:line="1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CNC reviews and proposes to the Board of Directors the resolution to be submitted to the Ordinary Annual Shareholders' Meeting for the maximum total compensation of the Board of Directors. The CNC will also request approval by the Board of Directors of the individual compensation packages to be paid to members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members of the Board typically consists of:</w:t>
      </w:r>
    </w:p>
    <w:p>
      <w:pPr>
        <w:spacing w:after="0" w:line="198"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198" w:lineRule="exact"/>
        <w:rPr>
          <w:rFonts w:ascii="Arial" w:cs="Arial" w:eastAsia="Arial" w:hAnsi="Arial"/>
          <w:sz w:val="18"/>
          <w:szCs w:val="18"/>
          <w:color w:val="auto"/>
        </w:rPr>
      </w:pPr>
    </w:p>
    <w:p>
      <w:pPr>
        <w:ind w:left="620" w:hanging="61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8" w:name="page39"/>
    <w:bookmarkEnd w:id="3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right="340"/>
        <w:spacing w:after="0"/>
        <w:rPr>
          <w:sz w:val="20"/>
          <w:szCs w:val="20"/>
          <w:color w:val="auto"/>
        </w:rPr>
      </w:pPr>
      <w:r>
        <w:rPr>
          <w:rFonts w:ascii="Arial" w:cs="Arial" w:eastAsia="Arial" w:hAnsi="Arial"/>
          <w:sz w:val="18"/>
          <w:szCs w:val="18"/>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Executive Management</w:t>
      </w:r>
    </w:p>
    <w:p>
      <w:pPr>
        <w:spacing w:after="0" w:line="1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CNC evaluates annually the performance of the CEO and the Executive Management and submits such evaluation for review and discussion by the Board of Directors, in each case in executive session without the presence of the CEO or the Executive Management.</w:t>
      </w:r>
    </w:p>
    <w:p>
      <w:pPr>
        <w:spacing w:after="0" w:line="18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Subject to and within the bounds of the maximum compensation approved by the Ordinary Annual Shareholders' Meeting, the CNC reviews and recommends for approval by the Board of Directors the annual base salary, incentive compensation (bonus) and equity compensation of the CEO, and in consultation with the CEO, of the Executive Management, and the overall compensation of the CEO and the Executive Management. The CNC also requests approval by the Board of Directors regarding the determination of the compensation-related targets for the Executive Management and requests approval by the Board of Directors of the individual compensation packages to be paid to members of the Executive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Elements of Compensation for 2017 and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Base Salary</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Executive Management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Incentive Plan (Bonus)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CNC proposes to the Board of Directors an incentive compensation plan providing for variable compensation of the members of the Executive Management based on the achievement of the Company’s corporate goals and in relation to the Executive Management based on the individuals’ performance, and approve any changes to such plan as may be proposed by the CEO from time to time. The CNC reviews and approves any employment contracts, severance contracts, or other agreements that the Company proposes to enter into with any present, future or former members of the Executive Management; provided that the key terms of such contracts shall be submitted for approval by the Board of Directors and shall be within the bounds of the maximum compensation approved by the Ordinary Annual Shareholders' Meeting.</w:t>
      </w:r>
    </w:p>
    <w:p>
      <w:pPr>
        <w:spacing w:after="0" w:line="192"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The annual cash bonus for 2017 and 2016 was based on the achievement of Company and individual goals. The target bonus, i.e. cash bonus to be paid if 100% of corporate and individual objectives are met, is determined individually for each member of the executive management as a fixed amount, ranging from</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9" w:name="page40"/>
    <w:bookmarkEnd w:id="3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ind w:right="140"/>
        <w:spacing w:after="0" w:line="237" w:lineRule="auto"/>
        <w:rPr>
          <w:sz w:val="20"/>
          <w:szCs w:val="20"/>
          <w:color w:val="auto"/>
        </w:rPr>
      </w:pPr>
      <w:r>
        <w:rPr>
          <w:rFonts w:ascii="Arial" w:cs="Arial" w:eastAsia="Arial" w:hAnsi="Arial"/>
          <w:sz w:val="18"/>
          <w:szCs w:val="18"/>
          <w:color w:val="auto"/>
        </w:rPr>
        <w:t>approximately 20% to 90% of the base salary. According to the external benchmarking, the target bonuses continued to be in the lower range of the peer group. The 2017 corporate goals included (i) fulfillment of various R&amp;D project milestones, and (ii) meeting the standards of a NASDAQ listed company with particular emphasis on the financial organization. The 2016 corporate goals included (i) fulfillment of various R&amp;D project milestones, and (ii) successful completion of an initial public offering.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2017 and 2016 corporate goals was 102% and 100%,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Pension Plan and Social Charges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43F60"/>
        </w:rPr>
        <w:t>Pension Plan</w:t>
      </w:r>
    </w:p>
    <w:p>
      <w:pPr>
        <w:ind w:right="80"/>
        <w:spacing w:after="0" w:line="23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 Contributions paid to the plan are computed as a percentage of salary, adjusted for the age of the employee and shared approximately 47% (46% in 2016) and 53% (54% in 2016)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43F60"/>
        </w:rPr>
        <w:t>Social Charges</w:t>
      </w:r>
    </w:p>
    <w:p>
      <w:pPr>
        <w:ind w:right="620"/>
        <w:spacing w:after="0" w:line="246" w:lineRule="auto"/>
        <w:rPr>
          <w:sz w:val="20"/>
          <w:szCs w:val="20"/>
          <w:color w:val="auto"/>
        </w:rPr>
      </w:pPr>
      <w:r>
        <w:rPr>
          <w:rFonts w:ascii="Arial" w:cs="Arial" w:eastAsia="Arial" w:hAnsi="Arial"/>
          <w:sz w:val="18"/>
          <w:szCs w:val="18"/>
          <w:color w:val="auto"/>
        </w:rPr>
        <w:t>The Company pays old age and survivors’ insurance (AHV), Disability insurance (IV), Income replacement scheme (EO) as required by Federal Swiss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Equity Incentive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43F60"/>
        </w:rPr>
        <w:t>Current Plan</w:t>
      </w:r>
    </w:p>
    <w:p>
      <w:pPr>
        <w:spacing w:after="0" w:line="236" w:lineRule="auto"/>
        <w:rPr>
          <w:sz w:val="20"/>
          <w:szCs w:val="20"/>
          <w:color w:val="auto"/>
        </w:rPr>
      </w:pPr>
      <w:r>
        <w:rPr>
          <w:rFonts w:ascii="Arial" w:cs="Arial" w:eastAsia="Arial" w:hAnsi="Arial"/>
          <w:sz w:val="18"/>
          <w:szCs w:val="18"/>
          <w:color w:val="auto"/>
        </w:rPr>
        <w:t>The 2016 Option and Incentive Plan as amended and restated as of May 19, 2017 (the “2016 Plan”) was established for the officers, employees, non-employee directors and consultants of AC Immune SA. The 2016 Plan provides for a variety of award types, including stock options, restricted share awards, restricted share units, unrestricted share awards, and performance based awards. Vesting and performance based conditions vary by grant and are determined by the plan administrator, which is the Compensation Committee of the Board of Directors, (or in its absence the Board of Directors) or the Chief Executive Officer under specified delegation limitations granted by the Board of Directors. However, option awards with an “Exercise Price” shall be determined at the time of grant by the plan administrator, but shall not be less than 100 percent of fair market value on the date of grant. Further, awards with an “Option Term” may not exceed 10 years. In 2017, awards were granted to members of the Executive Management and Board of Directors and are disclosed in Section 3 of this report. No awards were issued under the 2016 Plan during 2016 According to the external benchmarking, the equity awards continued to be in the lower range of the peer group.</w:t>
      </w:r>
    </w:p>
    <w:p>
      <w:pPr>
        <w:spacing w:after="0" w:line="30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0" w:name="page41"/>
    <w:bookmarkEnd w:id="4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43F60"/>
        </w:rPr>
        <w:t>Prior Plans</w:t>
      </w:r>
    </w:p>
    <w:p>
      <w:pPr>
        <w:ind w:right="100"/>
        <w:spacing w:after="0" w:line="23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2004 and amended in June 2015 and June 2017; Plan B, which was established in 2005; Plan C1, which was established in 2006; and Plan C2, which was also established in 2006 and was intended specifically for members of our board of directors to purchase our common shares. Options granted under the C1 Plan prior to 2013 were taxed at grant and options granted from 2013 and thereafter were taxed upon exercise instead of at grant due to a change in taxation rules. The options granted under Plan A vested immediately but were subject to a four-year lockup period. The options granted under Plan B and Plan C1 vested over a four year period with 25% of these options vesting each year. Under Plan C2, options were immediately exercisable.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authority to amend each of the Prior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Option Purchase Plan </w:t>
      </w:r>
      <w:r>
        <w:rPr>
          <w:rFonts w:ascii="Arial" w:cs="Arial" w:eastAsia="Arial" w:hAnsi="Arial"/>
          <w:sz w:val="18"/>
          <w:szCs w:val="18"/>
          <w:color w:val="243F60"/>
        </w:rPr>
        <w:t>“Employment Consideration”</w:t>
      </w:r>
    </w:p>
    <w:p>
      <w:pPr>
        <w:ind w:right="140"/>
        <w:spacing w:after="0" w:line="237" w:lineRule="auto"/>
        <w:rPr>
          <w:sz w:val="20"/>
          <w:szCs w:val="20"/>
          <w:color w:val="auto"/>
        </w:rPr>
      </w:pPr>
      <w:r>
        <w:rPr>
          <w:rFonts w:ascii="Arial" w:cs="Arial" w:eastAsia="Arial" w:hAnsi="Arial"/>
          <w:sz w:val="18"/>
          <w:szCs w:val="18"/>
          <w:color w:val="auto"/>
        </w:rPr>
        <w:t>For the fiscal year ended December 31, 2017, we have granted our directors and executive management, in the aggregate, options for the right to acquire 257,916 shares at an exercise price of CHF 9.53 per share, that vest over a four year period with vesting to occur quarterly. In addition to the stock options granted, the Company also granted 125,332 restricted share units to its directors and executive officers. The restricted share units granted to directors total 29,375 and vest at the end of a one-year period. The remaining 95,957 restricted share units were granted to executives and have a four year vesting life to be vested quarterly. Finally, we have granted 4,023 restricted shares as part of a Restricted Share Award to one of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2015 we have granted one member of the Executive Management, in the aggregate, options that will give him the right to acquire shares.</w:t>
      </w:r>
    </w:p>
    <w:p>
      <w:pPr>
        <w:spacing w:after="0"/>
        <w:rPr>
          <w:sz w:val="20"/>
          <w:szCs w:val="20"/>
          <w:color w:val="auto"/>
        </w:rPr>
      </w:pPr>
      <w:r>
        <w:rPr>
          <w:rFonts w:ascii="Arial" w:cs="Arial" w:eastAsia="Arial" w:hAnsi="Arial"/>
          <w:sz w:val="18"/>
          <w:szCs w:val="18"/>
          <w:color w:val="auto"/>
        </w:rPr>
        <w:t>Contingent upon continued employment and approval of our Board of Directors, such options vesting conditions are as follows:</w:t>
      </w:r>
    </w:p>
    <w:p>
      <w:pPr>
        <w:spacing w:after="0" w:line="198" w:lineRule="exact"/>
        <w:rPr>
          <w:sz w:val="20"/>
          <w:szCs w:val="20"/>
          <w:color w:val="auto"/>
        </w:rPr>
      </w:pPr>
    </w:p>
    <w:p>
      <w:pPr>
        <w:ind w:right="420" w:firstLine="9"/>
        <w:spacing w:after="0"/>
        <w:tabs>
          <w:tab w:leader="none" w:pos="1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45,000 options which became purchasable on July 15, 2015, on a four-year period at a price of CHF 0.14548 per share with 25% having vested on July 14, 2016 and a further 25% vesting on each of July 14, 2017, July 14, 2018 and July 14, 2019; upon consummation of the proposed IPO, the 33,750 unvested options were accelerated and vested upon consummation of the IPO; and</w:t>
      </w:r>
    </w:p>
    <w:p>
      <w:pPr>
        <w:spacing w:after="0" w:line="189" w:lineRule="exact"/>
        <w:rPr>
          <w:rFonts w:ascii="Arial" w:cs="Arial" w:eastAsia="Arial" w:hAnsi="Arial"/>
          <w:sz w:val="18"/>
          <w:szCs w:val="18"/>
          <w:color w:val="auto"/>
        </w:rPr>
      </w:pPr>
    </w:p>
    <w:p>
      <w:pPr>
        <w:ind w:firstLine="9"/>
        <w:spacing w:after="0" w:line="237" w:lineRule="auto"/>
        <w:tabs>
          <w:tab w:leader="none" w:pos="1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98,500 options which were granted on July 15, 2016 at a price of CHF 0.14548 per share and will vest over a four-year period with 25% vesting on each of July 14, 2017, July 14, 2018, July 14, 2019 and July 14, 2020. Due to the departure of the employee in the fourth quarter of 2016, the initial grant was considered forfeited as the vesting conditions of the 98,500 options would not be met. Subsequently, an agreement was formalized whereby 50% of the previously forfeited options (49,250 options) would be awarded as a replacement grant with no remaining service condition, which has been accounted for as a new award granted on the date of forfeiture of the original award. The fourth quarter 2016 grant date fair value of the replacement was CHF 674K.</w:t>
      </w:r>
    </w:p>
    <w:p>
      <w:pPr>
        <w:spacing w:after="0" w:line="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157480</wp:posOffset>
            </wp:positionV>
            <wp:extent cx="1912620" cy="6000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007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Other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243F60"/>
        </w:rPr>
        <w:t>Employment Contracts</w:t>
      </w:r>
    </w:p>
    <w:p>
      <w:pPr>
        <w:ind w:right="200"/>
        <w:spacing w:after="0" w:line="239" w:lineRule="auto"/>
        <w:rPr>
          <w:sz w:val="20"/>
          <w:szCs w:val="20"/>
          <w:color w:val="auto"/>
        </w:rPr>
      </w:pPr>
      <w:r>
        <w:rPr>
          <w:rFonts w:ascii="Arial" w:cs="Arial" w:eastAsia="Arial" w:hAnsi="Arial"/>
          <w:sz w:val="18"/>
          <w:szCs w:val="18"/>
          <w:color w:val="auto"/>
        </w:rPr>
        <w:t>The Executive Management of the Company is employed under employment contracts of unlimited duration with a notice period of six months for the Chief Executive Officer, twelve months for the Chief Financial Officer, and three months for the Chief Scientific Officer and the Chief Administrative Officer. Executive members are not contractually entitled to termination payments other than the vested portions of the stock options.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bullet"/>
      <w:start w:val="1"/>
    </w:lvl>
  </w:abstractNum>
  <w:abstractNum w:abstractNumId="5">
    <w:nsid w:val="2443A858"/>
    <w:multiLevelType w:val="hybridMultilevel"/>
    <w:lvl w:ilvl="0">
      <w:lvlJc w:val="left"/>
      <w:lvlText w:val="§"/>
      <w:numFmt w:val="bullet"/>
      <w:start w:val="1"/>
    </w:lvl>
    <w:lvl w:ilvl="1">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bullet"/>
      <w:start w:val="1"/>
    </w:lvl>
  </w:abstractNum>
  <w:abstractNum w:abstractNumId="11">
    <w:nsid w:val="4353D0CD"/>
    <w:multiLevelType w:val="hybridMultilevel"/>
    <w:lvl w:ilvl="0">
      <w:lvlJc w:val="left"/>
      <w:lvlText w:val="2"/>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lvl w:ilvl="1">
      <w:lvlJc w:val="left"/>
      <w:lvlText w:val="(%2)"/>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5"/>
    </w:lvl>
  </w:abstractNum>
  <w:abstractNum w:abstractNumId="18">
    <w:nsid w:val="2901D82"/>
    <w:multiLevelType w:val="hybridMultilevel"/>
    <w:lvl w:ilvl="0">
      <w:lvlJc w:val="left"/>
      <w:lvlText w:val="%1."/>
      <w:numFmt w:val="decimal"/>
      <w:start w:val="6"/>
    </w:lvl>
  </w:abstractNum>
  <w:abstractNum w:abstractNumId="19">
    <w:nsid w:val="3A95F874"/>
    <w:multiLevelType w:val="hybridMultilevel"/>
    <w:lvl w:ilvl="0">
      <w:lvlJc w:val="left"/>
      <w:lvlText w:val="%1."/>
      <w:numFmt w:val="decimal"/>
      <w:start w:val="8"/>
    </w:lvl>
  </w:abstractNum>
  <w:abstractNum w:abstractNumId="20">
    <w:nsid w:val="8138641"/>
    <w:multiLevelType w:val="hybridMultilevel"/>
    <w:lvl w:ilvl="0">
      <w:lvlJc w:val="left"/>
      <w:lvlText w:val="%1."/>
      <w:numFmt w:val="decimal"/>
      <w:start w:val="9"/>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1."/>
      <w:numFmt w:val="decimal"/>
      <w:start w:val="14"/>
    </w:lvl>
  </w:abstractNum>
  <w:abstractNum w:abstractNumId="24">
    <w:nsid w:val="6CEAF087"/>
    <w:multiLevelType w:val="hybridMultilevel"/>
    <w:lvl w:ilvl="0">
      <w:lvlJc w:val="left"/>
      <w:lvlText w:val="%1."/>
      <w:numFmt w:val="decimal"/>
      <w:start w:val="15"/>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lvl w:ilvl="1">
      <w:lvlJc w:val="left"/>
      <w:lvlText w:val="%2"/>
      <w:numFmt w:val="lowerLetter"/>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lvl w:ilvl="1">
      <w:lvlJc w:val="left"/>
      <w:lvlText w:val="(%2)"/>
      <w:numFmt w:val="decimal"/>
      <w:start w:val="1"/>
    </w:lvl>
  </w:abstractNum>
  <w:abstractNum w:abstractNumId="31">
    <w:nsid w:val="440BADFC"/>
    <w:multiLevelType w:val="hybridMultilevel"/>
    <w:lvl w:ilvl="0">
      <w:lvlJc w:val="left"/>
      <w:lvlText w:val="(%1)"/>
      <w:numFmt w:val="decimal"/>
      <w:start w:val="4"/>
    </w:lvl>
    <w:lvl w:ilvl="1">
      <w:lvlJc w:val="left"/>
      <w:lvlText w:val="%2"/>
      <w:numFmt w:val="decimal"/>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3"/>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2019-12-08T13:13:26Z</dcterms:created>
  <dcterms:modified xsi:type="dcterms:W3CDTF">2019-12-08T13:13:26Z</dcterms:modified>
</cp:coreProperties>
</file>